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bCs/>
          <w:sz w:val="56"/>
          <w:szCs w:val="56"/>
        </w:rPr>
      </w:pPr>
      <w:r>
        <w:rPr>
          <w:rFonts w:ascii="方正小标宋简体" w:eastAsia="方正小标宋简体"/>
          <w:b/>
          <w:bCs/>
          <w:sz w:val="56"/>
          <w:szCs w:val="56"/>
        </w:rPr>
        <w:pict>
          <v:shape id="_x0000_i1025" o:spt="75" type="#_x0000_t75" style="height:111.75pt;width:111.75pt;" filled="f" o:preferrelative="t" stroked="f" coordsize="21600,21600">
            <v:path/>
            <v:fill on="f" focussize="0,0"/>
            <v:stroke on="f" joinstyle="miter"/>
            <v:imagedata r:id="rId6" o:title=""/>
            <o:lock v:ext="edit" aspectratio="t"/>
            <w10:wrap type="none"/>
            <w10:anchorlock/>
          </v:shape>
        </w:pict>
      </w: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静脉用药调配中心图纸评估</w:t>
      </w: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pPr>
        <w:jc w:val="center"/>
        <w:rPr>
          <w:rFonts w:ascii="方正小标宋简体" w:eastAsia="方正小标宋简体"/>
          <w:b/>
          <w:bCs/>
          <w:sz w:val="56"/>
          <w:szCs w:val="56"/>
        </w:rPr>
      </w:pP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pPr>
        <w:jc w:val="center"/>
        <w:rPr>
          <w:rFonts w:ascii="方正小标宋简体" w:eastAsia="方正小标宋简体"/>
          <w:b/>
          <w:bCs/>
          <w:sz w:val="56"/>
          <w:szCs w:val="56"/>
        </w:rPr>
      </w:pPr>
    </w:p>
    <w:p>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pPr>
        <w:spacing w:line="440" w:lineRule="exact"/>
        <w:jc w:val="center"/>
        <w:rPr>
          <w:b/>
          <w:bCs/>
          <w:sz w:val="28"/>
          <w:szCs w:val="28"/>
        </w:rPr>
      </w:pPr>
    </w:p>
    <w:p>
      <w:pPr>
        <w:spacing w:line="440" w:lineRule="exact"/>
        <w:ind w:firstLine="275" w:firstLineChars="98"/>
        <w:rPr>
          <w:b/>
          <w:bCs/>
          <w:sz w:val="28"/>
          <w:szCs w:val="28"/>
        </w:rPr>
      </w:pPr>
    </w:p>
    <w:p>
      <w:pPr>
        <w:spacing w:line="440" w:lineRule="exact"/>
        <w:ind w:firstLine="275" w:firstLineChars="98"/>
        <w:rPr>
          <w:b/>
          <w:bCs/>
          <w:sz w:val="28"/>
          <w:szCs w:val="28"/>
        </w:rPr>
      </w:pPr>
    </w:p>
    <w:p>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pPr>
        <w:spacing w:line="440" w:lineRule="exact"/>
        <w:ind w:firstLine="274" w:firstLineChars="98"/>
        <w:rPr>
          <w:sz w:val="28"/>
          <w:szCs w:val="28"/>
        </w:rPr>
      </w:pPr>
    </w:p>
    <w:p>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pPr>
        <w:spacing w:line="440" w:lineRule="exact"/>
        <w:ind w:firstLine="274" w:firstLineChars="98"/>
        <w:rPr>
          <w:color w:val="FF0000"/>
          <w:sz w:val="28"/>
          <w:szCs w:val="28"/>
        </w:rPr>
      </w:pPr>
    </w:p>
    <w:p>
      <w:pPr>
        <w:spacing w:line="440" w:lineRule="exact"/>
        <w:ind w:firstLine="274" w:firstLineChars="98"/>
        <w:rPr>
          <w:sz w:val="28"/>
          <w:szCs w:val="28"/>
        </w:rPr>
      </w:pPr>
    </w:p>
    <w:p>
      <w:pPr>
        <w:spacing w:line="440" w:lineRule="exact"/>
        <w:ind w:firstLine="274" w:firstLineChars="98"/>
        <w:rPr>
          <w:sz w:val="28"/>
          <w:szCs w:val="28"/>
        </w:rPr>
      </w:pPr>
    </w:p>
    <w:p>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广东省药学会（乙方）协议由广东省药学会静脉用药调配专家委员会对甲方开展静脉用药调配中心图纸</w:t>
      </w:r>
      <w:r>
        <w:rPr>
          <w:rFonts w:hint="eastAsia" w:cs="宋体"/>
          <w:sz w:val="24"/>
          <w:szCs w:val="24"/>
        </w:rPr>
        <w:t>评估。为确保评估顺利进行和双方权益，甲乙双方经充分商讨，签署本协议。</w:t>
      </w:r>
    </w:p>
    <w:p>
      <w:pPr>
        <w:numPr>
          <w:ilvl w:val="0"/>
          <w:numId w:val="1"/>
        </w:numPr>
        <w:spacing w:line="360" w:lineRule="auto"/>
        <w:rPr>
          <w:b/>
          <w:bCs/>
          <w:sz w:val="28"/>
          <w:szCs w:val="28"/>
        </w:rPr>
      </w:pPr>
      <w:r>
        <w:rPr>
          <w:rFonts w:hint="eastAsia" w:cs="宋体"/>
          <w:b/>
          <w:bCs/>
          <w:sz w:val="28"/>
          <w:szCs w:val="28"/>
        </w:rPr>
        <w:t>各方的职责与分工</w:t>
      </w:r>
    </w:p>
    <w:p>
      <w:pPr>
        <w:spacing w:line="360" w:lineRule="auto"/>
        <w:ind w:left="420"/>
        <w:rPr>
          <w:b/>
          <w:bCs/>
          <w:sz w:val="24"/>
          <w:szCs w:val="24"/>
        </w:rPr>
      </w:pPr>
      <w:r>
        <w:rPr>
          <w:rFonts w:hint="eastAsia" w:cs="宋体"/>
          <w:b/>
          <w:bCs/>
          <w:sz w:val="24"/>
          <w:szCs w:val="24"/>
        </w:rPr>
        <w:t>甲方的职责与分工</w:t>
      </w:r>
    </w:p>
    <w:p>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向乙方提出委托申请并填写《广东省医疗机构静脉用药调配中心图纸评估申请表》，明确评估任务以及评估时间。</w:t>
      </w:r>
    </w:p>
    <w:p>
      <w:pPr>
        <w:numPr>
          <w:ilvl w:val="0"/>
          <w:numId w:val="2"/>
        </w:numPr>
        <w:spacing w:line="360" w:lineRule="auto"/>
        <w:rPr>
          <w:sz w:val="24"/>
          <w:szCs w:val="24"/>
        </w:rPr>
      </w:pPr>
      <w:r>
        <w:rPr>
          <w:rFonts w:hint="eastAsia" w:cs="宋体"/>
          <w:sz w:val="24"/>
          <w:szCs w:val="24"/>
        </w:rPr>
        <w:t>确定委托任务后，签署协议书。</w:t>
      </w:r>
    </w:p>
    <w:p>
      <w:pPr>
        <w:numPr>
          <w:ilvl w:val="0"/>
          <w:numId w:val="2"/>
        </w:numPr>
        <w:spacing w:line="360" w:lineRule="auto"/>
        <w:rPr>
          <w:sz w:val="24"/>
          <w:szCs w:val="24"/>
        </w:rPr>
      </w:pPr>
      <w:r>
        <w:rPr>
          <w:rFonts w:hint="eastAsia" w:cs="宋体"/>
          <w:sz w:val="24"/>
          <w:szCs w:val="24"/>
        </w:rPr>
        <w:t>负责协调评估涉及的各方，并至少派遣一名人员全程跟随乙方负责协调工作。</w:t>
      </w:r>
    </w:p>
    <w:p>
      <w:pPr>
        <w:numPr>
          <w:ilvl w:val="0"/>
          <w:numId w:val="2"/>
        </w:numPr>
        <w:spacing w:line="360" w:lineRule="auto"/>
        <w:rPr>
          <w:sz w:val="24"/>
          <w:szCs w:val="24"/>
        </w:rPr>
      </w:pPr>
      <w:r>
        <w:rPr>
          <w:rFonts w:hint="eastAsia" w:cs="宋体"/>
          <w:sz w:val="24"/>
          <w:szCs w:val="24"/>
        </w:rPr>
        <w:t>根据乙方提供的《评估流程》准备评估所需资料。</w:t>
      </w:r>
    </w:p>
    <w:p>
      <w:pPr>
        <w:numPr>
          <w:ilvl w:val="0"/>
          <w:numId w:val="2"/>
        </w:numPr>
        <w:spacing w:line="360" w:lineRule="auto"/>
        <w:rPr>
          <w:sz w:val="24"/>
          <w:szCs w:val="24"/>
        </w:rPr>
      </w:pPr>
      <w:r>
        <w:rPr>
          <w:rFonts w:hint="eastAsia" w:cs="宋体"/>
          <w:sz w:val="24"/>
          <w:szCs w:val="24"/>
        </w:rPr>
        <w:t>及时提供评估报告中需要提供的数据和信息。</w:t>
      </w:r>
    </w:p>
    <w:p>
      <w:pPr>
        <w:spacing w:line="360" w:lineRule="auto"/>
        <w:ind w:left="420"/>
        <w:rPr>
          <w:b/>
          <w:bCs/>
          <w:sz w:val="24"/>
          <w:szCs w:val="24"/>
        </w:rPr>
      </w:pPr>
      <w:r>
        <w:rPr>
          <w:rFonts w:hint="eastAsia" w:cs="宋体"/>
          <w:b/>
          <w:bCs/>
          <w:sz w:val="24"/>
          <w:szCs w:val="24"/>
        </w:rPr>
        <w:t>乙方的职责与分工</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在确定专家后</w:t>
      </w:r>
      <w:r>
        <w:rPr>
          <w:rFonts w:ascii="Times New Roman" w:hAnsi="Times New Roman" w:cs="Times New Roman"/>
          <w:kern w:val="2"/>
        </w:rPr>
        <w:t xml:space="preserve"> </w:t>
      </w:r>
      <w:r>
        <w:rPr>
          <w:rFonts w:ascii="Times New Roman" w:hAnsi="Times New Roman" w:cs="Times New Roman"/>
          <w:kern w:val="2"/>
          <w:u w:val="single"/>
        </w:rPr>
        <w:t xml:space="preserve"> 15 </w:t>
      </w:r>
      <w:r>
        <w:rPr>
          <w:rFonts w:hint="eastAsia" w:ascii="Times New Roman" w:hAnsi="Times New Roman"/>
          <w:kern w:val="2"/>
        </w:rPr>
        <w:t>个工作日内出具评估报告（评估意见和结果），并由评估组组长最终核发。</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pPr>
        <w:numPr>
          <w:ilvl w:val="0"/>
          <w:numId w:val="1"/>
        </w:numPr>
        <w:spacing w:line="360" w:lineRule="auto"/>
        <w:rPr>
          <w:b/>
          <w:bCs/>
          <w:sz w:val="28"/>
          <w:szCs w:val="28"/>
        </w:rPr>
      </w:pPr>
      <w:r>
        <w:rPr>
          <w:rFonts w:hint="eastAsia" w:cs="宋体"/>
          <w:b/>
          <w:bCs/>
          <w:sz w:val="28"/>
          <w:szCs w:val="28"/>
        </w:rPr>
        <w:t>评估费用</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1000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人，秘书</w:t>
      </w:r>
      <w:r>
        <w:rPr>
          <w:sz w:val="24"/>
          <w:szCs w:val="24"/>
        </w:rPr>
        <w:t>500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w:t>
      </w:r>
      <w:r>
        <w:rPr>
          <w:sz w:val="24"/>
          <w:szCs w:val="24"/>
        </w:rPr>
        <w:t> </w:t>
      </w:r>
    </w:p>
    <w:p>
      <w:pPr>
        <w:pStyle w:val="15"/>
        <w:tabs>
          <w:tab w:val="left" w:pos="420"/>
        </w:tabs>
        <w:spacing w:line="360" w:lineRule="auto"/>
        <w:ind w:left="420" w:firstLine="0" w:firstLineChars="0"/>
        <w:rPr>
          <w:sz w:val="24"/>
          <w:szCs w:val="24"/>
        </w:rPr>
      </w:pPr>
      <w:r>
        <w:rPr>
          <w:rFonts w:hint="eastAsia" w:cs="宋体"/>
          <w:sz w:val="24"/>
          <w:szCs w:val="24"/>
        </w:rPr>
        <w:t>共</w:t>
      </w:r>
      <w:r>
        <w:rPr>
          <w:sz w:val="24"/>
          <w:szCs w:val="24"/>
        </w:rPr>
        <w:t>2500</w:t>
      </w:r>
      <w:r>
        <w:rPr>
          <w:rFonts w:hint="eastAsia" w:cs="宋体"/>
          <w:sz w:val="24"/>
          <w:szCs w:val="24"/>
        </w:rPr>
        <w:t>元，由甲方支付；</w:t>
      </w:r>
      <w:r>
        <w:rPr>
          <w:rFonts w:hint="eastAsia" w:cs="宋体"/>
          <w:color w:val="000000"/>
          <w:sz w:val="24"/>
          <w:szCs w:val="24"/>
        </w:rPr>
        <w:t>专家和秘书劳务费用由甲方以转账的方式打到乙方指定专家和秘书个人账户中。</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图纸评估不设现场查看，仅对所提供图纸进行评估反馈。</w:t>
      </w:r>
    </w:p>
    <w:p>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sz w:val="24"/>
          <w:szCs w:val="24"/>
        </w:rPr>
        <w:t>5500</w:t>
      </w:r>
      <w:r>
        <w:rPr>
          <w:rFonts w:hint="eastAsia" w:cs="宋体"/>
          <w:sz w:val="24"/>
          <w:szCs w:val="24"/>
        </w:rPr>
        <w:t>元</w:t>
      </w:r>
      <w:r>
        <w:rPr>
          <w:sz w:val="24"/>
          <w:szCs w:val="24"/>
        </w:rPr>
        <w:t>/</w:t>
      </w:r>
      <w:r>
        <w:rPr>
          <w:rFonts w:hint="eastAsia" w:cs="宋体"/>
          <w:sz w:val="24"/>
          <w:szCs w:val="24"/>
        </w:rPr>
        <w:t>项。账户信息如下：</w:t>
      </w:r>
    </w:p>
    <w:p>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pPr>
        <w:numPr>
          <w:ilvl w:val="1"/>
          <w:numId w:val="1"/>
        </w:numPr>
        <w:tabs>
          <w:tab w:val="left" w:pos="426"/>
          <w:tab w:val="clear" w:pos="840"/>
        </w:tabs>
        <w:spacing w:line="360" w:lineRule="auto"/>
        <w:ind w:left="426" w:hanging="426"/>
        <w:rPr>
          <w:color w:val="000000"/>
          <w:sz w:val="24"/>
          <w:szCs w:val="24"/>
        </w:rPr>
      </w:pPr>
      <w:r>
        <w:rPr>
          <w:rFonts w:hint="eastAsia" w:cs="宋体"/>
          <w:color w:val="000000"/>
          <w:sz w:val="24"/>
          <w:szCs w:val="24"/>
        </w:rPr>
        <w:t>甲方需在签订本协议后</w:t>
      </w:r>
      <w:r>
        <w:rPr>
          <w:color w:val="000000"/>
          <w:sz w:val="24"/>
          <w:szCs w:val="24"/>
        </w:rPr>
        <w:t>15</w:t>
      </w:r>
      <w:r>
        <w:rPr>
          <w:rFonts w:hint="eastAsia" w:cs="宋体"/>
          <w:color w:val="000000"/>
          <w:sz w:val="24"/>
          <w:szCs w:val="24"/>
        </w:rPr>
        <w:t>个工作日内一次性支付专家和秘书劳务费、项目管理费。</w:t>
      </w:r>
    </w:p>
    <w:p>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个工作日内向甲方开具发票。账户信息如下：</w:t>
      </w:r>
    </w:p>
    <w:p>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pPr>
        <w:spacing w:line="360" w:lineRule="auto"/>
        <w:rPr>
          <w:b/>
          <w:bCs/>
          <w:sz w:val="28"/>
          <w:szCs w:val="28"/>
        </w:rPr>
      </w:pPr>
      <w:r>
        <w:rPr>
          <w:rFonts w:hint="eastAsia" w:cs="宋体"/>
          <w:b/>
          <w:bCs/>
          <w:sz w:val="28"/>
          <w:szCs w:val="28"/>
        </w:rPr>
        <w:t>三、违约责任</w:t>
      </w:r>
    </w:p>
    <w:p>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pPr>
        <w:spacing w:line="360" w:lineRule="auto"/>
        <w:rPr>
          <w:b/>
          <w:bCs/>
          <w:sz w:val="28"/>
          <w:szCs w:val="28"/>
        </w:rPr>
      </w:pPr>
      <w:r>
        <w:rPr>
          <w:rFonts w:hint="eastAsia" w:cs="宋体"/>
          <w:b/>
          <w:bCs/>
          <w:sz w:val="28"/>
          <w:szCs w:val="28"/>
        </w:rPr>
        <w:t>四、其他</w:t>
      </w:r>
    </w:p>
    <w:p>
      <w:pPr>
        <w:numPr>
          <w:ilvl w:val="0"/>
          <w:numId w:val="5"/>
        </w:numPr>
        <w:spacing w:line="360" w:lineRule="auto"/>
        <w:rPr>
          <w:sz w:val="24"/>
          <w:szCs w:val="24"/>
        </w:rPr>
      </w:pPr>
      <w:r>
        <w:rPr>
          <w:rFonts w:hint="eastAsia" w:cs="宋体"/>
          <w:sz w:val="24"/>
          <w:szCs w:val="24"/>
        </w:rPr>
        <w:t>协议未尽事宜，由双方协商解决；</w:t>
      </w:r>
    </w:p>
    <w:p>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pPr>
        <w:spacing w:line="360" w:lineRule="auto"/>
        <w:ind w:left="420"/>
        <w:rPr>
          <w:sz w:val="24"/>
          <w:szCs w:val="24"/>
        </w:rPr>
      </w:pPr>
    </w:p>
    <w:p>
      <w:pPr>
        <w:spacing w:line="360" w:lineRule="auto"/>
        <w:ind w:left="420"/>
        <w:rPr>
          <w:sz w:val="24"/>
          <w:szCs w:val="24"/>
        </w:rPr>
      </w:pPr>
      <w:r>
        <w:rPr>
          <w:rFonts w:hint="eastAsia" w:cs="宋体"/>
          <w:sz w:val="24"/>
          <w:szCs w:val="24"/>
        </w:rPr>
        <w:t>（以下无正文）</w:t>
      </w:r>
    </w:p>
    <w:p>
      <w:pPr>
        <w:spacing w:line="360" w:lineRule="auto"/>
        <w:ind w:left="420"/>
        <w:rPr>
          <w:sz w:val="24"/>
          <w:szCs w:val="24"/>
        </w:rPr>
      </w:pPr>
    </w:p>
    <w:p>
      <w:pPr>
        <w:widowControl/>
        <w:jc w:val="left"/>
        <w:rPr>
          <w:sz w:val="24"/>
          <w:szCs w:val="24"/>
        </w:rPr>
      </w:pPr>
      <w:bookmarkStart w:id="0" w:name="_GoBack"/>
      <w:bookmarkEnd w:id="0"/>
      <w:r>
        <w:rPr>
          <w:sz w:val="24"/>
          <w:szCs w:val="24"/>
        </w:rPr>
        <w:br w:type="page"/>
      </w:r>
    </w:p>
    <w:p>
      <w:pPr>
        <w:spacing w:line="360" w:lineRule="auto"/>
        <w:ind w:left="420"/>
        <w:rPr>
          <w:sz w:val="24"/>
          <w:szCs w:val="24"/>
        </w:rPr>
      </w:pPr>
      <w:r>
        <w:rPr>
          <w:rFonts w:hint="eastAsia" w:cs="宋体"/>
          <w:sz w:val="24"/>
          <w:szCs w:val="24"/>
        </w:rPr>
        <w:t>（本页为签名页）</w:t>
      </w:r>
    </w:p>
    <w:p/>
    <w:p/>
    <w:p/>
    <w:tbl>
      <w:tblPr>
        <w:tblStyle w:val="7"/>
        <w:tblW w:w="0" w:type="auto"/>
        <w:tblInd w:w="-106" w:type="dxa"/>
        <w:tblLayout w:type="autofit"/>
        <w:tblCellMar>
          <w:top w:w="0" w:type="dxa"/>
          <w:left w:w="108" w:type="dxa"/>
          <w:bottom w:w="0" w:type="dxa"/>
          <w:right w:w="108" w:type="dxa"/>
        </w:tblCellMar>
      </w:tblPr>
      <w:tblGrid>
        <w:gridCol w:w="5012"/>
        <w:gridCol w:w="1792"/>
      </w:tblGrid>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u w:val="single"/>
              </w:rPr>
            </w:pPr>
            <w:r>
              <w:rPr>
                <w:rFonts w:hint="eastAsia" w:cs="宋体"/>
                <w:sz w:val="24"/>
                <w:szCs w:val="24"/>
              </w:rPr>
              <w:t>甲方：</w:t>
            </w:r>
            <w:r>
              <w:rPr>
                <w:sz w:val="24"/>
                <w:szCs w:val="24"/>
                <w:u w:val="single"/>
              </w:rPr>
              <w:t xml:space="preserve">                        </w:t>
            </w:r>
          </w:p>
        </w:tc>
      </w:tr>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rPr>
            </w:pPr>
          </w:p>
          <w:p>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tblPrEx>
          <w:tblCellMar>
            <w:top w:w="0" w:type="dxa"/>
            <w:left w:w="108" w:type="dxa"/>
            <w:bottom w:w="0" w:type="dxa"/>
            <w:right w:w="108" w:type="dxa"/>
          </w:tblCellMar>
        </w:tblPrEx>
        <w:trPr>
          <w:trHeight w:val="567" w:hRule="atLeast"/>
        </w:trPr>
        <w:tc>
          <w:tcPr>
            <w:tcW w:w="6804" w:type="dxa"/>
            <w:gridSpan w:val="2"/>
          </w:tcPr>
          <w:p>
            <w:pPr>
              <w:spacing w:line="360" w:lineRule="auto"/>
              <w:rPr>
                <w:sz w:val="24"/>
                <w:szCs w:val="24"/>
              </w:rPr>
            </w:pPr>
          </w:p>
          <w:p>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tblPrEx>
          <w:tblCellMar>
            <w:top w:w="0" w:type="dxa"/>
            <w:left w:w="108" w:type="dxa"/>
            <w:bottom w:w="0" w:type="dxa"/>
            <w:right w:w="108" w:type="dxa"/>
          </w:tblCellMar>
        </w:tblPrEx>
        <w:trPr>
          <w:gridAfter w:val="1"/>
          <w:wAfter w:w="1792" w:type="dxa"/>
          <w:trHeight w:val="567" w:hRule="atLeast"/>
        </w:trPr>
        <w:tc>
          <w:tcPr>
            <w:tcW w:w="5012" w:type="dxa"/>
          </w:tcPr>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tblPrEx>
          <w:tblCellMar>
            <w:top w:w="0" w:type="dxa"/>
            <w:left w:w="108" w:type="dxa"/>
            <w:bottom w:w="0" w:type="dxa"/>
            <w:right w:w="108" w:type="dxa"/>
          </w:tblCellMar>
        </w:tblPrEx>
        <w:trPr>
          <w:gridAfter w:val="1"/>
          <w:wAfter w:w="1792" w:type="dxa"/>
          <w:trHeight w:val="567" w:hRule="atLeast"/>
        </w:trPr>
        <w:tc>
          <w:tcPr>
            <w:tcW w:w="5012" w:type="dxa"/>
          </w:tcPr>
          <w:p>
            <w:pPr>
              <w:spacing w:line="360" w:lineRule="auto"/>
              <w:rPr>
                <w:sz w:val="24"/>
                <w:szCs w:val="24"/>
              </w:rPr>
            </w:pPr>
          </w:p>
          <w:p>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tblPrEx>
          <w:tblCellMar>
            <w:top w:w="0" w:type="dxa"/>
            <w:left w:w="108" w:type="dxa"/>
            <w:bottom w:w="0" w:type="dxa"/>
            <w:right w:w="108" w:type="dxa"/>
          </w:tblCellMar>
        </w:tblPrEx>
        <w:trPr>
          <w:gridAfter w:val="1"/>
          <w:wAfter w:w="1792" w:type="dxa"/>
          <w:trHeight w:val="826" w:hRule="atLeast"/>
        </w:trPr>
        <w:tc>
          <w:tcPr>
            <w:tcW w:w="5012" w:type="dxa"/>
          </w:tcPr>
          <w:p>
            <w:pPr>
              <w:spacing w:line="360" w:lineRule="auto"/>
              <w:rPr>
                <w:sz w:val="24"/>
                <w:szCs w:val="24"/>
              </w:rPr>
            </w:pPr>
          </w:p>
          <w:p>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pPr>
              <w:spacing w:line="360" w:lineRule="auto"/>
              <w:rPr>
                <w:sz w:val="24"/>
                <w:szCs w:val="24"/>
              </w:rPr>
            </w:pPr>
          </w:p>
          <w:p>
            <w:pPr>
              <w:spacing w:line="360" w:lineRule="auto"/>
              <w:rPr>
                <w:sz w:val="24"/>
                <w:szCs w:val="24"/>
              </w:rPr>
            </w:pPr>
          </w:p>
          <w:p>
            <w:pPr>
              <w:spacing w:line="360" w:lineRule="auto"/>
              <w:rPr>
                <w:sz w:val="24"/>
                <w:szCs w:val="24"/>
              </w:rPr>
            </w:pPr>
          </w:p>
        </w:tc>
      </w:tr>
    </w:tbl>
    <w:p>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cs="宋体"/>
        <w:kern w:val="0"/>
      </w:rPr>
      <w:t>第</w:t>
    </w:r>
    <w:r>
      <w:rPr>
        <w:kern w:val="0"/>
      </w:rPr>
      <w:t xml:space="preserve"> </w:t>
    </w:r>
    <w:r>
      <w:rPr>
        <w:kern w:val="0"/>
      </w:rPr>
      <w:fldChar w:fldCharType="begin"/>
    </w:r>
    <w:r>
      <w:rPr>
        <w:kern w:val="0"/>
      </w:rPr>
      <w:instrText xml:space="preserve"> PAGE </w:instrText>
    </w:r>
    <w:r>
      <w:rPr>
        <w:kern w:val="0"/>
      </w:rPr>
      <w:fldChar w:fldCharType="separate"/>
    </w:r>
    <w:r>
      <w:rPr>
        <w:kern w:val="0"/>
      </w:rPr>
      <w:t>2</w:t>
    </w:r>
    <w:r>
      <w:rPr>
        <w:kern w:val="0"/>
      </w:rPr>
      <w:fldChar w:fldCharType="end"/>
    </w:r>
    <w:r>
      <w:rPr>
        <w:kern w:val="0"/>
      </w:rPr>
      <w:t xml:space="preserve"> </w:t>
    </w:r>
    <w:r>
      <w:rPr>
        <w:rFonts w:hint="eastAsia" w:cs="宋体"/>
        <w:kern w:val="0"/>
      </w:rPr>
      <w:t>页</w:t>
    </w:r>
    <w:r>
      <w:rPr>
        <w:kern w:val="0"/>
      </w:rPr>
      <w:t xml:space="preserve"> </w:t>
    </w:r>
    <w:r>
      <w:rPr>
        <w:rFonts w:hint="eastAsia" w:cs="宋体"/>
        <w:kern w:val="0"/>
      </w:rPr>
      <w:t>共</w:t>
    </w:r>
    <w:r>
      <w:rPr>
        <w:kern w:val="0"/>
      </w:rPr>
      <w:t xml:space="preserve"> </w:t>
    </w:r>
    <w:r>
      <w:rPr>
        <w:kern w:val="0"/>
      </w:rPr>
      <w:fldChar w:fldCharType="begin"/>
    </w:r>
    <w:r>
      <w:rPr>
        <w:kern w:val="0"/>
      </w:rPr>
      <w:instrText xml:space="preserve"> NUMPAGES </w:instrText>
    </w:r>
    <w:r>
      <w:rPr>
        <w:kern w:val="0"/>
      </w:rPr>
      <w:fldChar w:fldCharType="separate"/>
    </w:r>
    <w:r>
      <w:rPr>
        <w:kern w:val="0"/>
      </w:rPr>
      <w:t>4</w:t>
    </w:r>
    <w:r>
      <w:rPr>
        <w:kern w:val="0"/>
      </w:rPr>
      <w:fldChar w:fldCharType="end"/>
    </w:r>
    <w:r>
      <w:rPr>
        <w:kern w:val="0"/>
      </w:rPr>
      <w:t xml:space="preserve">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4"/>
        <w:szCs w:val="24"/>
      </w:rPr>
    </w:pPr>
    <w:r>
      <w:rPr>
        <w:sz w:val="24"/>
        <w:szCs w:val="24"/>
      </w:rPr>
      <w:t xml:space="preserve"> </w:t>
    </w:r>
  </w:p>
  <w:p>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1B31"/>
    <w:rsid w:val="00004B0D"/>
    <w:rsid w:val="00057047"/>
    <w:rsid w:val="00065671"/>
    <w:rsid w:val="00074B87"/>
    <w:rsid w:val="000A3880"/>
    <w:rsid w:val="000A5490"/>
    <w:rsid w:val="000B3819"/>
    <w:rsid w:val="000F2944"/>
    <w:rsid w:val="000F60CC"/>
    <w:rsid w:val="000F678E"/>
    <w:rsid w:val="00100257"/>
    <w:rsid w:val="00102F88"/>
    <w:rsid w:val="00105EFA"/>
    <w:rsid w:val="00112F86"/>
    <w:rsid w:val="00123A20"/>
    <w:rsid w:val="0012444A"/>
    <w:rsid w:val="00143503"/>
    <w:rsid w:val="00145247"/>
    <w:rsid w:val="00145FF3"/>
    <w:rsid w:val="001612C1"/>
    <w:rsid w:val="00164CD3"/>
    <w:rsid w:val="00165FF8"/>
    <w:rsid w:val="00167529"/>
    <w:rsid w:val="00177697"/>
    <w:rsid w:val="00177793"/>
    <w:rsid w:val="00184E2D"/>
    <w:rsid w:val="001865BA"/>
    <w:rsid w:val="00186F9A"/>
    <w:rsid w:val="001B3ACA"/>
    <w:rsid w:val="001F3CCE"/>
    <w:rsid w:val="0020033E"/>
    <w:rsid w:val="00254DC6"/>
    <w:rsid w:val="002607CD"/>
    <w:rsid w:val="002749E6"/>
    <w:rsid w:val="002963FC"/>
    <w:rsid w:val="002A4B2B"/>
    <w:rsid w:val="002C094B"/>
    <w:rsid w:val="002C5250"/>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52F"/>
    <w:rsid w:val="003F486F"/>
    <w:rsid w:val="0041398E"/>
    <w:rsid w:val="00417D64"/>
    <w:rsid w:val="00443B4F"/>
    <w:rsid w:val="00445E65"/>
    <w:rsid w:val="00453766"/>
    <w:rsid w:val="00462E4E"/>
    <w:rsid w:val="00477F79"/>
    <w:rsid w:val="00484E85"/>
    <w:rsid w:val="004A1DBB"/>
    <w:rsid w:val="004A3D6A"/>
    <w:rsid w:val="004A4564"/>
    <w:rsid w:val="004B20F7"/>
    <w:rsid w:val="004D1D95"/>
    <w:rsid w:val="005221A5"/>
    <w:rsid w:val="00524634"/>
    <w:rsid w:val="00573A5E"/>
    <w:rsid w:val="00577817"/>
    <w:rsid w:val="005970E1"/>
    <w:rsid w:val="00597761"/>
    <w:rsid w:val="005A1227"/>
    <w:rsid w:val="005A5DCE"/>
    <w:rsid w:val="005B1031"/>
    <w:rsid w:val="005B39B6"/>
    <w:rsid w:val="005B7BEE"/>
    <w:rsid w:val="005D7215"/>
    <w:rsid w:val="005E4D67"/>
    <w:rsid w:val="005E672D"/>
    <w:rsid w:val="006015AD"/>
    <w:rsid w:val="00605FA5"/>
    <w:rsid w:val="00610B34"/>
    <w:rsid w:val="00620B9B"/>
    <w:rsid w:val="00637FCC"/>
    <w:rsid w:val="0064472B"/>
    <w:rsid w:val="00650BCE"/>
    <w:rsid w:val="00672BCD"/>
    <w:rsid w:val="00674B3E"/>
    <w:rsid w:val="00675BE3"/>
    <w:rsid w:val="006775F0"/>
    <w:rsid w:val="006A6ECC"/>
    <w:rsid w:val="006C51E7"/>
    <w:rsid w:val="006E700D"/>
    <w:rsid w:val="0071409D"/>
    <w:rsid w:val="00732F8A"/>
    <w:rsid w:val="00754A07"/>
    <w:rsid w:val="00754C59"/>
    <w:rsid w:val="0075664B"/>
    <w:rsid w:val="007813DB"/>
    <w:rsid w:val="007838DF"/>
    <w:rsid w:val="00793A63"/>
    <w:rsid w:val="007B0FA6"/>
    <w:rsid w:val="007B5429"/>
    <w:rsid w:val="007C1F36"/>
    <w:rsid w:val="007D7A77"/>
    <w:rsid w:val="007F1FB9"/>
    <w:rsid w:val="00820D39"/>
    <w:rsid w:val="00826031"/>
    <w:rsid w:val="008601E1"/>
    <w:rsid w:val="008621FC"/>
    <w:rsid w:val="00864B97"/>
    <w:rsid w:val="00865BE5"/>
    <w:rsid w:val="00866E13"/>
    <w:rsid w:val="00890E32"/>
    <w:rsid w:val="008A31A8"/>
    <w:rsid w:val="008B2794"/>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D11F9"/>
    <w:rsid w:val="00BE6465"/>
    <w:rsid w:val="00BE785E"/>
    <w:rsid w:val="00BF1AB1"/>
    <w:rsid w:val="00C1178E"/>
    <w:rsid w:val="00C126D2"/>
    <w:rsid w:val="00C141FA"/>
    <w:rsid w:val="00C26B0B"/>
    <w:rsid w:val="00C364B4"/>
    <w:rsid w:val="00C40DCD"/>
    <w:rsid w:val="00C463E5"/>
    <w:rsid w:val="00C537C4"/>
    <w:rsid w:val="00C60464"/>
    <w:rsid w:val="00C60728"/>
    <w:rsid w:val="00C6621A"/>
    <w:rsid w:val="00C665A8"/>
    <w:rsid w:val="00C73F07"/>
    <w:rsid w:val="00C75731"/>
    <w:rsid w:val="00C90EEC"/>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85140"/>
    <w:rsid w:val="00D957F9"/>
    <w:rsid w:val="00DE4BFE"/>
    <w:rsid w:val="00DF1767"/>
    <w:rsid w:val="00E06385"/>
    <w:rsid w:val="00E16EAB"/>
    <w:rsid w:val="00E1732E"/>
    <w:rsid w:val="00E2118F"/>
    <w:rsid w:val="00E21415"/>
    <w:rsid w:val="00E2497A"/>
    <w:rsid w:val="00E250D5"/>
    <w:rsid w:val="00E271C5"/>
    <w:rsid w:val="00E3418A"/>
    <w:rsid w:val="00E412DC"/>
    <w:rsid w:val="00E535FD"/>
    <w:rsid w:val="00E63389"/>
    <w:rsid w:val="00E90BAC"/>
    <w:rsid w:val="00E9237E"/>
    <w:rsid w:val="00EB54DB"/>
    <w:rsid w:val="00EB6D3E"/>
    <w:rsid w:val="00ED4B5B"/>
    <w:rsid w:val="00F05AC7"/>
    <w:rsid w:val="00F31B31"/>
    <w:rsid w:val="00F3407E"/>
    <w:rsid w:val="00F53CBD"/>
    <w:rsid w:val="00F77368"/>
    <w:rsid w:val="00F909FF"/>
    <w:rsid w:val="00FB6EC7"/>
    <w:rsid w:val="00FC7847"/>
    <w:rsid w:val="00FD1E19"/>
    <w:rsid w:val="00FD2FD2"/>
    <w:rsid w:val="00FD447E"/>
    <w:rsid w:val="00FD5F6B"/>
    <w:rsid w:val="00FF5BE0"/>
    <w:rsid w:val="02462DDE"/>
    <w:rsid w:val="0C676084"/>
    <w:rsid w:val="10896788"/>
    <w:rsid w:val="11E164E5"/>
    <w:rsid w:val="156913AA"/>
    <w:rsid w:val="16A46C7F"/>
    <w:rsid w:val="179A4200"/>
    <w:rsid w:val="1A3B0898"/>
    <w:rsid w:val="1AF249D9"/>
    <w:rsid w:val="1D556AA3"/>
    <w:rsid w:val="2C6A1D02"/>
    <w:rsid w:val="2E0F6D8F"/>
    <w:rsid w:val="35AC74E7"/>
    <w:rsid w:val="3A4318F3"/>
    <w:rsid w:val="425C3C8B"/>
    <w:rsid w:val="45792793"/>
    <w:rsid w:val="4B2334FA"/>
    <w:rsid w:val="4C571D6E"/>
    <w:rsid w:val="4CC25CED"/>
    <w:rsid w:val="4E8761D4"/>
    <w:rsid w:val="5686400E"/>
    <w:rsid w:val="595122D2"/>
    <w:rsid w:val="600A1DE1"/>
    <w:rsid w:val="601F0919"/>
    <w:rsid w:val="664F348A"/>
    <w:rsid w:val="6AA30A3D"/>
    <w:rsid w:val="6BC71C1B"/>
    <w:rsid w:val="72D13C4B"/>
    <w:rsid w:val="738862F8"/>
    <w:rsid w:val="746701B8"/>
    <w:rsid w:val="76016521"/>
    <w:rsid w:val="79924F7F"/>
    <w:rsid w:val="79957DB2"/>
    <w:rsid w:val="7A1F5D62"/>
    <w:rsid w:val="7DC90D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99"/>
    <w:rPr>
      <w:sz w:val="24"/>
      <w:szCs w:val="24"/>
    </w:r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Date Char"/>
    <w:basedOn w:val="9"/>
    <w:link w:val="2"/>
    <w:qFormat/>
    <w:locked/>
    <w:uiPriority w:val="99"/>
    <w:rPr>
      <w:kern w:val="2"/>
      <w:sz w:val="24"/>
      <w:szCs w:val="24"/>
    </w:rPr>
  </w:style>
  <w:style w:type="character" w:customStyle="1" w:styleId="12">
    <w:name w:val="Balloon Text Char"/>
    <w:basedOn w:val="9"/>
    <w:link w:val="3"/>
    <w:qFormat/>
    <w:locked/>
    <w:uiPriority w:val="99"/>
    <w:rPr>
      <w:kern w:val="2"/>
      <w:sz w:val="18"/>
      <w:szCs w:val="18"/>
    </w:rPr>
  </w:style>
  <w:style w:type="character" w:customStyle="1" w:styleId="13">
    <w:name w:val="Footer Char"/>
    <w:basedOn w:val="9"/>
    <w:link w:val="4"/>
    <w:qFormat/>
    <w:locked/>
    <w:uiPriority w:val="99"/>
    <w:rPr>
      <w:kern w:val="2"/>
      <w:sz w:val="18"/>
      <w:szCs w:val="18"/>
    </w:rPr>
  </w:style>
  <w:style w:type="character" w:customStyle="1" w:styleId="14">
    <w:name w:val="Header Char"/>
    <w:basedOn w:val="9"/>
    <w:link w:val="5"/>
    <w:qFormat/>
    <w:locked/>
    <w:uiPriority w:val="99"/>
    <w:rPr>
      <w:kern w:val="2"/>
      <w:sz w:val="18"/>
      <w:szCs w:val="18"/>
    </w:rPr>
  </w:style>
  <w:style w:type="paragraph" w:styleId="15">
    <w:name w:val="List Paragraph"/>
    <w:basedOn w:val="1"/>
    <w:qFormat/>
    <w:uiPriority w:val="99"/>
    <w:pPr>
      <w:ind w:firstLine="420" w:firstLineChars="200"/>
    </w:pPr>
  </w:style>
  <w:style w:type="paragraph" w:customStyle="1" w:styleId="16">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WWW.YlmF.CoM</Company>
  <Pages>4</Pages>
  <Words>210</Words>
  <Characters>1203</Characters>
  <Lines>0</Lines>
  <Paragraphs>0</Paragraphs>
  <TotalTime>29</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2021-01-07T04:28:00Z</dcterms:created>
  <dc:creator>雨林木风</dc:creator>
  <cp:lastModifiedBy>彭shuhui</cp:lastModifiedBy>
  <cp:lastPrinted>2021-01-06T09:13:00Z</cp:lastPrinted>
  <dcterms:modified xsi:type="dcterms:W3CDTF">2021-08-24T08:44:27Z</dcterms:modified>
  <dc:title>关于举办“药物临床试验法规、技术与实施”</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95B5CDF595DE4AC18FCC6D074B81F409</vt:lpwstr>
  </property>
</Properties>
</file>