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5476" w:rsidRDefault="00423E71">
      <w:pPr>
        <w:spacing w:line="360" w:lineRule="auto"/>
        <w:jc w:val="center"/>
        <w:outlineLvl w:val="0"/>
        <w:rPr>
          <w:rFonts w:ascii="Times New Roman" w:eastAsia="宋体" w:hAnsi="Times New Roman" w:cs="Times New Roman"/>
          <w:b/>
          <w:bCs/>
          <w:color w:val="000000" w:themeColor="text1"/>
          <w:sz w:val="36"/>
          <w:szCs w:val="36"/>
        </w:rPr>
      </w:pPr>
      <w:bookmarkStart w:id="0" w:name="_Hlk62637620"/>
      <w:r>
        <w:rPr>
          <w:rFonts w:ascii="Times New Roman" w:eastAsia="宋体" w:hAnsi="Times New Roman" w:cs="Times New Roman" w:hint="eastAsia"/>
          <w:b/>
          <w:bCs/>
          <w:color w:val="000000" w:themeColor="text1"/>
          <w:sz w:val="36"/>
          <w:szCs w:val="36"/>
        </w:rPr>
        <w:t>慢性肾脏病患者降压药物使用</w:t>
      </w:r>
      <w:bookmarkEnd w:id="0"/>
      <w:r>
        <w:rPr>
          <w:rFonts w:ascii="Times New Roman" w:eastAsia="宋体" w:hAnsi="Times New Roman" w:cs="Times New Roman" w:hint="eastAsia"/>
          <w:b/>
          <w:bCs/>
          <w:color w:val="000000" w:themeColor="text1"/>
          <w:sz w:val="36"/>
          <w:szCs w:val="36"/>
        </w:rPr>
        <w:t>指引</w:t>
      </w:r>
    </w:p>
    <w:p w:rsidR="002E5476" w:rsidRDefault="00423E71">
      <w:pPr>
        <w:spacing w:line="360" w:lineRule="auto"/>
        <w:jc w:val="center"/>
        <w:rPr>
          <w:rFonts w:ascii="宋体" w:eastAsia="宋体" w:hAnsi="宋体" w:cs="宋体"/>
          <w:bCs/>
          <w:sz w:val="24"/>
          <w:szCs w:val="24"/>
          <w:lang w:eastAsia="zh-TW"/>
        </w:rPr>
      </w:pPr>
      <w:r>
        <w:rPr>
          <w:rFonts w:ascii="宋体" w:eastAsia="宋体" w:hAnsi="宋体" w:cs="宋体" w:hint="eastAsia"/>
          <w:bCs/>
          <w:sz w:val="24"/>
          <w:szCs w:val="24"/>
        </w:rPr>
        <w:t>（广东省药学会2022年6月</w:t>
      </w:r>
      <w:r w:rsidR="0082524C">
        <w:rPr>
          <w:rFonts w:ascii="宋体" w:eastAsia="宋体" w:hAnsi="宋体" w:cs="宋体" w:hint="eastAsia"/>
          <w:bCs/>
          <w:sz w:val="24"/>
          <w:szCs w:val="24"/>
        </w:rPr>
        <w:t>2</w:t>
      </w:r>
      <w:r w:rsidR="003F268E">
        <w:rPr>
          <w:rFonts w:ascii="宋体" w:eastAsia="宋体" w:hAnsi="宋体" w:cs="宋体" w:hint="eastAsia"/>
          <w:bCs/>
          <w:sz w:val="24"/>
          <w:szCs w:val="24"/>
        </w:rPr>
        <w:t>2</w:t>
      </w:r>
      <w:r>
        <w:rPr>
          <w:rFonts w:ascii="宋体" w:eastAsia="宋体" w:hAnsi="宋体" w:cs="宋体" w:hint="eastAsia"/>
          <w:bCs/>
          <w:sz w:val="24"/>
          <w:szCs w:val="24"/>
        </w:rPr>
        <w:t>日发布）</w:t>
      </w:r>
    </w:p>
    <w:p w:rsidR="002E5476" w:rsidRDefault="002E5476">
      <w:pPr>
        <w:spacing w:line="360" w:lineRule="auto"/>
        <w:jc w:val="center"/>
        <w:outlineLvl w:val="0"/>
        <w:rPr>
          <w:rFonts w:ascii="Times New Roman" w:eastAsia="宋体" w:hAnsi="Times New Roman" w:cs="Times New Roman"/>
          <w:color w:val="000000" w:themeColor="text1"/>
          <w:sz w:val="30"/>
          <w:szCs w:val="30"/>
        </w:rPr>
      </w:pPr>
    </w:p>
    <w:p w:rsidR="002E5476" w:rsidRDefault="00423E71">
      <w:pPr>
        <w:spacing w:line="360" w:lineRule="auto"/>
        <w:jc w:val="center"/>
        <w:outlineLvl w:val="0"/>
        <w:rPr>
          <w:rFonts w:ascii="Times New Roman" w:eastAsia="宋体" w:hAnsi="Times New Roman" w:cs="Times New Roman"/>
          <w:b/>
          <w:bCs/>
          <w:color w:val="000000" w:themeColor="text1"/>
          <w:sz w:val="32"/>
          <w:szCs w:val="32"/>
        </w:rPr>
      </w:pPr>
      <w:r>
        <w:rPr>
          <w:rFonts w:ascii="Times New Roman" w:eastAsia="宋体" w:hAnsi="Times New Roman" w:cs="Times New Roman" w:hint="eastAsia"/>
          <w:b/>
          <w:bCs/>
          <w:color w:val="000000" w:themeColor="text1"/>
          <w:sz w:val="32"/>
          <w:szCs w:val="32"/>
        </w:rPr>
        <w:t>目</w:t>
      </w:r>
      <w:r>
        <w:rPr>
          <w:rFonts w:ascii="Times New Roman" w:eastAsia="宋体" w:hAnsi="Times New Roman" w:cs="Times New Roman" w:hint="eastAsia"/>
          <w:b/>
          <w:bCs/>
          <w:color w:val="000000" w:themeColor="text1"/>
          <w:sz w:val="32"/>
          <w:szCs w:val="32"/>
        </w:rPr>
        <w:t xml:space="preserve">  </w:t>
      </w:r>
      <w:r>
        <w:rPr>
          <w:rFonts w:ascii="Times New Roman" w:eastAsia="宋体" w:hAnsi="Times New Roman" w:cs="Times New Roman" w:hint="eastAsia"/>
          <w:b/>
          <w:bCs/>
          <w:color w:val="000000" w:themeColor="text1"/>
          <w:sz w:val="32"/>
          <w:szCs w:val="32"/>
        </w:rPr>
        <w:t>录</w:t>
      </w:r>
    </w:p>
    <w:p w:rsidR="002E5476" w:rsidRDefault="00423E71">
      <w:pPr>
        <w:numPr>
          <w:ilvl w:val="0"/>
          <w:numId w:val="1"/>
        </w:numPr>
        <w:spacing w:line="360" w:lineRule="auto"/>
        <w:jc w:val="left"/>
        <w:rPr>
          <w:rFonts w:ascii="Times New Roman" w:eastAsia="宋体" w:hAnsi="Times New Roman" w:cs="Times New Roman"/>
          <w:color w:val="000000" w:themeColor="text1"/>
          <w:sz w:val="24"/>
          <w:szCs w:val="24"/>
        </w:rPr>
      </w:pPr>
      <w:bookmarkStart w:id="1" w:name="_Toc1885774516_WPSOffice_Type3"/>
      <w:r>
        <w:rPr>
          <w:rFonts w:ascii="Times New Roman" w:eastAsia="宋体" w:hAnsi="Times New Roman" w:cs="Times New Roman" w:hint="eastAsia"/>
          <w:color w:val="000000" w:themeColor="text1"/>
          <w:kern w:val="0"/>
          <w:sz w:val="24"/>
          <w:szCs w:val="24"/>
        </w:rPr>
        <w:t>前言</w:t>
      </w:r>
      <w:r>
        <w:rPr>
          <w:rFonts w:ascii="Times New Roman" w:eastAsia="宋体" w:hAnsi="Times New Roman" w:cs="Times New Roman"/>
          <w:color w:val="000000" w:themeColor="text1"/>
          <w:sz w:val="24"/>
          <w:szCs w:val="24"/>
        </w:rPr>
        <w:t>..................................................................................................................................................2</w:t>
      </w:r>
    </w:p>
    <w:p w:rsidR="002E5476" w:rsidRDefault="00B411DC">
      <w:pPr>
        <w:pStyle w:val="WPSOffice1"/>
        <w:tabs>
          <w:tab w:val="right" w:leader="dot" w:pos="9690"/>
        </w:tabs>
        <w:spacing w:line="360" w:lineRule="auto"/>
        <w:rPr>
          <w:color w:val="000000" w:themeColor="text1"/>
          <w:sz w:val="24"/>
          <w:szCs w:val="24"/>
        </w:rPr>
      </w:pPr>
      <w:hyperlink w:anchor="_Toc805301996_WPSOffice_Level1" w:history="1">
        <w:sdt>
          <w:sdtPr>
            <w:rPr>
              <w:color w:val="000000" w:themeColor="text1"/>
              <w:kern w:val="2"/>
              <w:sz w:val="24"/>
              <w:szCs w:val="24"/>
            </w:rPr>
            <w:id w:val="949242442"/>
            <w:placeholder>
              <w:docPart w:val="{f707655a-de5c-413b-9899-8884e167d69f}"/>
            </w:placeholder>
          </w:sdtPr>
          <w:sdtContent>
            <w:r w:rsidR="00423E71">
              <w:rPr>
                <w:color w:val="000000" w:themeColor="text1"/>
                <w:sz w:val="24"/>
                <w:szCs w:val="24"/>
              </w:rPr>
              <w:t>2. CKD</w:t>
            </w:r>
            <w:r w:rsidR="00423E71">
              <w:rPr>
                <w:rFonts w:hint="eastAsia"/>
                <w:color w:val="000000" w:themeColor="text1"/>
                <w:sz w:val="24"/>
                <w:szCs w:val="24"/>
              </w:rPr>
              <w:t>非透析人群高血压的治疗</w:t>
            </w:r>
          </w:sdtContent>
        </w:sdt>
        <w:r w:rsidR="00423E71">
          <w:rPr>
            <w:color w:val="000000" w:themeColor="text1"/>
            <w:sz w:val="24"/>
            <w:szCs w:val="24"/>
          </w:rPr>
          <w:tab/>
        </w:r>
      </w:hyperlink>
      <w:r w:rsidR="00423E71">
        <w:rPr>
          <w:color w:val="000000" w:themeColor="text1"/>
          <w:sz w:val="24"/>
          <w:szCs w:val="24"/>
        </w:rPr>
        <w:t>2</w:t>
      </w:r>
    </w:p>
    <w:p w:rsidR="002E5476" w:rsidRDefault="00B411DC">
      <w:pPr>
        <w:pStyle w:val="WPSOffice2"/>
        <w:tabs>
          <w:tab w:val="right" w:leader="dot" w:pos="9690"/>
        </w:tabs>
        <w:spacing w:line="360" w:lineRule="auto"/>
        <w:ind w:left="420"/>
        <w:rPr>
          <w:color w:val="000000" w:themeColor="text1"/>
          <w:sz w:val="24"/>
          <w:szCs w:val="24"/>
        </w:rPr>
      </w:pPr>
      <w:hyperlink w:anchor="_Toc1885774516_WPSOffice_Level2" w:history="1">
        <w:sdt>
          <w:sdtPr>
            <w:rPr>
              <w:color w:val="000000" w:themeColor="text1"/>
              <w:kern w:val="2"/>
              <w:sz w:val="24"/>
              <w:szCs w:val="24"/>
            </w:rPr>
            <w:id w:val="1593889718"/>
            <w:placeholder>
              <w:docPart w:val="{9ee997aa-0df6-45ae-943c-0d01bf97c546}"/>
            </w:placeholder>
          </w:sdtPr>
          <w:sdtContent>
            <w:r w:rsidR="00423E71">
              <w:rPr>
                <w:color w:val="000000" w:themeColor="text1"/>
                <w:sz w:val="24"/>
                <w:szCs w:val="24"/>
              </w:rPr>
              <w:t>2.1 CKD</w:t>
            </w:r>
            <w:r w:rsidR="00423E71">
              <w:rPr>
                <w:rFonts w:hint="eastAsia"/>
                <w:color w:val="000000" w:themeColor="text1"/>
                <w:sz w:val="24"/>
                <w:szCs w:val="24"/>
              </w:rPr>
              <w:t>非透析人群的降压目标值</w:t>
            </w:r>
          </w:sdtContent>
        </w:sdt>
        <w:r w:rsidR="00423E71">
          <w:rPr>
            <w:color w:val="000000" w:themeColor="text1"/>
            <w:sz w:val="24"/>
            <w:szCs w:val="24"/>
          </w:rPr>
          <w:tab/>
        </w:r>
      </w:hyperlink>
      <w:r w:rsidR="00423E71">
        <w:rPr>
          <w:color w:val="000000" w:themeColor="text1"/>
          <w:sz w:val="24"/>
          <w:szCs w:val="24"/>
        </w:rPr>
        <w:t>2</w:t>
      </w:r>
    </w:p>
    <w:p w:rsidR="002E5476" w:rsidRDefault="00B411DC">
      <w:pPr>
        <w:pStyle w:val="WPSOffice3"/>
        <w:tabs>
          <w:tab w:val="right" w:leader="dot" w:pos="9690"/>
        </w:tabs>
        <w:spacing w:line="360" w:lineRule="auto"/>
        <w:ind w:left="840"/>
        <w:rPr>
          <w:color w:val="000000" w:themeColor="text1"/>
          <w:sz w:val="24"/>
          <w:szCs w:val="24"/>
        </w:rPr>
      </w:pPr>
      <w:hyperlink w:anchor="_Toc1885774516_WPSOffice_Level3" w:history="1">
        <w:sdt>
          <w:sdtPr>
            <w:rPr>
              <w:color w:val="000000" w:themeColor="text1"/>
              <w:kern w:val="2"/>
              <w:sz w:val="24"/>
              <w:szCs w:val="24"/>
            </w:rPr>
            <w:id w:val="507486800"/>
            <w:placeholder>
              <w:docPart w:val="{75002aa8-d9a3-4af0-bb8e-aa70beaaa068}"/>
            </w:placeholder>
          </w:sdtPr>
          <w:sdtContent>
            <w:r w:rsidR="00423E71">
              <w:rPr>
                <w:rFonts w:hint="eastAsia"/>
                <w:color w:val="000000" w:themeColor="text1"/>
                <w:sz w:val="24"/>
                <w:szCs w:val="24"/>
              </w:rPr>
              <w:t>表</w:t>
            </w:r>
            <w:r w:rsidR="00423E71">
              <w:rPr>
                <w:color w:val="000000" w:themeColor="text1"/>
                <w:sz w:val="24"/>
                <w:szCs w:val="24"/>
              </w:rPr>
              <w:t>1</w:t>
            </w:r>
            <w:r w:rsidR="00423E71">
              <w:rPr>
                <w:rFonts w:hint="eastAsia"/>
                <w:color w:val="000000" w:themeColor="text1"/>
                <w:sz w:val="24"/>
                <w:szCs w:val="24"/>
              </w:rPr>
              <w:t xml:space="preserve"> </w:t>
            </w:r>
            <w:r w:rsidR="00423E71">
              <w:rPr>
                <w:rFonts w:hint="eastAsia"/>
                <w:color w:val="000000" w:themeColor="text1"/>
                <w:sz w:val="24"/>
                <w:szCs w:val="24"/>
              </w:rPr>
              <w:t>不同指南对成人高血压降压目标和起始药物选择的推荐表</w:t>
            </w:r>
          </w:sdtContent>
        </w:sdt>
        <w:r w:rsidR="00423E71">
          <w:rPr>
            <w:color w:val="000000" w:themeColor="text1"/>
            <w:sz w:val="24"/>
            <w:szCs w:val="24"/>
          </w:rPr>
          <w:tab/>
        </w:r>
      </w:hyperlink>
      <w:r w:rsidR="00423E71">
        <w:rPr>
          <w:color w:val="000000" w:themeColor="text1"/>
          <w:sz w:val="24"/>
          <w:szCs w:val="24"/>
        </w:rPr>
        <w:t>3</w:t>
      </w:r>
    </w:p>
    <w:p w:rsidR="002E5476" w:rsidRDefault="00B411DC">
      <w:pPr>
        <w:pStyle w:val="WPSOffice2"/>
        <w:tabs>
          <w:tab w:val="right" w:leader="dot" w:pos="9690"/>
        </w:tabs>
        <w:spacing w:line="360" w:lineRule="auto"/>
        <w:ind w:left="420"/>
        <w:rPr>
          <w:color w:val="000000" w:themeColor="text1"/>
          <w:sz w:val="24"/>
          <w:szCs w:val="24"/>
        </w:rPr>
      </w:pPr>
      <w:hyperlink w:anchor="_Toc1648627986_WPSOffice_Level2" w:history="1">
        <w:sdt>
          <w:sdtPr>
            <w:rPr>
              <w:color w:val="000000" w:themeColor="text1"/>
              <w:kern w:val="2"/>
              <w:sz w:val="24"/>
              <w:szCs w:val="24"/>
            </w:rPr>
            <w:id w:val="1865942371"/>
            <w:placeholder>
              <w:docPart w:val="{4aed588f-8c5a-45ec-9563-3824c7c6a6bb}"/>
            </w:placeholder>
          </w:sdtPr>
          <w:sdtContent>
            <w:r w:rsidR="00423E71">
              <w:rPr>
                <w:color w:val="000000" w:themeColor="text1"/>
                <w:sz w:val="24"/>
                <w:szCs w:val="24"/>
              </w:rPr>
              <w:t>2.2 CKD</w:t>
            </w:r>
            <w:r w:rsidR="00423E71">
              <w:rPr>
                <w:rFonts w:hint="eastAsia"/>
                <w:color w:val="000000" w:themeColor="text1"/>
                <w:sz w:val="24"/>
                <w:szCs w:val="24"/>
              </w:rPr>
              <w:t>非透析人群降压药物的选择原则</w:t>
            </w:r>
          </w:sdtContent>
        </w:sdt>
        <w:r w:rsidR="00423E71">
          <w:rPr>
            <w:color w:val="000000" w:themeColor="text1"/>
            <w:sz w:val="24"/>
            <w:szCs w:val="24"/>
          </w:rPr>
          <w:tab/>
        </w:r>
      </w:hyperlink>
      <w:r w:rsidR="00423E71">
        <w:rPr>
          <w:color w:val="000000" w:themeColor="text1"/>
          <w:sz w:val="24"/>
          <w:szCs w:val="24"/>
        </w:rPr>
        <w:t>6</w:t>
      </w:r>
    </w:p>
    <w:p w:rsidR="002E5476" w:rsidRDefault="00B411DC">
      <w:pPr>
        <w:pStyle w:val="WPSOffice3"/>
        <w:tabs>
          <w:tab w:val="right" w:leader="dot" w:pos="9690"/>
        </w:tabs>
        <w:spacing w:line="360" w:lineRule="auto"/>
        <w:ind w:left="840"/>
        <w:rPr>
          <w:color w:val="000000" w:themeColor="text1"/>
          <w:sz w:val="24"/>
          <w:szCs w:val="24"/>
        </w:rPr>
      </w:pPr>
      <w:hyperlink w:anchor="_Toc1648627986_WPSOffice_Level3" w:history="1">
        <w:sdt>
          <w:sdtPr>
            <w:rPr>
              <w:color w:val="000000" w:themeColor="text1"/>
              <w:kern w:val="2"/>
              <w:sz w:val="24"/>
              <w:szCs w:val="24"/>
            </w:rPr>
            <w:id w:val="185270643"/>
            <w:placeholder>
              <w:docPart w:val="{958951a4-94b1-43a0-b4bd-2cc74d113f66}"/>
            </w:placeholder>
          </w:sdtPr>
          <w:sdtContent>
            <w:r w:rsidR="00423E71">
              <w:rPr>
                <w:color w:val="000000" w:themeColor="text1"/>
                <w:sz w:val="24"/>
                <w:szCs w:val="24"/>
              </w:rPr>
              <w:t>2.2.1</w:t>
            </w:r>
            <w:r w:rsidR="00423E71">
              <w:rPr>
                <w:rFonts w:hint="eastAsia"/>
                <w:color w:val="000000" w:themeColor="text1"/>
                <w:sz w:val="24"/>
                <w:szCs w:val="24"/>
              </w:rPr>
              <w:t>不同类型降压药物的特点</w:t>
            </w:r>
          </w:sdtContent>
        </w:sdt>
        <w:r w:rsidR="00423E71">
          <w:rPr>
            <w:color w:val="000000" w:themeColor="text1"/>
            <w:sz w:val="24"/>
            <w:szCs w:val="24"/>
          </w:rPr>
          <w:tab/>
        </w:r>
      </w:hyperlink>
      <w:r w:rsidR="00423E71">
        <w:rPr>
          <w:color w:val="000000" w:themeColor="text1"/>
          <w:sz w:val="24"/>
          <w:szCs w:val="24"/>
        </w:rPr>
        <w:t>6</w:t>
      </w:r>
    </w:p>
    <w:p w:rsidR="002E5476" w:rsidRDefault="00B411DC">
      <w:pPr>
        <w:pStyle w:val="WPSOffice3"/>
        <w:tabs>
          <w:tab w:val="right" w:leader="dot" w:pos="9690"/>
        </w:tabs>
        <w:spacing w:line="360" w:lineRule="auto"/>
        <w:ind w:left="840"/>
        <w:rPr>
          <w:color w:val="000000" w:themeColor="text1"/>
          <w:sz w:val="24"/>
          <w:szCs w:val="24"/>
        </w:rPr>
      </w:pPr>
      <w:hyperlink w:anchor="_Toc1656547108_WPSOffice_Level3" w:history="1">
        <w:sdt>
          <w:sdtPr>
            <w:rPr>
              <w:color w:val="000000" w:themeColor="text1"/>
              <w:kern w:val="2"/>
              <w:sz w:val="24"/>
              <w:szCs w:val="24"/>
            </w:rPr>
            <w:id w:val="9951955"/>
            <w:placeholder>
              <w:docPart w:val="{403affda-205a-4dc4-9ca3-57b568c4f88f}"/>
            </w:placeholder>
          </w:sdtPr>
          <w:sdtContent>
            <w:r w:rsidR="00423E71">
              <w:rPr>
                <w:color w:val="000000" w:themeColor="text1"/>
                <w:kern w:val="2"/>
                <w:sz w:val="24"/>
                <w:szCs w:val="24"/>
              </w:rPr>
              <w:t>2</w:t>
            </w:r>
            <w:r w:rsidR="00423E71">
              <w:rPr>
                <w:color w:val="000000" w:themeColor="text1"/>
                <w:sz w:val="24"/>
                <w:szCs w:val="24"/>
              </w:rPr>
              <w:t>.2.2</w:t>
            </w:r>
            <w:r w:rsidR="00423E71">
              <w:rPr>
                <w:rFonts w:hint="eastAsia"/>
                <w:color w:val="000000" w:themeColor="text1"/>
                <w:sz w:val="24"/>
                <w:szCs w:val="24"/>
              </w:rPr>
              <w:t>降压药物的联合应用</w:t>
            </w:r>
          </w:sdtContent>
        </w:sdt>
        <w:r w:rsidR="00423E71">
          <w:rPr>
            <w:color w:val="000000" w:themeColor="text1"/>
            <w:sz w:val="24"/>
            <w:szCs w:val="24"/>
          </w:rPr>
          <w:tab/>
        </w:r>
        <w:bookmarkStart w:id="2" w:name="_Toc1656547108_WPSOffice_Level3Page"/>
        <w:r w:rsidR="00423E71">
          <w:rPr>
            <w:color w:val="000000" w:themeColor="text1"/>
            <w:sz w:val="24"/>
            <w:szCs w:val="24"/>
          </w:rPr>
          <w:t>1</w:t>
        </w:r>
        <w:bookmarkEnd w:id="2"/>
      </w:hyperlink>
      <w:r w:rsidR="00423E71">
        <w:rPr>
          <w:color w:val="000000" w:themeColor="text1"/>
          <w:sz w:val="24"/>
          <w:szCs w:val="24"/>
        </w:rPr>
        <w:t>0</w:t>
      </w:r>
    </w:p>
    <w:p w:rsidR="002E5476" w:rsidRDefault="00B411DC">
      <w:pPr>
        <w:pStyle w:val="WPSOffice1"/>
        <w:tabs>
          <w:tab w:val="right" w:leader="dot" w:pos="9690"/>
        </w:tabs>
        <w:spacing w:line="360" w:lineRule="auto"/>
        <w:rPr>
          <w:color w:val="000000" w:themeColor="text1"/>
          <w:sz w:val="24"/>
          <w:szCs w:val="24"/>
        </w:rPr>
      </w:pPr>
      <w:hyperlink w:anchor="_Toc1885774516_WPSOffice_Level1" w:history="1">
        <w:sdt>
          <w:sdtPr>
            <w:rPr>
              <w:color w:val="000000" w:themeColor="text1"/>
              <w:kern w:val="2"/>
              <w:sz w:val="24"/>
              <w:szCs w:val="24"/>
            </w:rPr>
            <w:id w:val="-1999256695"/>
            <w:placeholder>
              <w:docPart w:val="{8e5e9d69-0733-4f0f-941d-efc635a8d5f0}"/>
            </w:placeholder>
          </w:sdtPr>
          <w:sdtContent>
            <w:r w:rsidR="00423E71">
              <w:rPr>
                <w:color w:val="000000" w:themeColor="text1"/>
                <w:kern w:val="2"/>
                <w:sz w:val="24"/>
                <w:szCs w:val="24"/>
              </w:rPr>
              <w:t>3</w:t>
            </w:r>
            <w:r w:rsidR="00423E71">
              <w:rPr>
                <w:color w:val="000000" w:themeColor="text1"/>
                <w:sz w:val="24"/>
                <w:szCs w:val="24"/>
              </w:rPr>
              <w:t>. CKD</w:t>
            </w:r>
            <w:r w:rsidR="00423E71">
              <w:rPr>
                <w:rFonts w:hint="eastAsia"/>
                <w:color w:val="000000" w:themeColor="text1"/>
                <w:sz w:val="24"/>
                <w:szCs w:val="24"/>
              </w:rPr>
              <w:t>透析人群高血压的治疗</w:t>
            </w:r>
          </w:sdtContent>
        </w:sdt>
        <w:r w:rsidR="00423E71">
          <w:rPr>
            <w:color w:val="000000" w:themeColor="text1"/>
            <w:sz w:val="24"/>
            <w:szCs w:val="24"/>
          </w:rPr>
          <w:tab/>
        </w:r>
        <w:bookmarkStart w:id="3" w:name="_Toc1885774516_WPSOffice_Level1Page"/>
        <w:r w:rsidR="00423E71">
          <w:rPr>
            <w:color w:val="000000" w:themeColor="text1"/>
            <w:sz w:val="24"/>
            <w:szCs w:val="24"/>
          </w:rPr>
          <w:t>1</w:t>
        </w:r>
        <w:bookmarkEnd w:id="3"/>
      </w:hyperlink>
      <w:r w:rsidR="00423E71">
        <w:rPr>
          <w:color w:val="000000" w:themeColor="text1"/>
          <w:sz w:val="24"/>
          <w:szCs w:val="24"/>
        </w:rPr>
        <w:t>1</w:t>
      </w:r>
    </w:p>
    <w:p w:rsidR="002E5476" w:rsidRDefault="00B411DC">
      <w:pPr>
        <w:pStyle w:val="WPSOffice2"/>
        <w:tabs>
          <w:tab w:val="right" w:leader="dot" w:pos="9690"/>
        </w:tabs>
        <w:spacing w:line="360" w:lineRule="auto"/>
        <w:ind w:left="420"/>
        <w:rPr>
          <w:color w:val="000000" w:themeColor="text1"/>
          <w:sz w:val="24"/>
          <w:szCs w:val="24"/>
        </w:rPr>
      </w:pPr>
      <w:hyperlink w:anchor="_Toc1656547108_WPSOffice_Level2" w:history="1">
        <w:sdt>
          <w:sdtPr>
            <w:rPr>
              <w:color w:val="000000" w:themeColor="text1"/>
              <w:kern w:val="2"/>
              <w:sz w:val="24"/>
              <w:szCs w:val="24"/>
            </w:rPr>
            <w:id w:val="-428360264"/>
            <w:placeholder>
              <w:docPart w:val="{d492f4e9-27d8-4197-a0d1-8865533947e9}"/>
            </w:placeholder>
          </w:sdtPr>
          <w:sdtContent>
            <w:r w:rsidR="00423E71">
              <w:rPr>
                <w:color w:val="000000" w:themeColor="text1"/>
                <w:sz w:val="24"/>
                <w:szCs w:val="24"/>
              </w:rPr>
              <w:t xml:space="preserve">3.1 </w:t>
            </w:r>
            <w:r w:rsidR="00423E71">
              <w:rPr>
                <w:rFonts w:hint="eastAsia"/>
                <w:color w:val="000000" w:themeColor="text1"/>
                <w:sz w:val="24"/>
                <w:szCs w:val="24"/>
              </w:rPr>
              <w:t>血液透析</w:t>
            </w:r>
          </w:sdtContent>
        </w:sdt>
        <w:r w:rsidR="00423E71">
          <w:rPr>
            <w:color w:val="000000" w:themeColor="text1"/>
            <w:sz w:val="24"/>
            <w:szCs w:val="24"/>
          </w:rPr>
          <w:tab/>
        </w:r>
        <w:bookmarkStart w:id="4" w:name="_Toc1656547108_WPSOffice_Level2Page"/>
        <w:r w:rsidR="00423E71">
          <w:rPr>
            <w:color w:val="000000" w:themeColor="text1"/>
            <w:sz w:val="24"/>
            <w:szCs w:val="24"/>
          </w:rPr>
          <w:t>1</w:t>
        </w:r>
        <w:bookmarkEnd w:id="4"/>
      </w:hyperlink>
      <w:r w:rsidR="00423E71">
        <w:rPr>
          <w:color w:val="000000" w:themeColor="text1"/>
          <w:sz w:val="24"/>
          <w:szCs w:val="24"/>
        </w:rPr>
        <w:t>1</w:t>
      </w:r>
    </w:p>
    <w:p w:rsidR="002E5476" w:rsidRDefault="00B411DC">
      <w:pPr>
        <w:pStyle w:val="WPSOffice3"/>
        <w:tabs>
          <w:tab w:val="right" w:leader="dot" w:pos="9690"/>
        </w:tabs>
        <w:spacing w:line="360" w:lineRule="auto"/>
        <w:ind w:left="840"/>
        <w:rPr>
          <w:color w:val="000000" w:themeColor="text1"/>
          <w:sz w:val="24"/>
          <w:szCs w:val="24"/>
        </w:rPr>
      </w:pPr>
      <w:hyperlink w:anchor="_Toc1609244448_WPSOffice_Level3" w:history="1">
        <w:sdt>
          <w:sdtPr>
            <w:rPr>
              <w:color w:val="000000" w:themeColor="text1"/>
              <w:kern w:val="2"/>
              <w:sz w:val="24"/>
              <w:szCs w:val="24"/>
            </w:rPr>
            <w:id w:val="68857464"/>
            <w:placeholder>
              <w:docPart w:val="{f46f9597-ea5f-483f-8f6c-d08980387de9}"/>
            </w:placeholder>
          </w:sdtPr>
          <w:sdtContent>
            <w:r w:rsidR="00423E71">
              <w:rPr>
                <w:rFonts w:hint="eastAsia"/>
                <w:color w:val="000000" w:themeColor="text1"/>
                <w:sz w:val="24"/>
                <w:szCs w:val="24"/>
              </w:rPr>
              <w:t>表</w:t>
            </w:r>
            <w:r w:rsidR="00423E71">
              <w:rPr>
                <w:color w:val="000000" w:themeColor="text1"/>
                <w:sz w:val="24"/>
                <w:szCs w:val="24"/>
              </w:rPr>
              <w:t xml:space="preserve">2 </w:t>
            </w:r>
            <w:r w:rsidR="00423E71">
              <w:rPr>
                <w:rFonts w:hint="eastAsia"/>
                <w:color w:val="000000" w:themeColor="text1"/>
                <w:sz w:val="24"/>
                <w:szCs w:val="24"/>
              </w:rPr>
              <w:t>透析患者的高血压诊断</w:t>
            </w:r>
          </w:sdtContent>
        </w:sdt>
        <w:r w:rsidR="00423E71">
          <w:rPr>
            <w:color w:val="000000" w:themeColor="text1"/>
            <w:sz w:val="24"/>
            <w:szCs w:val="24"/>
          </w:rPr>
          <w:tab/>
        </w:r>
        <w:bookmarkStart w:id="5" w:name="_Toc1609244448_WPSOffice_Level3Page"/>
        <w:r w:rsidR="00423E71">
          <w:rPr>
            <w:color w:val="000000" w:themeColor="text1"/>
            <w:sz w:val="24"/>
            <w:szCs w:val="24"/>
          </w:rPr>
          <w:t>1</w:t>
        </w:r>
        <w:bookmarkEnd w:id="5"/>
      </w:hyperlink>
      <w:r w:rsidR="00423E71">
        <w:rPr>
          <w:color w:val="000000" w:themeColor="text1"/>
          <w:sz w:val="24"/>
          <w:szCs w:val="24"/>
        </w:rPr>
        <w:t>2</w:t>
      </w:r>
    </w:p>
    <w:p w:rsidR="002E5476" w:rsidRDefault="00B411DC">
      <w:pPr>
        <w:pStyle w:val="WPSOffice2"/>
        <w:tabs>
          <w:tab w:val="right" w:leader="dot" w:pos="9690"/>
        </w:tabs>
        <w:spacing w:line="360" w:lineRule="auto"/>
        <w:ind w:left="420"/>
        <w:rPr>
          <w:color w:val="000000" w:themeColor="text1"/>
          <w:sz w:val="24"/>
          <w:szCs w:val="24"/>
        </w:rPr>
      </w:pPr>
      <w:hyperlink w:anchor="_Toc1609244448_WPSOffice_Level2" w:history="1">
        <w:sdt>
          <w:sdtPr>
            <w:rPr>
              <w:color w:val="000000" w:themeColor="text1"/>
              <w:kern w:val="2"/>
              <w:sz w:val="24"/>
              <w:szCs w:val="24"/>
            </w:rPr>
            <w:id w:val="1712928757"/>
            <w:placeholder>
              <w:docPart w:val="{0561ce1f-e219-476c-8abf-5cf19d917fc0}"/>
            </w:placeholder>
          </w:sdtPr>
          <w:sdtContent>
            <w:r w:rsidR="00423E71">
              <w:rPr>
                <w:color w:val="000000" w:themeColor="text1"/>
                <w:kern w:val="2"/>
                <w:sz w:val="24"/>
                <w:szCs w:val="24"/>
              </w:rPr>
              <w:t>3</w:t>
            </w:r>
            <w:r w:rsidR="00423E71">
              <w:rPr>
                <w:color w:val="000000" w:themeColor="text1"/>
                <w:sz w:val="24"/>
                <w:szCs w:val="24"/>
              </w:rPr>
              <w:t xml:space="preserve">.2 </w:t>
            </w:r>
            <w:r w:rsidR="00423E71">
              <w:rPr>
                <w:rFonts w:hint="eastAsia"/>
                <w:color w:val="000000" w:themeColor="text1"/>
                <w:sz w:val="24"/>
                <w:szCs w:val="24"/>
              </w:rPr>
              <w:t>腹膜透析</w:t>
            </w:r>
          </w:sdtContent>
        </w:sdt>
        <w:r w:rsidR="00423E71">
          <w:rPr>
            <w:color w:val="000000" w:themeColor="text1"/>
            <w:sz w:val="24"/>
            <w:szCs w:val="24"/>
          </w:rPr>
          <w:tab/>
        </w:r>
        <w:bookmarkStart w:id="6" w:name="_Toc1609244448_WPSOffice_Level2Page"/>
        <w:r w:rsidR="00423E71">
          <w:rPr>
            <w:color w:val="000000" w:themeColor="text1"/>
            <w:sz w:val="24"/>
            <w:szCs w:val="24"/>
          </w:rPr>
          <w:t>1</w:t>
        </w:r>
        <w:bookmarkEnd w:id="6"/>
      </w:hyperlink>
      <w:r w:rsidR="00423E71">
        <w:rPr>
          <w:color w:val="000000" w:themeColor="text1"/>
          <w:sz w:val="24"/>
          <w:szCs w:val="24"/>
        </w:rPr>
        <w:t>3</w:t>
      </w:r>
    </w:p>
    <w:p w:rsidR="002E5476" w:rsidRDefault="00B411DC">
      <w:pPr>
        <w:pStyle w:val="WPSOffice1"/>
        <w:tabs>
          <w:tab w:val="right" w:leader="dot" w:pos="9690"/>
        </w:tabs>
        <w:spacing w:line="360" w:lineRule="auto"/>
        <w:rPr>
          <w:color w:val="000000" w:themeColor="text1"/>
          <w:sz w:val="24"/>
          <w:szCs w:val="24"/>
        </w:rPr>
      </w:pPr>
      <w:hyperlink w:anchor="_Toc1648627986_WPSOffice_Level1" w:history="1">
        <w:sdt>
          <w:sdtPr>
            <w:rPr>
              <w:color w:val="000000" w:themeColor="text1"/>
              <w:kern w:val="2"/>
              <w:sz w:val="24"/>
              <w:szCs w:val="24"/>
            </w:rPr>
            <w:id w:val="-331377193"/>
            <w:placeholder>
              <w:docPart w:val="{b185b664-cf70-40b6-8e12-0f3393d6ec2e}"/>
            </w:placeholder>
          </w:sdtPr>
          <w:sdtContent>
            <w:r w:rsidR="00423E71">
              <w:rPr>
                <w:color w:val="000000" w:themeColor="text1"/>
                <w:kern w:val="2"/>
                <w:sz w:val="24"/>
                <w:szCs w:val="24"/>
              </w:rPr>
              <w:t>4</w:t>
            </w:r>
            <w:r w:rsidR="00423E71">
              <w:rPr>
                <w:color w:val="000000" w:themeColor="text1"/>
                <w:sz w:val="24"/>
                <w:szCs w:val="24"/>
              </w:rPr>
              <w:t xml:space="preserve">. </w:t>
            </w:r>
            <w:r w:rsidR="00423E71">
              <w:rPr>
                <w:rFonts w:hint="eastAsia"/>
                <w:color w:val="000000" w:themeColor="text1"/>
                <w:sz w:val="24"/>
                <w:szCs w:val="24"/>
              </w:rPr>
              <w:t>其他特殊情况</w:t>
            </w:r>
          </w:sdtContent>
        </w:sdt>
        <w:r w:rsidR="00423E71">
          <w:rPr>
            <w:color w:val="000000" w:themeColor="text1"/>
            <w:sz w:val="24"/>
            <w:szCs w:val="24"/>
          </w:rPr>
          <w:tab/>
        </w:r>
        <w:bookmarkStart w:id="7" w:name="_Toc1648627986_WPSOffice_Level1Page"/>
        <w:r w:rsidR="00423E71">
          <w:rPr>
            <w:color w:val="000000" w:themeColor="text1"/>
            <w:sz w:val="24"/>
            <w:szCs w:val="24"/>
          </w:rPr>
          <w:t>1</w:t>
        </w:r>
        <w:bookmarkEnd w:id="7"/>
      </w:hyperlink>
      <w:r w:rsidR="00423E71">
        <w:rPr>
          <w:color w:val="000000" w:themeColor="text1"/>
          <w:sz w:val="24"/>
          <w:szCs w:val="24"/>
        </w:rPr>
        <w:t>4</w:t>
      </w:r>
    </w:p>
    <w:p w:rsidR="002E5476" w:rsidRDefault="00B411DC">
      <w:pPr>
        <w:pStyle w:val="WPSOffice2"/>
        <w:tabs>
          <w:tab w:val="right" w:leader="dot" w:pos="9690"/>
        </w:tabs>
        <w:spacing w:line="360" w:lineRule="auto"/>
        <w:ind w:left="420"/>
        <w:rPr>
          <w:color w:val="000000" w:themeColor="text1"/>
          <w:sz w:val="24"/>
          <w:szCs w:val="24"/>
        </w:rPr>
      </w:pPr>
      <w:hyperlink w:anchor="_Toc1162387218_WPSOffice_Level2" w:history="1">
        <w:sdt>
          <w:sdtPr>
            <w:rPr>
              <w:color w:val="000000" w:themeColor="text1"/>
              <w:kern w:val="2"/>
              <w:sz w:val="24"/>
              <w:szCs w:val="24"/>
            </w:rPr>
            <w:id w:val="428091129"/>
            <w:placeholder>
              <w:docPart w:val="{e93358e1-79aa-4431-a76c-7c7def9dacc2}"/>
            </w:placeholder>
          </w:sdtPr>
          <w:sdtContent>
            <w:r w:rsidR="00423E71">
              <w:rPr>
                <w:color w:val="000000" w:themeColor="text1"/>
                <w:sz w:val="24"/>
                <w:szCs w:val="24"/>
              </w:rPr>
              <w:t xml:space="preserve">4.1 </w:t>
            </w:r>
            <w:r w:rsidR="00423E71">
              <w:rPr>
                <w:rFonts w:hint="eastAsia"/>
                <w:color w:val="000000" w:themeColor="text1"/>
                <w:sz w:val="24"/>
                <w:szCs w:val="24"/>
              </w:rPr>
              <w:t>肾血管性高血压</w:t>
            </w:r>
          </w:sdtContent>
        </w:sdt>
        <w:r w:rsidR="00423E71">
          <w:rPr>
            <w:color w:val="000000" w:themeColor="text1"/>
            <w:sz w:val="24"/>
            <w:szCs w:val="24"/>
          </w:rPr>
          <w:tab/>
        </w:r>
        <w:bookmarkStart w:id="8" w:name="_Toc1162387218_WPSOffice_Level2Page"/>
        <w:r w:rsidR="00423E71">
          <w:rPr>
            <w:color w:val="000000" w:themeColor="text1"/>
            <w:sz w:val="24"/>
            <w:szCs w:val="24"/>
          </w:rPr>
          <w:t>1</w:t>
        </w:r>
        <w:bookmarkEnd w:id="8"/>
      </w:hyperlink>
      <w:r w:rsidR="00423E71">
        <w:rPr>
          <w:color w:val="000000" w:themeColor="text1"/>
          <w:sz w:val="24"/>
          <w:szCs w:val="24"/>
        </w:rPr>
        <w:t>4</w:t>
      </w:r>
    </w:p>
    <w:p w:rsidR="002E5476" w:rsidRDefault="00B411DC">
      <w:pPr>
        <w:pStyle w:val="WPSOffice2"/>
        <w:tabs>
          <w:tab w:val="right" w:leader="dot" w:pos="9690"/>
        </w:tabs>
        <w:spacing w:line="360" w:lineRule="auto"/>
        <w:ind w:left="420"/>
        <w:rPr>
          <w:color w:val="000000" w:themeColor="text1"/>
          <w:sz w:val="24"/>
          <w:szCs w:val="24"/>
        </w:rPr>
      </w:pPr>
      <w:hyperlink w:anchor="_Toc583236167_WPSOffice_Level2" w:history="1">
        <w:sdt>
          <w:sdtPr>
            <w:rPr>
              <w:color w:val="000000" w:themeColor="text1"/>
              <w:kern w:val="2"/>
              <w:sz w:val="24"/>
              <w:szCs w:val="24"/>
            </w:rPr>
            <w:id w:val="1655024236"/>
            <w:placeholder>
              <w:docPart w:val="{ec138fb2-ed9d-41fe-b544-79f9cca4b474}"/>
            </w:placeholder>
          </w:sdtPr>
          <w:sdtContent>
            <w:r w:rsidR="00423E71">
              <w:rPr>
                <w:color w:val="000000" w:themeColor="text1"/>
                <w:sz w:val="24"/>
                <w:szCs w:val="24"/>
              </w:rPr>
              <w:t xml:space="preserve">4.2 </w:t>
            </w:r>
            <w:r w:rsidR="00423E71">
              <w:rPr>
                <w:rFonts w:hint="eastAsia"/>
                <w:color w:val="000000" w:themeColor="text1"/>
                <w:sz w:val="24"/>
                <w:szCs w:val="24"/>
              </w:rPr>
              <w:t>肾移植后高血压</w:t>
            </w:r>
          </w:sdtContent>
        </w:sdt>
        <w:r w:rsidR="00423E71">
          <w:rPr>
            <w:color w:val="000000" w:themeColor="text1"/>
            <w:sz w:val="24"/>
            <w:szCs w:val="24"/>
          </w:rPr>
          <w:tab/>
        </w:r>
        <w:bookmarkStart w:id="9" w:name="_Toc583236167_WPSOffice_Level2Page"/>
        <w:r w:rsidR="00423E71">
          <w:rPr>
            <w:color w:val="000000" w:themeColor="text1"/>
            <w:sz w:val="24"/>
            <w:szCs w:val="24"/>
          </w:rPr>
          <w:t>1</w:t>
        </w:r>
        <w:bookmarkEnd w:id="9"/>
      </w:hyperlink>
      <w:r w:rsidR="00423E71">
        <w:rPr>
          <w:color w:val="000000" w:themeColor="text1"/>
          <w:sz w:val="24"/>
          <w:szCs w:val="24"/>
        </w:rPr>
        <w:t>4</w:t>
      </w:r>
    </w:p>
    <w:p w:rsidR="002E5476" w:rsidRDefault="00B411DC">
      <w:pPr>
        <w:pStyle w:val="WPSOffice2"/>
        <w:tabs>
          <w:tab w:val="right" w:leader="dot" w:pos="9690"/>
        </w:tabs>
        <w:spacing w:line="360" w:lineRule="auto"/>
        <w:ind w:left="420"/>
        <w:rPr>
          <w:color w:val="000000" w:themeColor="text1"/>
          <w:sz w:val="24"/>
          <w:szCs w:val="24"/>
        </w:rPr>
      </w:pPr>
      <w:hyperlink w:anchor="_Toc1334893861_WPSOffice_Level2" w:history="1">
        <w:sdt>
          <w:sdtPr>
            <w:rPr>
              <w:color w:val="000000" w:themeColor="text1"/>
              <w:kern w:val="2"/>
              <w:sz w:val="24"/>
              <w:szCs w:val="24"/>
            </w:rPr>
            <w:id w:val="-616985125"/>
            <w:placeholder>
              <w:docPart w:val="{cc2065c6-55fe-4ade-b186-5d5e0590baa1}"/>
            </w:placeholder>
          </w:sdtPr>
          <w:sdtContent>
            <w:r w:rsidR="00423E71">
              <w:rPr>
                <w:color w:val="000000" w:themeColor="text1"/>
                <w:kern w:val="2"/>
                <w:sz w:val="24"/>
                <w:szCs w:val="24"/>
              </w:rPr>
              <w:t>4</w:t>
            </w:r>
            <w:r w:rsidR="00423E71">
              <w:rPr>
                <w:color w:val="000000" w:themeColor="text1"/>
                <w:sz w:val="24"/>
                <w:szCs w:val="24"/>
              </w:rPr>
              <w:t>.3</w:t>
            </w:r>
            <w:r w:rsidR="00423E71">
              <w:rPr>
                <w:rFonts w:hint="eastAsia"/>
                <w:color w:val="000000" w:themeColor="text1"/>
                <w:sz w:val="24"/>
                <w:szCs w:val="24"/>
              </w:rPr>
              <w:t>老年高血压</w:t>
            </w:r>
          </w:sdtContent>
        </w:sdt>
        <w:r w:rsidR="00423E71">
          <w:rPr>
            <w:color w:val="000000" w:themeColor="text1"/>
            <w:sz w:val="24"/>
            <w:szCs w:val="24"/>
          </w:rPr>
          <w:tab/>
        </w:r>
        <w:bookmarkStart w:id="10" w:name="_Toc1334893861_WPSOffice_Level2Page"/>
        <w:r w:rsidR="00423E71">
          <w:rPr>
            <w:color w:val="000000" w:themeColor="text1"/>
            <w:sz w:val="24"/>
            <w:szCs w:val="24"/>
          </w:rPr>
          <w:t>1</w:t>
        </w:r>
        <w:bookmarkEnd w:id="10"/>
      </w:hyperlink>
      <w:r w:rsidR="00423E71">
        <w:rPr>
          <w:color w:val="000000" w:themeColor="text1"/>
          <w:sz w:val="24"/>
          <w:szCs w:val="24"/>
        </w:rPr>
        <w:t>5</w:t>
      </w:r>
    </w:p>
    <w:p w:rsidR="002E5476" w:rsidRDefault="00B411DC">
      <w:pPr>
        <w:pStyle w:val="WPSOffice2"/>
        <w:tabs>
          <w:tab w:val="right" w:leader="dot" w:pos="9690"/>
        </w:tabs>
        <w:spacing w:line="360" w:lineRule="auto"/>
        <w:ind w:left="420"/>
        <w:rPr>
          <w:color w:val="000000" w:themeColor="text1"/>
          <w:sz w:val="24"/>
          <w:szCs w:val="24"/>
        </w:rPr>
      </w:pPr>
      <w:hyperlink w:anchor="_Toc799461618_WPSOffice_Level2" w:history="1">
        <w:sdt>
          <w:sdtPr>
            <w:rPr>
              <w:color w:val="000000" w:themeColor="text1"/>
              <w:kern w:val="2"/>
              <w:sz w:val="24"/>
              <w:szCs w:val="24"/>
            </w:rPr>
            <w:id w:val="-845860263"/>
            <w:placeholder>
              <w:docPart w:val="{b3968b2f-a8e3-40b2-b230-129aaf6e9d0d}"/>
            </w:placeholder>
          </w:sdtPr>
          <w:sdtContent>
            <w:r w:rsidR="00423E71">
              <w:rPr>
                <w:color w:val="000000" w:themeColor="text1"/>
                <w:sz w:val="24"/>
                <w:szCs w:val="24"/>
              </w:rPr>
              <w:t xml:space="preserve">4.4 </w:t>
            </w:r>
            <w:r w:rsidR="00423E71">
              <w:rPr>
                <w:rFonts w:hint="eastAsia"/>
                <w:color w:val="000000" w:themeColor="text1"/>
                <w:sz w:val="24"/>
                <w:szCs w:val="24"/>
              </w:rPr>
              <w:t>妊娠期高血压</w:t>
            </w:r>
          </w:sdtContent>
        </w:sdt>
        <w:r w:rsidR="00423E71">
          <w:rPr>
            <w:color w:val="000000" w:themeColor="text1"/>
            <w:sz w:val="24"/>
            <w:szCs w:val="24"/>
          </w:rPr>
          <w:tab/>
        </w:r>
        <w:bookmarkStart w:id="11" w:name="_Toc799461618_WPSOffice_Level2Page"/>
        <w:r w:rsidR="00423E71">
          <w:rPr>
            <w:color w:val="000000" w:themeColor="text1"/>
            <w:sz w:val="24"/>
            <w:szCs w:val="24"/>
          </w:rPr>
          <w:t>1</w:t>
        </w:r>
        <w:bookmarkEnd w:id="11"/>
      </w:hyperlink>
      <w:r w:rsidR="00423E71">
        <w:rPr>
          <w:color w:val="000000" w:themeColor="text1"/>
          <w:sz w:val="24"/>
          <w:szCs w:val="24"/>
        </w:rPr>
        <w:t>6</w:t>
      </w:r>
    </w:p>
    <w:p w:rsidR="002E5476" w:rsidRDefault="00423E71">
      <w:pPr>
        <w:pStyle w:val="WPSOffice2"/>
        <w:numPr>
          <w:ilvl w:val="0"/>
          <w:numId w:val="2"/>
        </w:numPr>
        <w:tabs>
          <w:tab w:val="right" w:leader="dot" w:pos="9690"/>
        </w:tabs>
        <w:spacing w:line="360" w:lineRule="auto"/>
        <w:ind w:leftChars="0" w:left="0"/>
        <w:rPr>
          <w:color w:val="000000" w:themeColor="text1"/>
          <w:sz w:val="24"/>
          <w:szCs w:val="24"/>
        </w:rPr>
      </w:pPr>
      <w:r>
        <w:rPr>
          <w:rFonts w:hint="eastAsia"/>
          <w:color w:val="000000" w:themeColor="text1"/>
          <w:sz w:val="24"/>
          <w:szCs w:val="24"/>
        </w:rPr>
        <w:t>总结</w:t>
      </w:r>
      <w:r>
        <w:rPr>
          <w:color w:val="000000" w:themeColor="text1"/>
          <w:sz w:val="24"/>
          <w:szCs w:val="24"/>
        </w:rPr>
        <w:t>.................................................................................................................................................16</w:t>
      </w:r>
    </w:p>
    <w:p w:rsidR="002E5476" w:rsidRDefault="00B411DC">
      <w:pPr>
        <w:pStyle w:val="WPSOffice1"/>
        <w:tabs>
          <w:tab w:val="right" w:leader="dot" w:pos="9690"/>
        </w:tabs>
        <w:spacing w:line="360" w:lineRule="auto"/>
        <w:rPr>
          <w:color w:val="000000" w:themeColor="text1"/>
          <w:sz w:val="24"/>
          <w:szCs w:val="24"/>
        </w:rPr>
      </w:pPr>
      <w:hyperlink w:anchor="_Toc1656547108_WPSOffice_Level1" w:history="1">
        <w:sdt>
          <w:sdtPr>
            <w:rPr>
              <w:color w:val="000000" w:themeColor="text1"/>
              <w:kern w:val="2"/>
              <w:sz w:val="24"/>
              <w:szCs w:val="24"/>
            </w:rPr>
            <w:id w:val="-645354082"/>
            <w:placeholder>
              <w:docPart w:val="{8efa53d5-558c-4cfa-80e0-a56fded6f9d2}"/>
            </w:placeholder>
          </w:sdtPr>
          <w:sdtContent>
            <w:r w:rsidR="00423E71">
              <w:rPr>
                <w:color w:val="000000" w:themeColor="text1"/>
                <w:kern w:val="2"/>
                <w:sz w:val="24"/>
                <w:szCs w:val="24"/>
              </w:rPr>
              <w:t>6.</w:t>
            </w:r>
            <w:r w:rsidR="00423E71">
              <w:rPr>
                <w:rFonts w:hint="eastAsia"/>
                <w:color w:val="000000" w:themeColor="text1"/>
                <w:kern w:val="2"/>
                <w:sz w:val="24"/>
                <w:szCs w:val="24"/>
              </w:rPr>
              <w:t xml:space="preserve"> </w:t>
            </w:r>
            <w:r w:rsidR="00423E71">
              <w:rPr>
                <w:rFonts w:hint="eastAsia"/>
                <w:color w:val="000000" w:themeColor="text1"/>
                <w:sz w:val="24"/>
                <w:szCs w:val="24"/>
              </w:rPr>
              <w:t>附表</w:t>
            </w:r>
          </w:sdtContent>
        </w:sdt>
        <w:r w:rsidR="00423E71">
          <w:rPr>
            <w:color w:val="000000" w:themeColor="text1"/>
            <w:sz w:val="24"/>
            <w:szCs w:val="24"/>
          </w:rPr>
          <w:tab/>
        </w:r>
      </w:hyperlink>
      <w:r w:rsidR="00423E71">
        <w:rPr>
          <w:color w:val="000000" w:themeColor="text1"/>
          <w:sz w:val="24"/>
          <w:szCs w:val="24"/>
        </w:rPr>
        <w:t>17</w:t>
      </w:r>
    </w:p>
    <w:p w:rsidR="002E5476" w:rsidRDefault="00B411DC">
      <w:pPr>
        <w:pStyle w:val="WPSOffice1"/>
        <w:tabs>
          <w:tab w:val="right" w:leader="dot" w:pos="9690"/>
        </w:tabs>
        <w:spacing w:line="360" w:lineRule="auto"/>
        <w:jc w:val="both"/>
        <w:outlineLvl w:val="1"/>
        <w:rPr>
          <w:color w:val="000000" w:themeColor="text1"/>
          <w:sz w:val="24"/>
          <w:szCs w:val="24"/>
        </w:rPr>
      </w:pPr>
      <w:hyperlink w:anchor="_Toc1609244448_WPSOffice_Level1" w:history="1">
        <w:sdt>
          <w:sdtPr>
            <w:rPr>
              <w:color w:val="000000" w:themeColor="text1"/>
              <w:kern w:val="2"/>
              <w:sz w:val="24"/>
              <w:szCs w:val="24"/>
            </w:rPr>
            <w:id w:val="1118876517"/>
            <w:placeholder>
              <w:docPart w:val="{d215c719-7d4e-4105-ae23-a5747c1405ae}"/>
            </w:placeholder>
          </w:sdtPr>
          <w:sdtContent>
            <w:r w:rsidR="00423E71">
              <w:rPr>
                <w:rFonts w:hint="eastAsia"/>
                <w:color w:val="000000" w:themeColor="text1"/>
                <w:kern w:val="2"/>
                <w:sz w:val="24"/>
                <w:szCs w:val="24"/>
              </w:rPr>
              <w:t xml:space="preserve">   </w:t>
            </w:r>
            <w:r w:rsidR="00423E71">
              <w:rPr>
                <w:rFonts w:hint="eastAsia"/>
                <w:color w:val="000000" w:themeColor="text1"/>
                <w:sz w:val="24"/>
                <w:szCs w:val="24"/>
              </w:rPr>
              <w:t>表</w:t>
            </w:r>
            <w:r w:rsidR="00423E71">
              <w:rPr>
                <w:color w:val="000000" w:themeColor="text1"/>
                <w:sz w:val="24"/>
                <w:szCs w:val="24"/>
              </w:rPr>
              <w:t>3</w:t>
            </w:r>
            <w:r w:rsidR="00423E71">
              <w:rPr>
                <w:rFonts w:hint="eastAsia"/>
                <w:color w:val="000000" w:themeColor="text1"/>
                <w:sz w:val="24"/>
                <w:szCs w:val="24"/>
              </w:rPr>
              <w:t xml:space="preserve"> </w:t>
            </w:r>
            <w:r w:rsidR="00423E71">
              <w:rPr>
                <w:rFonts w:hint="eastAsia"/>
                <w:color w:val="000000" w:themeColor="text1"/>
                <w:sz w:val="24"/>
                <w:szCs w:val="24"/>
              </w:rPr>
              <w:t>常见口服降压药物的药代动力学特点、不良反应及注意事项</w:t>
            </w:r>
            <w:r w:rsidR="00423E71">
              <w:rPr>
                <w:rFonts w:hint="eastAsia"/>
                <w:color w:val="000000" w:themeColor="text1"/>
                <w:sz w:val="24"/>
                <w:szCs w:val="24"/>
              </w:rPr>
              <w:t>...........................</w:t>
            </w:r>
          </w:sdtContent>
        </w:sdt>
        <w:r w:rsidR="00423E71">
          <w:rPr>
            <w:color w:val="000000" w:themeColor="text1"/>
            <w:sz w:val="24"/>
            <w:szCs w:val="24"/>
          </w:rPr>
          <w:tab/>
        </w:r>
      </w:hyperlink>
      <w:r w:rsidR="00423E71">
        <w:rPr>
          <w:color w:val="000000" w:themeColor="text1"/>
          <w:sz w:val="24"/>
          <w:szCs w:val="24"/>
        </w:rPr>
        <w:t>17</w:t>
      </w:r>
    </w:p>
    <w:p w:rsidR="002E5476" w:rsidRDefault="00B411DC">
      <w:pPr>
        <w:pStyle w:val="WPSOffice1"/>
        <w:tabs>
          <w:tab w:val="right" w:leader="dot" w:pos="9690"/>
        </w:tabs>
        <w:spacing w:line="360" w:lineRule="auto"/>
        <w:jc w:val="both"/>
        <w:outlineLvl w:val="1"/>
        <w:rPr>
          <w:color w:val="000000" w:themeColor="text1"/>
          <w:sz w:val="24"/>
          <w:szCs w:val="24"/>
        </w:rPr>
      </w:pPr>
      <w:hyperlink w:anchor="_Toc1162387218_WPSOffice_Level1" w:history="1">
        <w:sdt>
          <w:sdtPr>
            <w:rPr>
              <w:color w:val="000000" w:themeColor="text1"/>
              <w:kern w:val="2"/>
              <w:sz w:val="24"/>
              <w:szCs w:val="24"/>
            </w:rPr>
            <w:id w:val="5559695"/>
            <w:placeholder>
              <w:docPart w:val="{3de68b18-cdcf-4dc1-aa78-22662b6238e6}"/>
            </w:placeholder>
          </w:sdtPr>
          <w:sdtContent>
            <w:r w:rsidR="00423E71">
              <w:rPr>
                <w:rFonts w:hint="eastAsia"/>
                <w:color w:val="000000" w:themeColor="text1"/>
                <w:kern w:val="2"/>
                <w:sz w:val="24"/>
                <w:szCs w:val="24"/>
              </w:rPr>
              <w:t xml:space="preserve">   </w:t>
            </w:r>
            <w:r w:rsidR="00423E71">
              <w:rPr>
                <w:rFonts w:hint="eastAsia"/>
                <w:color w:val="000000" w:themeColor="text1"/>
                <w:sz w:val="24"/>
                <w:szCs w:val="24"/>
              </w:rPr>
              <w:t>表</w:t>
            </w:r>
            <w:r w:rsidR="00423E71">
              <w:rPr>
                <w:color w:val="000000" w:themeColor="text1"/>
                <w:sz w:val="24"/>
                <w:szCs w:val="24"/>
              </w:rPr>
              <w:t>4</w:t>
            </w:r>
            <w:r w:rsidR="00423E71">
              <w:rPr>
                <w:rFonts w:hint="eastAsia"/>
                <w:color w:val="000000" w:themeColor="text1"/>
                <w:sz w:val="24"/>
                <w:szCs w:val="24"/>
              </w:rPr>
              <w:t xml:space="preserve"> </w:t>
            </w:r>
            <w:r w:rsidR="00423E71">
              <w:rPr>
                <w:rFonts w:hint="eastAsia"/>
                <w:color w:val="000000" w:themeColor="text1"/>
                <w:sz w:val="24"/>
                <w:szCs w:val="24"/>
              </w:rPr>
              <w:t>常用降压药物单片复方制剂</w:t>
            </w:r>
          </w:sdtContent>
        </w:sdt>
        <w:r w:rsidR="00423E71">
          <w:rPr>
            <w:color w:val="000000" w:themeColor="text1"/>
            <w:sz w:val="24"/>
            <w:szCs w:val="24"/>
          </w:rPr>
          <w:tab/>
        </w:r>
      </w:hyperlink>
      <w:r w:rsidR="00423E71">
        <w:rPr>
          <w:rFonts w:hint="eastAsia"/>
          <w:color w:val="000000" w:themeColor="text1"/>
          <w:sz w:val="24"/>
          <w:szCs w:val="24"/>
        </w:rPr>
        <w:t>..............................................................................................</w:t>
      </w:r>
      <w:r w:rsidR="00423E71">
        <w:rPr>
          <w:color w:val="000000" w:themeColor="text1"/>
          <w:sz w:val="24"/>
          <w:szCs w:val="24"/>
        </w:rPr>
        <w:t>25</w:t>
      </w:r>
    </w:p>
    <w:p w:rsidR="002E5476" w:rsidRDefault="00B411DC">
      <w:pPr>
        <w:pStyle w:val="WPSOffice1"/>
        <w:tabs>
          <w:tab w:val="right" w:leader="dot" w:pos="9690"/>
        </w:tabs>
        <w:spacing w:line="360" w:lineRule="auto"/>
        <w:jc w:val="both"/>
        <w:outlineLvl w:val="1"/>
        <w:rPr>
          <w:color w:val="000000" w:themeColor="text1"/>
          <w:sz w:val="24"/>
          <w:szCs w:val="24"/>
        </w:rPr>
      </w:pPr>
      <w:hyperlink w:anchor="_Toc583236167_WPSOffice_Level1" w:history="1">
        <w:sdt>
          <w:sdtPr>
            <w:rPr>
              <w:color w:val="000000" w:themeColor="text1"/>
              <w:kern w:val="2"/>
              <w:sz w:val="24"/>
              <w:szCs w:val="24"/>
            </w:rPr>
            <w:id w:val="-2040811571"/>
            <w:placeholder>
              <w:docPart w:val="{bcdff9cc-d16f-46fd-b84c-dbd2696fd545}"/>
            </w:placeholder>
          </w:sdtPr>
          <w:sdtContent>
            <w:r w:rsidR="00423E71">
              <w:rPr>
                <w:rFonts w:hint="eastAsia"/>
                <w:color w:val="000000" w:themeColor="text1"/>
                <w:kern w:val="2"/>
                <w:sz w:val="24"/>
                <w:szCs w:val="24"/>
              </w:rPr>
              <w:t xml:space="preserve">   </w:t>
            </w:r>
            <w:r w:rsidR="00423E71">
              <w:rPr>
                <w:rFonts w:hint="eastAsia"/>
                <w:color w:val="000000" w:themeColor="text1"/>
                <w:sz w:val="24"/>
                <w:szCs w:val="24"/>
              </w:rPr>
              <w:t>表</w:t>
            </w:r>
            <w:r w:rsidR="00423E71">
              <w:rPr>
                <w:color w:val="000000" w:themeColor="text1"/>
                <w:sz w:val="24"/>
                <w:szCs w:val="24"/>
              </w:rPr>
              <w:t>5</w:t>
            </w:r>
            <w:r w:rsidR="00423E71">
              <w:rPr>
                <w:rFonts w:hint="eastAsia"/>
                <w:color w:val="000000" w:themeColor="text1"/>
                <w:sz w:val="24"/>
                <w:szCs w:val="24"/>
              </w:rPr>
              <w:t xml:space="preserve"> </w:t>
            </w:r>
            <w:r w:rsidR="00423E71">
              <w:rPr>
                <w:rFonts w:hint="eastAsia"/>
                <w:color w:val="000000" w:themeColor="text1"/>
                <w:sz w:val="24"/>
                <w:szCs w:val="24"/>
              </w:rPr>
              <w:t>透析患者降压药物的剂量调整</w:t>
            </w:r>
          </w:sdtContent>
        </w:sdt>
        <w:r w:rsidR="00423E71">
          <w:rPr>
            <w:color w:val="000000" w:themeColor="text1"/>
            <w:sz w:val="24"/>
            <w:szCs w:val="24"/>
          </w:rPr>
          <w:tab/>
        </w:r>
      </w:hyperlink>
      <w:r w:rsidR="00423E71">
        <w:rPr>
          <w:color w:val="000000" w:themeColor="text1"/>
          <w:sz w:val="24"/>
          <w:szCs w:val="24"/>
        </w:rPr>
        <w:t>2</w:t>
      </w:r>
      <w:r w:rsidR="0082524C">
        <w:rPr>
          <w:rFonts w:hint="eastAsia"/>
          <w:color w:val="000000" w:themeColor="text1"/>
          <w:sz w:val="24"/>
          <w:szCs w:val="24"/>
        </w:rPr>
        <w:t>7</w:t>
      </w:r>
    </w:p>
    <w:p w:rsidR="002E5476" w:rsidRDefault="00B411DC">
      <w:pPr>
        <w:pStyle w:val="WPSOffice1"/>
        <w:tabs>
          <w:tab w:val="right" w:leader="dot" w:pos="9690"/>
        </w:tabs>
        <w:spacing w:line="360" w:lineRule="auto"/>
        <w:jc w:val="both"/>
        <w:outlineLvl w:val="1"/>
        <w:rPr>
          <w:color w:val="000000" w:themeColor="text1"/>
          <w:sz w:val="24"/>
          <w:szCs w:val="24"/>
        </w:rPr>
      </w:pPr>
      <w:hyperlink w:anchor="_Toc1334893861_WPSOffice_Level1" w:history="1">
        <w:sdt>
          <w:sdtPr>
            <w:rPr>
              <w:color w:val="000000" w:themeColor="text1"/>
              <w:kern w:val="2"/>
              <w:sz w:val="24"/>
              <w:szCs w:val="24"/>
            </w:rPr>
            <w:id w:val="304900669"/>
            <w:placeholder>
              <w:docPart w:val="{e32a90f2-f874-49d0-9700-ddaff2e43dda}"/>
            </w:placeholder>
          </w:sdtPr>
          <w:sdtContent>
            <w:r w:rsidR="00423E71">
              <w:rPr>
                <w:rFonts w:hint="eastAsia"/>
                <w:color w:val="000000" w:themeColor="text1"/>
                <w:kern w:val="2"/>
                <w:sz w:val="24"/>
                <w:szCs w:val="24"/>
              </w:rPr>
              <w:t xml:space="preserve">   </w:t>
            </w:r>
            <w:r w:rsidR="00423E71">
              <w:rPr>
                <w:rFonts w:hint="eastAsia"/>
                <w:color w:val="000000" w:themeColor="text1"/>
                <w:sz w:val="24"/>
                <w:szCs w:val="24"/>
              </w:rPr>
              <w:t>表</w:t>
            </w:r>
            <w:r w:rsidR="00423E71">
              <w:rPr>
                <w:color w:val="000000" w:themeColor="text1"/>
                <w:sz w:val="24"/>
                <w:szCs w:val="24"/>
              </w:rPr>
              <w:t>6</w:t>
            </w:r>
            <w:r w:rsidR="00423E71">
              <w:rPr>
                <w:rFonts w:hint="eastAsia"/>
                <w:color w:val="000000" w:themeColor="text1"/>
                <w:sz w:val="24"/>
                <w:szCs w:val="24"/>
              </w:rPr>
              <w:t xml:space="preserve"> </w:t>
            </w:r>
            <w:r w:rsidR="00423E71">
              <w:rPr>
                <w:rFonts w:hint="eastAsia"/>
                <w:color w:val="000000" w:themeColor="text1"/>
                <w:sz w:val="24"/>
                <w:szCs w:val="24"/>
              </w:rPr>
              <w:t>妊娠合并高血压常用口服降压药物</w:t>
            </w:r>
          </w:sdtContent>
        </w:sdt>
        <w:r w:rsidR="00423E71">
          <w:rPr>
            <w:color w:val="000000" w:themeColor="text1"/>
            <w:sz w:val="24"/>
            <w:szCs w:val="24"/>
          </w:rPr>
          <w:tab/>
        </w:r>
        <w:bookmarkStart w:id="12" w:name="_Toc1334893861_WPSOffice_Level1Page"/>
        <w:r w:rsidR="00423E71">
          <w:rPr>
            <w:color w:val="000000" w:themeColor="text1"/>
            <w:sz w:val="24"/>
            <w:szCs w:val="24"/>
          </w:rPr>
          <w:t>31</w:t>
        </w:r>
        <w:bookmarkEnd w:id="12"/>
      </w:hyperlink>
    </w:p>
    <w:p w:rsidR="002E5476" w:rsidRDefault="00B411DC">
      <w:pPr>
        <w:pStyle w:val="WPSOffice1"/>
        <w:tabs>
          <w:tab w:val="right" w:leader="dot" w:pos="9690"/>
        </w:tabs>
        <w:spacing w:line="360" w:lineRule="auto"/>
        <w:jc w:val="both"/>
        <w:outlineLvl w:val="1"/>
        <w:rPr>
          <w:color w:val="000000" w:themeColor="text1"/>
          <w:sz w:val="24"/>
          <w:szCs w:val="24"/>
        </w:rPr>
      </w:pPr>
      <w:hyperlink w:anchor="_Toc799461618_WPSOffice_Level1" w:history="1">
        <w:sdt>
          <w:sdtPr>
            <w:rPr>
              <w:color w:val="000000" w:themeColor="text1"/>
              <w:kern w:val="2"/>
              <w:sz w:val="24"/>
              <w:szCs w:val="24"/>
            </w:rPr>
            <w:id w:val="1981420181"/>
          </w:sdtPr>
          <w:sdtContent>
            <w:r w:rsidR="00423E71">
              <w:rPr>
                <w:rFonts w:hint="eastAsia"/>
                <w:color w:val="000000" w:themeColor="text1"/>
                <w:kern w:val="2"/>
                <w:sz w:val="24"/>
                <w:szCs w:val="24"/>
              </w:rPr>
              <w:t xml:space="preserve">   </w:t>
            </w:r>
            <w:r w:rsidR="00423E71">
              <w:rPr>
                <w:rFonts w:hint="eastAsia"/>
                <w:color w:val="000000" w:themeColor="text1"/>
                <w:sz w:val="24"/>
                <w:szCs w:val="24"/>
              </w:rPr>
              <w:t>表</w:t>
            </w:r>
            <w:r w:rsidR="00423E71">
              <w:rPr>
                <w:color w:val="000000" w:themeColor="text1"/>
                <w:sz w:val="24"/>
                <w:szCs w:val="24"/>
              </w:rPr>
              <w:t xml:space="preserve">7 </w:t>
            </w:r>
            <w:r w:rsidR="00423E71">
              <w:rPr>
                <w:rFonts w:hint="eastAsia"/>
                <w:color w:val="000000" w:themeColor="text1"/>
                <w:sz w:val="24"/>
                <w:szCs w:val="24"/>
              </w:rPr>
              <w:t>超说明书用药目录</w:t>
            </w:r>
          </w:sdtContent>
        </w:sdt>
        <w:r w:rsidR="00423E71">
          <w:rPr>
            <w:color w:val="000000" w:themeColor="text1"/>
            <w:sz w:val="24"/>
            <w:szCs w:val="24"/>
          </w:rPr>
          <w:tab/>
        </w:r>
      </w:hyperlink>
      <w:r w:rsidR="00423E71">
        <w:rPr>
          <w:color w:val="000000" w:themeColor="text1"/>
          <w:sz w:val="24"/>
          <w:szCs w:val="24"/>
        </w:rPr>
        <w:t>3</w:t>
      </w:r>
      <w:r w:rsidR="0040186C">
        <w:rPr>
          <w:rFonts w:hint="eastAsia"/>
          <w:color w:val="000000" w:themeColor="text1"/>
          <w:sz w:val="24"/>
          <w:szCs w:val="24"/>
        </w:rPr>
        <w:t>3</w:t>
      </w:r>
    </w:p>
    <w:p w:rsidR="002E5476" w:rsidRDefault="00B411DC" w:rsidP="00423E71">
      <w:pPr>
        <w:pStyle w:val="WPSOffice1"/>
        <w:tabs>
          <w:tab w:val="right" w:leader="dot" w:pos="9690"/>
        </w:tabs>
        <w:spacing w:line="360" w:lineRule="auto"/>
        <w:rPr>
          <w:color w:val="000000" w:themeColor="text1"/>
          <w:sz w:val="24"/>
          <w:szCs w:val="24"/>
        </w:rPr>
      </w:pPr>
      <w:hyperlink w:anchor="_Toc1893718094_WPSOffice_Level1" w:history="1">
        <w:sdt>
          <w:sdtPr>
            <w:rPr>
              <w:color w:val="000000" w:themeColor="text1"/>
              <w:kern w:val="2"/>
              <w:sz w:val="24"/>
              <w:szCs w:val="24"/>
            </w:rPr>
            <w:id w:val="1534932064"/>
          </w:sdtPr>
          <w:sdtContent>
            <w:r w:rsidR="00423E71">
              <w:rPr>
                <w:color w:val="000000" w:themeColor="text1"/>
                <w:kern w:val="2"/>
                <w:sz w:val="24"/>
                <w:szCs w:val="24"/>
              </w:rPr>
              <w:t xml:space="preserve">7. </w:t>
            </w:r>
            <w:r w:rsidR="00423E71">
              <w:rPr>
                <w:rFonts w:hint="eastAsia"/>
                <w:color w:val="000000" w:themeColor="text1"/>
                <w:sz w:val="24"/>
                <w:szCs w:val="24"/>
              </w:rPr>
              <w:t>参考文献</w:t>
            </w:r>
          </w:sdtContent>
        </w:sdt>
        <w:r w:rsidR="00423E71">
          <w:rPr>
            <w:color w:val="000000" w:themeColor="text1"/>
            <w:sz w:val="24"/>
            <w:szCs w:val="24"/>
          </w:rPr>
          <w:tab/>
        </w:r>
        <w:bookmarkStart w:id="13" w:name="_Toc1893718094_WPSOffice_Level1Page"/>
        <w:r w:rsidR="00423E71">
          <w:rPr>
            <w:color w:val="000000" w:themeColor="text1"/>
            <w:sz w:val="24"/>
            <w:szCs w:val="24"/>
          </w:rPr>
          <w:t>3</w:t>
        </w:r>
        <w:bookmarkEnd w:id="13"/>
        <w:r w:rsidR="0040186C">
          <w:rPr>
            <w:rFonts w:hint="eastAsia"/>
            <w:color w:val="000000" w:themeColor="text1"/>
            <w:sz w:val="24"/>
            <w:szCs w:val="24"/>
          </w:rPr>
          <w:t>6</w:t>
        </w:r>
      </w:hyperlink>
      <w:bookmarkEnd w:id="1"/>
    </w:p>
    <w:p w:rsidR="002E5476" w:rsidRDefault="002E5476">
      <w:pPr>
        <w:spacing w:line="360" w:lineRule="auto"/>
        <w:jc w:val="center"/>
        <w:outlineLvl w:val="0"/>
        <w:rPr>
          <w:rFonts w:ascii="Times New Roman" w:eastAsia="宋体" w:hAnsi="Times New Roman" w:cs="Times New Roman"/>
          <w:color w:val="000000" w:themeColor="text1"/>
          <w:sz w:val="24"/>
          <w:szCs w:val="24"/>
        </w:rPr>
      </w:pPr>
    </w:p>
    <w:p w:rsidR="002E5476" w:rsidRDefault="00423E71">
      <w:pPr>
        <w:numPr>
          <w:ilvl w:val="0"/>
          <w:numId w:val="3"/>
        </w:numPr>
        <w:rPr>
          <w:b/>
          <w:bCs/>
          <w:sz w:val="24"/>
          <w:szCs w:val="24"/>
        </w:rPr>
      </w:pPr>
      <w:r>
        <w:rPr>
          <w:rFonts w:hint="eastAsia"/>
          <w:b/>
          <w:bCs/>
          <w:sz w:val="24"/>
          <w:szCs w:val="24"/>
        </w:rPr>
        <w:lastRenderedPageBreak/>
        <w:t>前言</w:t>
      </w:r>
    </w:p>
    <w:p w:rsidR="002E5476" w:rsidRDefault="00423E71">
      <w:pPr>
        <w:pStyle w:val="10"/>
        <w:spacing w:line="360" w:lineRule="auto"/>
        <w:ind w:firstLine="480"/>
        <w:jc w:val="left"/>
        <w:outlineLvl w:val="0"/>
        <w:rPr>
          <w:rFonts w:ascii="Times New Roman" w:eastAsia="宋体" w:hAnsi="Times New Roman" w:cs="Times New Roman"/>
          <w:color w:val="000000" w:themeColor="text1"/>
          <w:sz w:val="24"/>
          <w:szCs w:val="24"/>
        </w:rPr>
      </w:pPr>
      <w:r>
        <w:rPr>
          <w:rFonts w:ascii="Times New Roman" w:eastAsia="宋体" w:hAnsi="Times New Roman" w:cs="Times New Roman" w:hint="eastAsia"/>
          <w:color w:val="000000" w:themeColor="text1"/>
          <w:sz w:val="24"/>
          <w:szCs w:val="24"/>
        </w:rPr>
        <w:t>慢性肾脏病（</w:t>
      </w:r>
      <w:r>
        <w:rPr>
          <w:rFonts w:ascii="Times New Roman" w:eastAsia="宋体" w:hAnsi="Times New Roman" w:cs="Times New Roman"/>
          <w:color w:val="000000" w:themeColor="text1"/>
          <w:sz w:val="24"/>
          <w:szCs w:val="24"/>
        </w:rPr>
        <w:t>chronic kidney disease</w:t>
      </w:r>
      <w:r>
        <w:rPr>
          <w:rFonts w:ascii="Times New Roman" w:eastAsia="宋体" w:hAnsi="Times New Roman" w:cs="Times New Roman" w:hint="eastAsia"/>
          <w:color w:val="000000" w:themeColor="text1"/>
          <w:sz w:val="24"/>
          <w:szCs w:val="24"/>
        </w:rPr>
        <w:t>，</w:t>
      </w:r>
      <w:r>
        <w:rPr>
          <w:rFonts w:ascii="Times New Roman" w:eastAsia="宋体" w:hAnsi="Times New Roman" w:cs="Times New Roman"/>
          <w:color w:val="000000" w:themeColor="text1"/>
          <w:sz w:val="24"/>
          <w:szCs w:val="24"/>
        </w:rPr>
        <w:t>CKD</w:t>
      </w:r>
      <w:r>
        <w:rPr>
          <w:rFonts w:ascii="Times New Roman" w:eastAsia="宋体" w:hAnsi="Times New Roman" w:cs="Times New Roman" w:hint="eastAsia"/>
          <w:color w:val="000000" w:themeColor="text1"/>
          <w:sz w:val="24"/>
          <w:szCs w:val="24"/>
        </w:rPr>
        <w:t>）是危害人民健康的常见慢性疾病。流行病学调查结果显示全球</w:t>
      </w:r>
      <w:r>
        <w:rPr>
          <w:rFonts w:ascii="Times New Roman" w:eastAsia="宋体" w:hAnsi="Times New Roman" w:cs="Times New Roman"/>
          <w:color w:val="000000" w:themeColor="text1"/>
          <w:sz w:val="24"/>
          <w:szCs w:val="24"/>
        </w:rPr>
        <w:t>CKD</w:t>
      </w:r>
      <w:r>
        <w:rPr>
          <w:rFonts w:ascii="Times New Roman" w:eastAsia="宋体" w:hAnsi="Times New Roman" w:cs="Times New Roman" w:hint="eastAsia"/>
          <w:color w:val="000000" w:themeColor="text1"/>
          <w:sz w:val="24"/>
          <w:szCs w:val="24"/>
        </w:rPr>
        <w:t>的患病率约为</w:t>
      </w:r>
      <w:r>
        <w:rPr>
          <w:rFonts w:ascii="Times New Roman" w:eastAsia="宋体" w:hAnsi="Times New Roman" w:cs="Times New Roman"/>
          <w:color w:val="000000" w:themeColor="text1"/>
          <w:sz w:val="24"/>
          <w:szCs w:val="24"/>
        </w:rPr>
        <w:t xml:space="preserve">8%~16% </w:t>
      </w:r>
      <w:r w:rsidR="00B411DC">
        <w:rPr>
          <w:rFonts w:ascii="Times New Roman" w:eastAsia="宋体" w:hAnsi="Times New Roman" w:cs="Times New Roman"/>
          <w:color w:val="000000" w:themeColor="text1"/>
          <w:sz w:val="24"/>
          <w:szCs w:val="24"/>
        </w:rPr>
        <w:fldChar w:fldCharType="begin"/>
      </w:r>
      <w:r>
        <w:rPr>
          <w:rFonts w:ascii="Times New Roman" w:eastAsia="宋体" w:hAnsi="Times New Roman" w:cs="Times New Roman"/>
          <w:color w:val="000000" w:themeColor="text1"/>
          <w:sz w:val="24"/>
          <w:szCs w:val="24"/>
        </w:rPr>
        <w:instrText xml:space="preserve"> ADDIN NE.Ref.{36017D31-6BEE-4E8A-9F1E-B97049CFE206}</w:instrText>
      </w:r>
      <w:r w:rsidR="00B411DC">
        <w:rPr>
          <w:rFonts w:ascii="Times New Roman" w:eastAsia="宋体" w:hAnsi="Times New Roman" w:cs="Times New Roman"/>
          <w:color w:val="000000" w:themeColor="text1"/>
          <w:sz w:val="24"/>
          <w:szCs w:val="24"/>
        </w:rPr>
        <w:fldChar w:fldCharType="separate"/>
      </w:r>
      <w:r>
        <w:rPr>
          <w:rFonts w:ascii="Times New Roman" w:eastAsia="宋体" w:hAnsi="Times New Roman" w:cs="Times New Roman"/>
          <w:color w:val="000000" w:themeColor="text1"/>
          <w:kern w:val="0"/>
          <w:sz w:val="24"/>
          <w:szCs w:val="24"/>
          <w:vertAlign w:val="superscript"/>
        </w:rPr>
        <w:t>[1]</w:t>
      </w:r>
      <w:r w:rsidR="00B411DC">
        <w:rPr>
          <w:rFonts w:ascii="Times New Roman" w:eastAsia="宋体" w:hAnsi="Times New Roman" w:cs="Times New Roman"/>
          <w:color w:val="000000" w:themeColor="text1"/>
          <w:sz w:val="24"/>
          <w:szCs w:val="24"/>
        </w:rPr>
        <w:fldChar w:fldCharType="end"/>
      </w:r>
      <w:r>
        <w:rPr>
          <w:rFonts w:ascii="Times New Roman" w:eastAsia="宋体" w:hAnsi="Times New Roman" w:cs="Times New Roman" w:hint="eastAsia"/>
          <w:color w:val="000000" w:themeColor="text1"/>
          <w:sz w:val="24"/>
          <w:szCs w:val="24"/>
        </w:rPr>
        <w:t>，</w:t>
      </w:r>
      <w:r>
        <w:rPr>
          <w:rFonts w:ascii="Times New Roman" w:eastAsia="宋体" w:hAnsi="Times New Roman" w:cs="Times New Roman"/>
          <w:color w:val="000000" w:themeColor="text1"/>
          <w:sz w:val="24"/>
          <w:szCs w:val="24"/>
        </w:rPr>
        <w:t>2012</w:t>
      </w:r>
      <w:r>
        <w:rPr>
          <w:rFonts w:ascii="Times New Roman" w:eastAsia="宋体" w:hAnsi="Times New Roman" w:cs="Times New Roman" w:hint="eastAsia"/>
          <w:color w:val="000000" w:themeColor="text1"/>
          <w:sz w:val="24"/>
          <w:szCs w:val="24"/>
        </w:rPr>
        <w:t>年我国的抽样调查显示</w:t>
      </w:r>
      <w:r>
        <w:rPr>
          <w:rFonts w:ascii="Times New Roman" w:eastAsia="宋体" w:hAnsi="Times New Roman" w:cs="Times New Roman"/>
          <w:color w:val="000000" w:themeColor="text1"/>
          <w:sz w:val="24"/>
          <w:szCs w:val="24"/>
        </w:rPr>
        <w:t>CKD</w:t>
      </w:r>
      <w:r>
        <w:rPr>
          <w:rFonts w:ascii="Times New Roman" w:eastAsia="宋体" w:hAnsi="Times New Roman" w:cs="Times New Roman" w:hint="eastAsia"/>
          <w:color w:val="000000" w:themeColor="text1"/>
          <w:sz w:val="24"/>
          <w:szCs w:val="24"/>
        </w:rPr>
        <w:t>的患病率高达</w:t>
      </w:r>
      <w:r>
        <w:rPr>
          <w:rFonts w:ascii="Times New Roman" w:eastAsia="宋体" w:hAnsi="Times New Roman" w:cs="Times New Roman"/>
          <w:color w:val="000000" w:themeColor="text1"/>
          <w:sz w:val="24"/>
          <w:szCs w:val="24"/>
        </w:rPr>
        <w:t>10.8</w:t>
      </w:r>
      <w:r>
        <w:rPr>
          <w:rFonts w:ascii="Times New Roman" w:eastAsia="宋体" w:hAnsi="Times New Roman" w:cs="Times New Roman" w:hint="eastAsia"/>
          <w:color w:val="000000" w:themeColor="text1"/>
          <w:sz w:val="24"/>
          <w:szCs w:val="24"/>
        </w:rPr>
        <w:t>％，即全国约有</w:t>
      </w:r>
      <w:r>
        <w:rPr>
          <w:rFonts w:ascii="Times New Roman" w:eastAsia="宋体" w:hAnsi="Times New Roman" w:cs="Times New Roman"/>
          <w:color w:val="000000" w:themeColor="text1"/>
          <w:sz w:val="24"/>
          <w:szCs w:val="24"/>
        </w:rPr>
        <w:t>1.195</w:t>
      </w:r>
      <w:r>
        <w:rPr>
          <w:rFonts w:ascii="Times New Roman" w:eastAsia="宋体" w:hAnsi="Times New Roman" w:cs="Times New Roman" w:hint="eastAsia"/>
          <w:color w:val="000000" w:themeColor="text1"/>
          <w:sz w:val="24"/>
          <w:szCs w:val="24"/>
        </w:rPr>
        <w:t>亿</w:t>
      </w:r>
      <w:r>
        <w:rPr>
          <w:rFonts w:ascii="Times New Roman" w:eastAsia="宋体" w:hAnsi="Times New Roman" w:cs="Times New Roman"/>
          <w:color w:val="000000" w:themeColor="text1"/>
          <w:sz w:val="24"/>
          <w:szCs w:val="24"/>
        </w:rPr>
        <w:t>CKD</w:t>
      </w:r>
      <w:r>
        <w:rPr>
          <w:rFonts w:ascii="Times New Roman" w:eastAsia="宋体" w:hAnsi="Times New Roman" w:cs="Times New Roman" w:hint="eastAsia"/>
          <w:color w:val="000000" w:themeColor="text1"/>
          <w:sz w:val="24"/>
          <w:szCs w:val="24"/>
        </w:rPr>
        <w:t>患者</w:t>
      </w:r>
      <w:r w:rsidR="00B411DC">
        <w:rPr>
          <w:rFonts w:ascii="Times New Roman" w:eastAsia="宋体" w:hAnsi="Times New Roman" w:cs="Times New Roman"/>
          <w:color w:val="000000" w:themeColor="text1"/>
          <w:sz w:val="24"/>
          <w:szCs w:val="24"/>
        </w:rPr>
        <w:fldChar w:fldCharType="begin"/>
      </w:r>
      <w:r>
        <w:rPr>
          <w:rFonts w:ascii="Times New Roman" w:eastAsia="宋体" w:hAnsi="Times New Roman" w:cs="Times New Roman"/>
          <w:color w:val="000000" w:themeColor="text1"/>
          <w:sz w:val="24"/>
          <w:szCs w:val="24"/>
        </w:rPr>
        <w:instrText xml:space="preserve"> ADDIN NE.Ref.{5CB06600-43CF-415A-BFE6-AA0E0DB73458}</w:instrText>
      </w:r>
      <w:r w:rsidR="00B411DC">
        <w:rPr>
          <w:rFonts w:ascii="Times New Roman" w:eastAsia="宋体" w:hAnsi="Times New Roman" w:cs="Times New Roman"/>
          <w:color w:val="000000" w:themeColor="text1"/>
          <w:sz w:val="24"/>
          <w:szCs w:val="24"/>
        </w:rPr>
        <w:fldChar w:fldCharType="separate"/>
      </w:r>
      <w:r>
        <w:rPr>
          <w:rFonts w:ascii="Times New Roman" w:eastAsia="宋体" w:hAnsi="Times New Roman" w:cs="Times New Roman"/>
          <w:color w:val="000000" w:themeColor="text1"/>
          <w:kern w:val="0"/>
          <w:sz w:val="24"/>
          <w:szCs w:val="24"/>
          <w:vertAlign w:val="superscript"/>
        </w:rPr>
        <w:t>[2]</w:t>
      </w:r>
      <w:r w:rsidR="00B411DC">
        <w:rPr>
          <w:rFonts w:ascii="Times New Roman" w:eastAsia="宋体" w:hAnsi="Times New Roman" w:cs="Times New Roman"/>
          <w:color w:val="000000" w:themeColor="text1"/>
          <w:sz w:val="24"/>
          <w:szCs w:val="24"/>
        </w:rPr>
        <w:fldChar w:fldCharType="end"/>
      </w:r>
      <w:r>
        <w:rPr>
          <w:rFonts w:ascii="Times New Roman" w:eastAsia="宋体" w:hAnsi="Times New Roman" w:cs="Times New Roman" w:hint="eastAsia"/>
          <w:color w:val="000000" w:themeColor="text1"/>
          <w:sz w:val="24"/>
          <w:szCs w:val="24"/>
        </w:rPr>
        <w:t>。</w:t>
      </w:r>
      <w:bookmarkStart w:id="14" w:name="PositionBeforeFormat"/>
      <w:bookmarkEnd w:id="14"/>
      <w:r>
        <w:rPr>
          <w:rFonts w:ascii="Times New Roman" w:eastAsia="宋体" w:hAnsi="Times New Roman" w:cs="Times New Roman"/>
          <w:color w:val="000000" w:themeColor="text1"/>
          <w:sz w:val="24"/>
          <w:szCs w:val="24"/>
        </w:rPr>
        <w:t>CKD</w:t>
      </w:r>
      <w:r>
        <w:rPr>
          <w:rFonts w:ascii="Times New Roman" w:eastAsia="宋体" w:hAnsi="Times New Roman" w:cs="Times New Roman" w:hint="eastAsia"/>
          <w:color w:val="000000" w:themeColor="text1"/>
          <w:sz w:val="24"/>
          <w:szCs w:val="24"/>
        </w:rPr>
        <w:t>患者高血压的患病率远高于无</w:t>
      </w:r>
      <w:r>
        <w:rPr>
          <w:rFonts w:ascii="Times New Roman" w:eastAsia="宋体" w:hAnsi="Times New Roman" w:cs="Times New Roman"/>
          <w:color w:val="000000" w:themeColor="text1"/>
          <w:sz w:val="24"/>
          <w:szCs w:val="24"/>
        </w:rPr>
        <w:t>CKD</w:t>
      </w:r>
      <w:r>
        <w:rPr>
          <w:rFonts w:ascii="Times New Roman" w:eastAsia="宋体" w:hAnsi="Times New Roman" w:cs="Times New Roman" w:hint="eastAsia"/>
          <w:color w:val="000000" w:themeColor="text1"/>
          <w:sz w:val="24"/>
          <w:szCs w:val="24"/>
        </w:rPr>
        <w:t>人群。《</w:t>
      </w:r>
      <w:r>
        <w:rPr>
          <w:rFonts w:ascii="Times New Roman" w:eastAsia="宋体" w:hAnsi="Times New Roman" w:cs="Times New Roman"/>
          <w:color w:val="000000" w:themeColor="text1"/>
          <w:sz w:val="24"/>
          <w:szCs w:val="24"/>
        </w:rPr>
        <w:t>2018</w:t>
      </w:r>
      <w:r>
        <w:rPr>
          <w:rFonts w:ascii="Times New Roman" w:eastAsia="宋体" w:hAnsi="Times New Roman" w:cs="Times New Roman" w:hint="eastAsia"/>
          <w:color w:val="000000" w:themeColor="text1"/>
          <w:sz w:val="24"/>
          <w:szCs w:val="24"/>
        </w:rPr>
        <w:t>年度中国高血压防治现状蓝皮书》</w:t>
      </w:r>
      <w:r w:rsidR="00B411DC">
        <w:rPr>
          <w:rFonts w:ascii="Times New Roman" w:eastAsia="宋体" w:hAnsi="Times New Roman" w:cs="Times New Roman"/>
          <w:color w:val="000000" w:themeColor="text1"/>
          <w:sz w:val="24"/>
          <w:szCs w:val="24"/>
        </w:rPr>
        <w:fldChar w:fldCharType="begin"/>
      </w:r>
      <w:r>
        <w:rPr>
          <w:rFonts w:ascii="Times New Roman" w:eastAsia="宋体" w:hAnsi="Times New Roman" w:cs="Times New Roman"/>
          <w:color w:val="000000" w:themeColor="text1"/>
          <w:sz w:val="24"/>
          <w:szCs w:val="24"/>
        </w:rPr>
        <w:instrText xml:space="preserve"> ADDIN NE.Ref.{36017D31-6BEE-4E8A-9F1E-B97049CFE206}</w:instrText>
      </w:r>
      <w:r w:rsidR="00B411DC">
        <w:rPr>
          <w:rFonts w:ascii="Times New Roman" w:eastAsia="宋体" w:hAnsi="Times New Roman" w:cs="Times New Roman"/>
          <w:color w:val="000000" w:themeColor="text1"/>
          <w:sz w:val="24"/>
          <w:szCs w:val="24"/>
        </w:rPr>
        <w:fldChar w:fldCharType="separate"/>
      </w:r>
      <w:r>
        <w:rPr>
          <w:rFonts w:ascii="Times New Roman" w:eastAsia="宋体" w:hAnsi="Times New Roman" w:cs="Times New Roman"/>
          <w:color w:val="000000" w:themeColor="text1"/>
          <w:kern w:val="0"/>
          <w:sz w:val="24"/>
          <w:szCs w:val="24"/>
          <w:vertAlign w:val="superscript"/>
        </w:rPr>
        <w:t>[3]</w:t>
      </w:r>
      <w:r w:rsidR="00B411DC">
        <w:rPr>
          <w:rFonts w:ascii="Times New Roman" w:eastAsia="宋体" w:hAnsi="Times New Roman" w:cs="Times New Roman"/>
          <w:color w:val="000000" w:themeColor="text1"/>
          <w:sz w:val="24"/>
          <w:szCs w:val="24"/>
        </w:rPr>
        <w:fldChar w:fldCharType="end"/>
      </w:r>
      <w:r>
        <w:rPr>
          <w:rFonts w:ascii="Times New Roman" w:eastAsia="宋体" w:hAnsi="Times New Roman" w:cs="Times New Roman" w:hint="eastAsia"/>
          <w:color w:val="000000" w:themeColor="text1"/>
          <w:sz w:val="24"/>
          <w:szCs w:val="24"/>
        </w:rPr>
        <w:t>指出</w:t>
      </w:r>
      <w:r>
        <w:rPr>
          <w:rFonts w:ascii="Times New Roman" w:eastAsia="宋体" w:hAnsi="Times New Roman" w:cs="Times New Roman"/>
          <w:color w:val="000000" w:themeColor="text1"/>
          <w:sz w:val="24"/>
          <w:szCs w:val="24"/>
        </w:rPr>
        <w:t>2012</w:t>
      </w:r>
      <w:r>
        <w:rPr>
          <w:rFonts w:ascii="Times New Roman" w:eastAsia="宋体" w:hAnsi="Times New Roman" w:cs="Times New Roman" w:hint="eastAsia"/>
          <w:color w:val="000000" w:themeColor="text1"/>
          <w:sz w:val="24"/>
          <w:szCs w:val="24"/>
        </w:rPr>
        <w:t>年我国</w:t>
      </w:r>
      <w:r>
        <w:rPr>
          <w:rFonts w:ascii="Times New Roman" w:eastAsia="宋体" w:hAnsi="Times New Roman" w:cs="Times New Roman"/>
          <w:color w:val="000000" w:themeColor="text1"/>
          <w:sz w:val="24"/>
          <w:szCs w:val="24"/>
        </w:rPr>
        <w:t>18</w:t>
      </w:r>
      <w:r>
        <w:rPr>
          <w:rFonts w:ascii="Times New Roman" w:eastAsia="宋体" w:hAnsi="Times New Roman" w:cs="Times New Roman" w:hint="eastAsia"/>
          <w:color w:val="000000" w:themeColor="text1"/>
          <w:sz w:val="24"/>
          <w:szCs w:val="24"/>
        </w:rPr>
        <w:t>岁及以上人口的高血压患病率为</w:t>
      </w:r>
      <w:r>
        <w:rPr>
          <w:rFonts w:ascii="Times New Roman" w:eastAsia="宋体" w:hAnsi="Times New Roman" w:cs="Times New Roman"/>
          <w:color w:val="000000" w:themeColor="text1"/>
          <w:sz w:val="24"/>
          <w:szCs w:val="24"/>
        </w:rPr>
        <w:t>25.20%</w:t>
      </w:r>
      <w:r>
        <w:rPr>
          <w:rFonts w:ascii="Times New Roman" w:eastAsia="宋体" w:hAnsi="Times New Roman" w:cs="Times New Roman" w:hint="eastAsia"/>
          <w:color w:val="000000" w:themeColor="text1"/>
          <w:sz w:val="24"/>
          <w:szCs w:val="24"/>
        </w:rPr>
        <w:t>，</w:t>
      </w:r>
      <w:r>
        <w:rPr>
          <w:rFonts w:ascii="Times New Roman" w:eastAsia="宋体" w:hAnsi="Times New Roman" w:cs="Times New Roman"/>
          <w:color w:val="000000" w:themeColor="text1"/>
          <w:sz w:val="24"/>
          <w:szCs w:val="24"/>
        </w:rPr>
        <w:t>2015</w:t>
      </w:r>
      <w:r>
        <w:rPr>
          <w:rFonts w:ascii="Times New Roman" w:eastAsia="宋体" w:hAnsi="Times New Roman" w:cs="Times New Roman" w:hint="eastAsia"/>
          <w:color w:val="000000" w:themeColor="text1"/>
          <w:sz w:val="24"/>
          <w:szCs w:val="24"/>
        </w:rPr>
        <w:t>年上升至</w:t>
      </w:r>
      <w:r>
        <w:rPr>
          <w:rFonts w:ascii="Times New Roman" w:eastAsia="宋体" w:hAnsi="Times New Roman" w:cs="Times New Roman"/>
          <w:color w:val="000000" w:themeColor="text1"/>
          <w:sz w:val="24"/>
          <w:szCs w:val="24"/>
        </w:rPr>
        <w:t>27.90%</w:t>
      </w:r>
      <w:r>
        <w:rPr>
          <w:rFonts w:ascii="Times New Roman" w:eastAsia="宋体" w:hAnsi="Times New Roman" w:cs="Times New Roman" w:hint="eastAsia"/>
          <w:color w:val="000000" w:themeColor="text1"/>
          <w:sz w:val="24"/>
          <w:szCs w:val="24"/>
        </w:rPr>
        <w:t>。流行病学调查显示我国</w:t>
      </w:r>
      <w:r>
        <w:rPr>
          <w:rFonts w:ascii="Times New Roman" w:eastAsia="宋体" w:hAnsi="Times New Roman" w:cs="Times New Roman"/>
          <w:color w:val="000000" w:themeColor="text1"/>
          <w:sz w:val="24"/>
          <w:szCs w:val="24"/>
        </w:rPr>
        <w:t>CKD</w:t>
      </w:r>
      <w:r>
        <w:rPr>
          <w:rFonts w:ascii="Times New Roman" w:eastAsia="宋体" w:hAnsi="Times New Roman" w:cs="Times New Roman" w:hint="eastAsia"/>
          <w:color w:val="000000" w:themeColor="text1"/>
          <w:sz w:val="24"/>
          <w:szCs w:val="24"/>
        </w:rPr>
        <w:t>非透析患者高血压的患病率为</w:t>
      </w:r>
      <w:r>
        <w:rPr>
          <w:rFonts w:ascii="Times New Roman" w:eastAsia="宋体" w:hAnsi="Times New Roman" w:cs="Times New Roman"/>
          <w:color w:val="000000" w:themeColor="text1"/>
          <w:sz w:val="24"/>
          <w:szCs w:val="24"/>
        </w:rPr>
        <w:t>78.4%</w:t>
      </w:r>
      <w:r>
        <w:rPr>
          <w:rFonts w:ascii="Times New Roman" w:eastAsia="宋体" w:hAnsi="Times New Roman" w:cs="Times New Roman" w:hint="eastAsia"/>
          <w:color w:val="000000" w:themeColor="text1"/>
          <w:sz w:val="24"/>
          <w:szCs w:val="24"/>
        </w:rPr>
        <w:t>，知晓率为</w:t>
      </w:r>
      <w:r>
        <w:rPr>
          <w:rFonts w:ascii="Times New Roman" w:eastAsia="宋体" w:hAnsi="Times New Roman" w:cs="Times New Roman"/>
          <w:color w:val="000000" w:themeColor="text1"/>
          <w:sz w:val="24"/>
          <w:szCs w:val="24"/>
        </w:rPr>
        <w:t>80.7</w:t>
      </w:r>
      <w:r>
        <w:rPr>
          <w:rFonts w:ascii="Times New Roman" w:eastAsia="宋体" w:hAnsi="Times New Roman" w:cs="Times New Roman" w:hint="eastAsia"/>
          <w:color w:val="000000" w:themeColor="text1"/>
          <w:sz w:val="24"/>
          <w:szCs w:val="24"/>
        </w:rPr>
        <w:t>％，治疗率为</w:t>
      </w:r>
      <w:r>
        <w:rPr>
          <w:rFonts w:ascii="Times New Roman" w:eastAsia="宋体" w:hAnsi="Times New Roman" w:cs="Times New Roman"/>
          <w:color w:val="000000" w:themeColor="text1"/>
          <w:sz w:val="24"/>
          <w:szCs w:val="24"/>
        </w:rPr>
        <w:t>95.6</w:t>
      </w:r>
      <w:r>
        <w:rPr>
          <w:rFonts w:ascii="Times New Roman" w:eastAsia="宋体" w:hAnsi="Times New Roman" w:cs="Times New Roman" w:hint="eastAsia"/>
          <w:color w:val="000000" w:themeColor="text1"/>
          <w:sz w:val="24"/>
          <w:szCs w:val="24"/>
        </w:rPr>
        <w:t>％，控制率仅为</w:t>
      </w:r>
      <w:r>
        <w:rPr>
          <w:rFonts w:ascii="Times New Roman" w:eastAsia="宋体" w:hAnsi="Times New Roman" w:cs="Times New Roman"/>
          <w:color w:val="000000" w:themeColor="text1"/>
          <w:sz w:val="24"/>
          <w:szCs w:val="24"/>
        </w:rPr>
        <w:t>57.1</w:t>
      </w:r>
      <w:r>
        <w:rPr>
          <w:rFonts w:ascii="Times New Roman" w:eastAsia="宋体" w:hAnsi="Times New Roman" w:cs="Times New Roman" w:hint="eastAsia"/>
          <w:color w:val="000000" w:themeColor="text1"/>
          <w:sz w:val="24"/>
          <w:szCs w:val="24"/>
        </w:rPr>
        <w:t>％</w:t>
      </w:r>
      <w:r>
        <w:rPr>
          <w:rFonts w:ascii="Times New Roman" w:eastAsia="宋体" w:hAnsi="Times New Roman" w:cs="Times New Roman"/>
          <w:color w:val="000000" w:themeColor="text1"/>
          <w:sz w:val="24"/>
          <w:szCs w:val="24"/>
        </w:rPr>
        <w:t>(</w:t>
      </w:r>
      <w:r>
        <w:rPr>
          <w:rFonts w:ascii="Times New Roman" w:eastAsia="宋体" w:hAnsi="Times New Roman" w:cs="Times New Roman" w:hint="eastAsia"/>
          <w:color w:val="000000" w:themeColor="text1"/>
          <w:sz w:val="24"/>
          <w:szCs w:val="24"/>
        </w:rPr>
        <w:t>目标值＜</w:t>
      </w:r>
      <w:r>
        <w:rPr>
          <w:rFonts w:ascii="Times New Roman" w:eastAsia="宋体" w:hAnsi="Times New Roman" w:cs="Times New Roman"/>
          <w:color w:val="000000" w:themeColor="text1"/>
          <w:sz w:val="24"/>
          <w:szCs w:val="24"/>
        </w:rPr>
        <w:t>140/90 mmHg</w:t>
      </w:r>
      <w:r>
        <w:rPr>
          <w:rFonts w:ascii="Times New Roman" w:eastAsia="宋体" w:hAnsi="Times New Roman" w:cs="Times New Roman" w:hint="eastAsia"/>
          <w:color w:val="000000" w:themeColor="text1"/>
          <w:sz w:val="24"/>
          <w:szCs w:val="24"/>
        </w:rPr>
        <w:t>）</w:t>
      </w:r>
      <w:r w:rsidR="00B411DC">
        <w:rPr>
          <w:rFonts w:ascii="Times New Roman" w:eastAsia="宋体" w:hAnsi="Times New Roman" w:cs="Times New Roman"/>
          <w:color w:val="000000" w:themeColor="text1"/>
          <w:sz w:val="24"/>
          <w:szCs w:val="24"/>
        </w:rPr>
        <w:fldChar w:fldCharType="begin"/>
      </w:r>
      <w:r>
        <w:rPr>
          <w:rFonts w:ascii="Times New Roman" w:eastAsia="宋体" w:hAnsi="Times New Roman" w:cs="Times New Roman"/>
          <w:color w:val="000000" w:themeColor="text1"/>
          <w:sz w:val="24"/>
          <w:szCs w:val="24"/>
        </w:rPr>
        <w:instrText xml:space="preserve"> ADDIN NE.Ref.{B2C4E0DA-76A9-4F9E-AD4F-97FCAA32E5DF}</w:instrText>
      </w:r>
      <w:r w:rsidR="00B411DC">
        <w:rPr>
          <w:rFonts w:ascii="Times New Roman" w:eastAsia="宋体" w:hAnsi="Times New Roman" w:cs="Times New Roman"/>
          <w:color w:val="000000" w:themeColor="text1"/>
          <w:sz w:val="24"/>
          <w:szCs w:val="24"/>
        </w:rPr>
        <w:fldChar w:fldCharType="separate"/>
      </w:r>
      <w:r>
        <w:rPr>
          <w:rFonts w:ascii="Times New Roman" w:eastAsia="宋体" w:hAnsi="Times New Roman" w:cs="Times New Roman"/>
          <w:color w:val="000000" w:themeColor="text1"/>
          <w:kern w:val="0"/>
          <w:sz w:val="24"/>
          <w:szCs w:val="24"/>
          <w:vertAlign w:val="superscript"/>
        </w:rPr>
        <w:t>[4]</w:t>
      </w:r>
      <w:r w:rsidR="00B411DC">
        <w:rPr>
          <w:rFonts w:ascii="Times New Roman" w:eastAsia="宋体" w:hAnsi="Times New Roman" w:cs="Times New Roman"/>
          <w:color w:val="000000" w:themeColor="text1"/>
          <w:sz w:val="24"/>
          <w:szCs w:val="24"/>
        </w:rPr>
        <w:fldChar w:fldCharType="end"/>
      </w:r>
      <w:r>
        <w:rPr>
          <w:rFonts w:ascii="Times New Roman" w:eastAsia="宋体" w:hAnsi="Times New Roman" w:cs="Times New Roman" w:hint="eastAsia"/>
          <w:color w:val="000000" w:themeColor="text1"/>
          <w:sz w:val="24"/>
          <w:szCs w:val="24"/>
        </w:rPr>
        <w:t>。而在美国，</w:t>
      </w:r>
      <w:r>
        <w:rPr>
          <w:rFonts w:ascii="Times New Roman" w:eastAsia="宋体" w:hAnsi="Times New Roman" w:cs="Times New Roman"/>
          <w:color w:val="000000" w:themeColor="text1"/>
          <w:sz w:val="24"/>
          <w:szCs w:val="24"/>
        </w:rPr>
        <w:t>CKD</w:t>
      </w:r>
      <w:r>
        <w:rPr>
          <w:rFonts w:ascii="Times New Roman" w:eastAsia="宋体" w:hAnsi="Times New Roman" w:cs="Times New Roman" w:hint="eastAsia"/>
          <w:color w:val="000000" w:themeColor="text1"/>
          <w:sz w:val="24"/>
          <w:szCs w:val="24"/>
        </w:rPr>
        <w:t>非透析患者的高血压患病率为</w:t>
      </w:r>
      <w:r>
        <w:rPr>
          <w:rFonts w:ascii="Times New Roman" w:eastAsia="宋体" w:hAnsi="Times New Roman" w:cs="Times New Roman"/>
          <w:color w:val="000000" w:themeColor="text1"/>
          <w:sz w:val="24"/>
          <w:szCs w:val="24"/>
        </w:rPr>
        <w:t>85.7%</w:t>
      </w:r>
      <w:r>
        <w:rPr>
          <w:rFonts w:ascii="Times New Roman" w:eastAsia="宋体" w:hAnsi="Times New Roman" w:cs="Times New Roman" w:hint="eastAsia"/>
          <w:color w:val="000000" w:themeColor="text1"/>
          <w:sz w:val="24"/>
          <w:szCs w:val="24"/>
        </w:rPr>
        <w:t>，知晓率为</w:t>
      </w:r>
      <w:r>
        <w:rPr>
          <w:rFonts w:ascii="Times New Roman" w:eastAsia="宋体" w:hAnsi="Times New Roman" w:cs="Times New Roman"/>
          <w:color w:val="000000" w:themeColor="text1"/>
          <w:sz w:val="24"/>
          <w:szCs w:val="24"/>
        </w:rPr>
        <w:t>98.9%</w:t>
      </w:r>
      <w:r>
        <w:rPr>
          <w:rFonts w:ascii="Times New Roman" w:eastAsia="宋体" w:hAnsi="Times New Roman" w:cs="Times New Roman" w:hint="eastAsia"/>
          <w:color w:val="000000" w:themeColor="text1"/>
          <w:sz w:val="24"/>
          <w:szCs w:val="24"/>
        </w:rPr>
        <w:t>，治疗率为</w:t>
      </w:r>
      <w:r>
        <w:rPr>
          <w:rFonts w:ascii="Times New Roman" w:eastAsia="宋体" w:hAnsi="Times New Roman" w:cs="Times New Roman"/>
          <w:color w:val="000000" w:themeColor="text1"/>
          <w:sz w:val="24"/>
          <w:szCs w:val="24"/>
        </w:rPr>
        <w:t>98.3%</w:t>
      </w:r>
      <w:r>
        <w:rPr>
          <w:rFonts w:ascii="Times New Roman" w:eastAsia="宋体" w:hAnsi="Times New Roman" w:cs="Times New Roman" w:hint="eastAsia"/>
          <w:color w:val="000000" w:themeColor="text1"/>
          <w:sz w:val="24"/>
          <w:szCs w:val="24"/>
        </w:rPr>
        <w:t>，达标率达</w:t>
      </w:r>
      <w:r>
        <w:rPr>
          <w:rFonts w:ascii="Times New Roman" w:eastAsia="宋体" w:hAnsi="Times New Roman" w:cs="Times New Roman"/>
          <w:color w:val="000000" w:themeColor="text1"/>
          <w:sz w:val="24"/>
          <w:szCs w:val="24"/>
        </w:rPr>
        <w:t xml:space="preserve">67.1% </w:t>
      </w:r>
      <w:r w:rsidR="00B411DC">
        <w:rPr>
          <w:rFonts w:ascii="Times New Roman" w:eastAsia="宋体" w:hAnsi="Times New Roman" w:cs="Times New Roman"/>
          <w:color w:val="000000" w:themeColor="text1"/>
          <w:sz w:val="24"/>
          <w:szCs w:val="24"/>
        </w:rPr>
        <w:fldChar w:fldCharType="begin"/>
      </w:r>
      <w:r>
        <w:rPr>
          <w:rFonts w:ascii="Times New Roman" w:eastAsia="宋体" w:hAnsi="Times New Roman" w:cs="Times New Roman"/>
          <w:color w:val="000000" w:themeColor="text1"/>
          <w:sz w:val="24"/>
          <w:szCs w:val="24"/>
        </w:rPr>
        <w:instrText xml:space="preserve"> ADDIN NE.Ref.{62E1EDD3-0773-4898-9329-190631E3CAE0}</w:instrText>
      </w:r>
      <w:r w:rsidR="00B411DC">
        <w:rPr>
          <w:rFonts w:ascii="Times New Roman" w:eastAsia="宋体" w:hAnsi="Times New Roman" w:cs="Times New Roman"/>
          <w:color w:val="000000" w:themeColor="text1"/>
          <w:sz w:val="24"/>
          <w:szCs w:val="24"/>
        </w:rPr>
        <w:fldChar w:fldCharType="separate"/>
      </w:r>
      <w:r>
        <w:rPr>
          <w:rFonts w:ascii="Times New Roman" w:eastAsia="宋体" w:hAnsi="Times New Roman" w:cs="Times New Roman"/>
          <w:color w:val="000000" w:themeColor="text1"/>
          <w:kern w:val="0"/>
          <w:sz w:val="24"/>
          <w:szCs w:val="24"/>
          <w:vertAlign w:val="superscript"/>
        </w:rPr>
        <w:t>[5]</w:t>
      </w:r>
      <w:r w:rsidR="00B411DC">
        <w:rPr>
          <w:rFonts w:ascii="Times New Roman" w:eastAsia="宋体" w:hAnsi="Times New Roman" w:cs="Times New Roman"/>
          <w:color w:val="000000" w:themeColor="text1"/>
          <w:sz w:val="24"/>
          <w:szCs w:val="24"/>
        </w:rPr>
        <w:fldChar w:fldCharType="end"/>
      </w:r>
      <w:r>
        <w:rPr>
          <w:rFonts w:ascii="Times New Roman" w:eastAsia="宋体" w:hAnsi="Times New Roman" w:cs="Times New Roman" w:hint="eastAsia"/>
          <w:color w:val="000000" w:themeColor="text1"/>
          <w:sz w:val="24"/>
          <w:szCs w:val="24"/>
        </w:rPr>
        <w:t>。研究显示</w:t>
      </w:r>
      <w:r>
        <w:rPr>
          <w:rFonts w:ascii="Times New Roman" w:eastAsia="宋体" w:hAnsi="Times New Roman" w:cs="Times New Roman" w:hint="eastAsia"/>
          <w:bCs/>
          <w:color w:val="000000" w:themeColor="text1"/>
          <w:sz w:val="24"/>
          <w:szCs w:val="24"/>
        </w:rPr>
        <w:t>高血压是</w:t>
      </w:r>
      <w:r>
        <w:rPr>
          <w:rFonts w:ascii="Times New Roman" w:eastAsia="宋体" w:hAnsi="Times New Roman" w:cs="Times New Roman"/>
          <w:bCs/>
          <w:color w:val="000000" w:themeColor="text1"/>
          <w:sz w:val="24"/>
          <w:szCs w:val="24"/>
        </w:rPr>
        <w:t>CKD</w:t>
      </w:r>
      <w:r>
        <w:rPr>
          <w:rFonts w:ascii="Times New Roman" w:eastAsia="宋体" w:hAnsi="Times New Roman" w:cs="Times New Roman" w:hint="eastAsia"/>
          <w:bCs/>
          <w:color w:val="000000" w:themeColor="text1"/>
          <w:sz w:val="24"/>
          <w:szCs w:val="24"/>
        </w:rPr>
        <w:t>患者全因死亡或心血管死亡的主要危险因素，合理地管理血压可减缓</w:t>
      </w:r>
      <w:r>
        <w:rPr>
          <w:rFonts w:ascii="Times New Roman" w:eastAsia="宋体" w:hAnsi="Times New Roman" w:cs="Times New Roman"/>
          <w:bCs/>
          <w:color w:val="000000" w:themeColor="text1"/>
          <w:sz w:val="24"/>
          <w:szCs w:val="24"/>
        </w:rPr>
        <w:t>CKD</w:t>
      </w:r>
      <w:r>
        <w:rPr>
          <w:rFonts w:ascii="Times New Roman" w:eastAsia="宋体" w:hAnsi="Times New Roman" w:cs="Times New Roman" w:hint="eastAsia"/>
          <w:bCs/>
          <w:color w:val="000000" w:themeColor="text1"/>
          <w:sz w:val="24"/>
          <w:szCs w:val="24"/>
        </w:rPr>
        <w:t>进展，降低心血管疾病风险</w:t>
      </w:r>
      <w:r w:rsidR="00B411DC">
        <w:rPr>
          <w:rFonts w:ascii="Times New Roman" w:eastAsia="宋体" w:hAnsi="Times New Roman" w:cs="Times New Roman"/>
          <w:color w:val="000000" w:themeColor="text1"/>
          <w:sz w:val="24"/>
          <w:szCs w:val="24"/>
        </w:rPr>
        <w:fldChar w:fldCharType="begin"/>
      </w:r>
      <w:r>
        <w:rPr>
          <w:rFonts w:ascii="Times New Roman" w:eastAsia="宋体" w:hAnsi="Times New Roman" w:cs="Times New Roman"/>
          <w:color w:val="000000" w:themeColor="text1"/>
          <w:sz w:val="24"/>
          <w:szCs w:val="24"/>
        </w:rPr>
        <w:instrText xml:space="preserve"> ADDIN NE.Ref.{299013D9-1398-4114-AA08-F22F7D35BD19}</w:instrText>
      </w:r>
      <w:r w:rsidR="00B411DC">
        <w:rPr>
          <w:rFonts w:ascii="Times New Roman" w:eastAsia="宋体" w:hAnsi="Times New Roman" w:cs="Times New Roman"/>
          <w:color w:val="000000" w:themeColor="text1"/>
          <w:sz w:val="24"/>
          <w:szCs w:val="24"/>
        </w:rPr>
        <w:fldChar w:fldCharType="end"/>
      </w:r>
      <w:r>
        <w:rPr>
          <w:rFonts w:ascii="Times New Roman" w:eastAsia="宋体" w:hAnsi="Times New Roman" w:cs="Times New Roman"/>
          <w:color w:val="000000" w:themeColor="text1"/>
          <w:kern w:val="0"/>
          <w:sz w:val="24"/>
          <w:szCs w:val="24"/>
          <w:vertAlign w:val="superscript"/>
        </w:rPr>
        <w:t>[6]</w:t>
      </w:r>
      <w:r>
        <w:rPr>
          <w:rFonts w:ascii="Times New Roman" w:eastAsia="宋体" w:hAnsi="Times New Roman" w:cs="Times New Roman" w:hint="eastAsia"/>
          <w:color w:val="000000" w:themeColor="text1"/>
          <w:sz w:val="24"/>
          <w:szCs w:val="24"/>
        </w:rPr>
        <w:t>。但</w:t>
      </w:r>
      <w:r>
        <w:rPr>
          <w:rFonts w:ascii="Times New Roman" w:eastAsia="宋体" w:hAnsi="Times New Roman" w:cs="Times New Roman"/>
          <w:color w:val="000000" w:themeColor="text1"/>
          <w:sz w:val="24"/>
          <w:szCs w:val="24"/>
        </w:rPr>
        <w:t>CKD</w:t>
      </w:r>
      <w:r>
        <w:rPr>
          <w:rFonts w:ascii="Times New Roman" w:eastAsia="宋体" w:hAnsi="Times New Roman" w:cs="Times New Roman" w:hint="eastAsia"/>
          <w:color w:val="000000" w:themeColor="text1"/>
          <w:sz w:val="24"/>
          <w:szCs w:val="24"/>
        </w:rPr>
        <w:t>患者高血压的病因及合并症复杂多样，疾病阶段不一，治疗方案的制定应依据降压靶目标、原发病、肾功能状况、透析方式以及合并状况等做出个体化选择。本指引就以上问题，结合最新指南进行归纳概括，以便广大临床医师和药师参阅。</w:t>
      </w:r>
    </w:p>
    <w:p w:rsidR="002E5476" w:rsidRDefault="002E5476">
      <w:pPr>
        <w:pStyle w:val="10"/>
        <w:spacing w:line="360" w:lineRule="auto"/>
        <w:ind w:firstLine="480"/>
        <w:jc w:val="left"/>
        <w:outlineLvl w:val="0"/>
        <w:rPr>
          <w:rFonts w:ascii="Times New Roman" w:eastAsia="宋体" w:hAnsi="Times New Roman" w:cs="Times New Roman"/>
          <w:color w:val="000000" w:themeColor="text1"/>
          <w:sz w:val="24"/>
          <w:szCs w:val="24"/>
        </w:rPr>
      </w:pPr>
    </w:p>
    <w:p w:rsidR="002E5476" w:rsidRDefault="00423E71">
      <w:pPr>
        <w:spacing w:line="360" w:lineRule="auto"/>
        <w:outlineLvl w:val="1"/>
        <w:rPr>
          <w:rFonts w:ascii="Times New Roman" w:eastAsia="宋体" w:hAnsi="Times New Roman" w:cs="Times New Roman"/>
          <w:b/>
          <w:bCs/>
          <w:color w:val="000000" w:themeColor="text1"/>
          <w:sz w:val="24"/>
          <w:szCs w:val="24"/>
        </w:rPr>
      </w:pPr>
      <w:bookmarkStart w:id="15" w:name="_Toc805301996_WPSOffice_Level1"/>
      <w:r>
        <w:rPr>
          <w:rFonts w:ascii="Times New Roman" w:eastAsia="宋体" w:hAnsi="Times New Roman" w:cs="Times New Roman"/>
          <w:b/>
          <w:bCs/>
          <w:color w:val="000000" w:themeColor="text1"/>
          <w:sz w:val="24"/>
          <w:szCs w:val="24"/>
        </w:rPr>
        <w:t>2. CKD</w:t>
      </w:r>
      <w:r>
        <w:rPr>
          <w:rFonts w:ascii="Times New Roman" w:eastAsia="宋体" w:hAnsi="Times New Roman" w:cs="Times New Roman" w:hint="eastAsia"/>
          <w:b/>
          <w:bCs/>
          <w:color w:val="000000" w:themeColor="text1"/>
          <w:sz w:val="24"/>
          <w:szCs w:val="24"/>
        </w:rPr>
        <w:t>非透析人群高血压的治疗</w:t>
      </w:r>
      <w:bookmarkEnd w:id="15"/>
    </w:p>
    <w:p w:rsidR="002E5476" w:rsidRDefault="00423E71">
      <w:pPr>
        <w:pStyle w:val="6"/>
        <w:numPr>
          <w:ilvl w:val="255"/>
          <w:numId w:val="0"/>
        </w:numPr>
        <w:spacing w:line="360" w:lineRule="auto"/>
        <w:outlineLvl w:val="1"/>
        <w:rPr>
          <w:rFonts w:ascii="Times New Roman" w:eastAsia="宋体" w:hAnsi="Times New Roman" w:cs="Times New Roman"/>
          <w:b/>
          <w:bCs/>
          <w:color w:val="000000" w:themeColor="text1"/>
          <w:sz w:val="24"/>
          <w:szCs w:val="24"/>
        </w:rPr>
      </w:pPr>
      <w:bookmarkStart w:id="16" w:name="_Toc1885774516_WPSOffice_Level2"/>
      <w:r>
        <w:rPr>
          <w:rFonts w:ascii="Times New Roman" w:eastAsia="宋体" w:hAnsi="Times New Roman" w:cs="Times New Roman"/>
          <w:b/>
          <w:bCs/>
          <w:color w:val="000000" w:themeColor="text1"/>
          <w:sz w:val="24"/>
          <w:szCs w:val="24"/>
        </w:rPr>
        <w:t>2.1 CKD</w:t>
      </w:r>
      <w:r>
        <w:rPr>
          <w:rFonts w:ascii="Times New Roman" w:eastAsia="宋体" w:hAnsi="Times New Roman" w:cs="Times New Roman" w:hint="eastAsia"/>
          <w:b/>
          <w:bCs/>
          <w:color w:val="000000" w:themeColor="text1"/>
          <w:sz w:val="24"/>
          <w:szCs w:val="24"/>
        </w:rPr>
        <w:t>非透析人群的降压目</w:t>
      </w:r>
      <w:bookmarkEnd w:id="16"/>
      <w:r>
        <w:rPr>
          <w:rFonts w:ascii="Times New Roman" w:eastAsia="宋体" w:hAnsi="Times New Roman" w:cs="Times New Roman" w:hint="eastAsia"/>
          <w:b/>
          <w:bCs/>
          <w:color w:val="000000" w:themeColor="text1"/>
          <w:sz w:val="24"/>
          <w:szCs w:val="24"/>
        </w:rPr>
        <w:t>标值</w:t>
      </w:r>
    </w:p>
    <w:p w:rsidR="002E5476" w:rsidRPr="00423E71" w:rsidRDefault="00B411DC" w:rsidP="00423E71">
      <w:pPr>
        <w:pStyle w:val="6"/>
        <w:numPr>
          <w:ilvl w:val="255"/>
          <w:numId w:val="0"/>
        </w:numPr>
        <w:spacing w:line="360" w:lineRule="auto"/>
        <w:ind w:firstLineChars="200" w:firstLine="480"/>
        <w:outlineLvl w:val="1"/>
        <w:rPr>
          <w:rFonts w:ascii="Times New Roman" w:eastAsia="宋体" w:hAnsi="Times New Roman" w:cs="Times New Roman"/>
          <w:b/>
          <w:bCs/>
          <w:color w:val="000000" w:themeColor="text1"/>
          <w:sz w:val="24"/>
          <w:szCs w:val="24"/>
        </w:rPr>
      </w:pPr>
      <w:r w:rsidRPr="00B411DC">
        <w:rPr>
          <w:rFonts w:ascii="Times New Roman" w:eastAsia="宋体" w:hAnsi="Times New Roman" w:cs="Times New Roman"/>
          <w:color w:val="000000" w:themeColor="text1"/>
          <w:sz w:val="24"/>
        </w:rPr>
      </w:r>
      <w:r w:rsidRPr="00B411DC">
        <w:rPr>
          <w:rFonts w:ascii="Times New Roman" w:eastAsia="宋体" w:hAnsi="Times New Roman" w:cs="Times New Roman"/>
          <w:color w:val="000000" w:themeColor="text1"/>
          <w:sz w:val="24"/>
        </w:rPr>
        <w:pict>
          <v:roundrect id="_x0000_s2055" style="width:491.65pt;height:48.7pt;mso-position-horizontal-relative:char;mso-position-vertical-relative:line;v-text-anchor:middle" arcsize="10923f" filled="f" strokecolor="#f79646" strokeweight="2pt">
            <v:textbox>
              <w:txbxContent>
                <w:p w:rsidR="00F47729" w:rsidRDefault="00F47729">
                  <w:pPr>
                    <w:jc w:val="left"/>
                  </w:pPr>
                  <w:r>
                    <w:rPr>
                      <w:rFonts w:ascii="Times New Roman" w:hAnsi="Times New Roman" w:cs="Times New Roman" w:hint="eastAsia"/>
                      <w:b/>
                      <w:bCs/>
                      <w:sz w:val="24"/>
                      <w:szCs w:val="24"/>
                    </w:rPr>
                    <w:t>各大指南关于非透析</w:t>
                  </w:r>
                  <w:r>
                    <w:rPr>
                      <w:rFonts w:ascii="Times New Roman" w:hAnsi="Times New Roman" w:cs="Times New Roman" w:hint="eastAsia"/>
                      <w:b/>
                      <w:bCs/>
                      <w:sz w:val="24"/>
                      <w:szCs w:val="24"/>
                    </w:rPr>
                    <w:t>C</w:t>
                  </w:r>
                  <w:r>
                    <w:rPr>
                      <w:rFonts w:ascii="Times New Roman" w:hAnsi="Times New Roman" w:cs="Times New Roman"/>
                      <w:b/>
                      <w:bCs/>
                      <w:sz w:val="24"/>
                      <w:szCs w:val="24"/>
                    </w:rPr>
                    <w:t>KD</w:t>
                  </w:r>
                  <w:r>
                    <w:rPr>
                      <w:rFonts w:ascii="Times New Roman" w:hAnsi="Times New Roman" w:cs="Times New Roman" w:hint="eastAsia"/>
                      <w:b/>
                      <w:bCs/>
                      <w:sz w:val="24"/>
                      <w:szCs w:val="24"/>
                    </w:rPr>
                    <w:t>人群的降压目标值存在差别，但多数指南将收缩压降至</w:t>
                  </w:r>
                  <w:r>
                    <w:rPr>
                      <w:rFonts w:ascii="Times New Roman" w:hAnsi="Times New Roman" w:cs="Times New Roman" w:hint="eastAsia"/>
                      <w:b/>
                      <w:bCs/>
                      <w:sz w:val="24"/>
                      <w:szCs w:val="24"/>
                    </w:rPr>
                    <w:t>1</w:t>
                  </w:r>
                  <w:r>
                    <w:rPr>
                      <w:rFonts w:ascii="Times New Roman" w:hAnsi="Times New Roman" w:cs="Times New Roman"/>
                      <w:b/>
                      <w:bCs/>
                      <w:sz w:val="24"/>
                      <w:szCs w:val="24"/>
                    </w:rPr>
                    <w:t>20</w:t>
                  </w:r>
                  <w:r>
                    <w:rPr>
                      <w:rFonts w:ascii="Times New Roman" w:hAnsi="Times New Roman" w:cs="Times New Roman" w:hint="eastAsia"/>
                      <w:b/>
                      <w:bCs/>
                      <w:sz w:val="24"/>
                      <w:szCs w:val="24"/>
                    </w:rPr>
                    <w:t>~</w:t>
                  </w:r>
                  <w:r>
                    <w:rPr>
                      <w:rFonts w:ascii="Times New Roman" w:hAnsi="Times New Roman" w:cs="Times New Roman"/>
                      <w:b/>
                      <w:bCs/>
                      <w:sz w:val="24"/>
                      <w:szCs w:val="24"/>
                    </w:rPr>
                    <w:t>130</w:t>
                  </w:r>
                  <w:r>
                    <w:rPr>
                      <w:rFonts w:ascii="Times New Roman" w:hAnsi="Times New Roman" w:cs="Times New Roman" w:hint="eastAsia"/>
                      <w:b/>
                      <w:bCs/>
                      <w:sz w:val="24"/>
                      <w:szCs w:val="24"/>
                    </w:rPr>
                    <w:t xml:space="preserve"> mm</w:t>
                  </w:r>
                  <w:r>
                    <w:rPr>
                      <w:rFonts w:ascii="Times New Roman" w:hAnsi="Times New Roman" w:cs="Times New Roman"/>
                      <w:b/>
                      <w:bCs/>
                      <w:sz w:val="24"/>
                      <w:szCs w:val="24"/>
                    </w:rPr>
                    <w:t>H</w:t>
                  </w:r>
                  <w:r>
                    <w:rPr>
                      <w:rFonts w:ascii="Times New Roman" w:hAnsi="Times New Roman" w:cs="Times New Roman" w:hint="eastAsia"/>
                      <w:b/>
                      <w:bCs/>
                      <w:sz w:val="24"/>
                      <w:szCs w:val="24"/>
                    </w:rPr>
                    <w:t>g</w:t>
                  </w:r>
                  <w:r>
                    <w:rPr>
                      <w:rFonts w:ascii="Times New Roman" w:hAnsi="Times New Roman" w:cs="Times New Roman" w:hint="eastAsia"/>
                      <w:b/>
                      <w:bCs/>
                      <w:sz w:val="24"/>
                      <w:szCs w:val="24"/>
                    </w:rPr>
                    <w:t>以下。</w:t>
                  </w:r>
                </w:p>
              </w:txbxContent>
            </v:textbox>
            <w10:wrap type="none"/>
            <w10:anchorlock/>
          </v:roundrect>
        </w:pict>
      </w:r>
    </w:p>
    <w:p w:rsidR="002E5476" w:rsidRDefault="00423E71">
      <w:pPr>
        <w:spacing w:line="360" w:lineRule="auto"/>
        <w:ind w:firstLineChars="200" w:firstLine="480"/>
        <w:jc w:val="left"/>
        <w:outlineLvl w:val="1"/>
        <w:rPr>
          <w:rFonts w:ascii="Times New Roman" w:eastAsia="宋体" w:hAnsi="Times New Roman" w:cs="Times New Roman"/>
          <w:color w:val="000000" w:themeColor="text1"/>
          <w:sz w:val="24"/>
          <w:szCs w:val="24"/>
        </w:rPr>
      </w:pPr>
      <w:r>
        <w:rPr>
          <w:rFonts w:ascii="Times New Roman" w:eastAsia="宋体" w:hAnsi="Times New Roman" w:cs="Times New Roman"/>
          <w:color w:val="000000" w:themeColor="text1"/>
          <w:sz w:val="24"/>
          <w:szCs w:val="24"/>
        </w:rPr>
        <w:t xml:space="preserve">CKD </w:t>
      </w:r>
      <w:r>
        <w:rPr>
          <w:rFonts w:ascii="Times New Roman" w:eastAsia="宋体" w:hAnsi="Times New Roman" w:cs="Times New Roman" w:hint="eastAsia"/>
          <w:color w:val="000000" w:themeColor="text1"/>
          <w:sz w:val="24"/>
          <w:szCs w:val="24"/>
        </w:rPr>
        <w:t>患者发生高血压的病理生理机制和非</w:t>
      </w:r>
      <w:r>
        <w:rPr>
          <w:rFonts w:ascii="Times New Roman" w:eastAsia="宋体" w:hAnsi="Times New Roman" w:cs="Times New Roman"/>
          <w:color w:val="000000" w:themeColor="text1"/>
          <w:sz w:val="24"/>
          <w:szCs w:val="24"/>
        </w:rPr>
        <w:t>CKD</w:t>
      </w:r>
      <w:r>
        <w:rPr>
          <w:rFonts w:ascii="Times New Roman" w:eastAsia="宋体" w:hAnsi="Times New Roman" w:cs="Times New Roman" w:hint="eastAsia"/>
          <w:color w:val="000000" w:themeColor="text1"/>
          <w:sz w:val="24"/>
          <w:szCs w:val="24"/>
        </w:rPr>
        <w:t>人群有差异。</w:t>
      </w:r>
      <w:r>
        <w:rPr>
          <w:rFonts w:ascii="Times New Roman" w:eastAsia="宋体" w:hAnsi="Times New Roman" w:cs="Times New Roman"/>
          <w:color w:val="000000" w:themeColor="text1"/>
          <w:sz w:val="24"/>
          <w:szCs w:val="24"/>
        </w:rPr>
        <w:t>CKD</w:t>
      </w:r>
      <w:r>
        <w:rPr>
          <w:rFonts w:ascii="Times New Roman" w:eastAsia="宋体" w:hAnsi="Times New Roman" w:cs="Times New Roman" w:hint="eastAsia"/>
          <w:color w:val="000000" w:themeColor="text1"/>
          <w:sz w:val="24"/>
          <w:szCs w:val="24"/>
        </w:rPr>
        <w:t>患者降压的靶目标值一直存在争议，各项临床试验及荟萃分析得出的结论不一致。近年来，大多数高血压指南对</w:t>
      </w:r>
      <w:r>
        <w:rPr>
          <w:rFonts w:ascii="Times New Roman" w:eastAsia="宋体" w:hAnsi="Times New Roman" w:cs="Times New Roman"/>
          <w:color w:val="000000" w:themeColor="text1"/>
          <w:sz w:val="24"/>
          <w:szCs w:val="24"/>
        </w:rPr>
        <w:t xml:space="preserve">CKD </w:t>
      </w:r>
      <w:r>
        <w:rPr>
          <w:rFonts w:ascii="Times New Roman" w:eastAsia="宋体" w:hAnsi="Times New Roman" w:cs="Times New Roman" w:hint="eastAsia"/>
          <w:color w:val="000000" w:themeColor="text1"/>
          <w:sz w:val="24"/>
          <w:szCs w:val="24"/>
        </w:rPr>
        <w:t>患者血压的管理提出了详细建议，但对血压靶目标的建议仍存在较大差异</w:t>
      </w:r>
      <w:r w:rsidR="00B411DC">
        <w:rPr>
          <w:rFonts w:ascii="Times New Roman" w:eastAsia="宋体" w:hAnsi="Times New Roman" w:cs="Times New Roman"/>
          <w:color w:val="000000" w:themeColor="text1"/>
          <w:sz w:val="24"/>
          <w:szCs w:val="24"/>
        </w:rPr>
        <w:fldChar w:fldCharType="begin"/>
      </w:r>
      <w:r>
        <w:rPr>
          <w:rFonts w:ascii="Times New Roman" w:eastAsia="宋体" w:hAnsi="Times New Roman" w:cs="Times New Roman"/>
          <w:color w:val="000000" w:themeColor="text1"/>
          <w:sz w:val="24"/>
          <w:szCs w:val="24"/>
        </w:rPr>
        <w:instrText xml:space="preserve"> ADDIN NE.Ref.{0EA1F3C4-D0E3-44C2-ABA2-099DE071C5A3}</w:instrText>
      </w:r>
      <w:r w:rsidR="00B411DC">
        <w:rPr>
          <w:rFonts w:ascii="Times New Roman" w:eastAsia="宋体" w:hAnsi="Times New Roman" w:cs="Times New Roman"/>
          <w:color w:val="000000" w:themeColor="text1"/>
          <w:sz w:val="24"/>
          <w:szCs w:val="24"/>
        </w:rPr>
        <w:fldChar w:fldCharType="separate"/>
      </w:r>
      <w:r>
        <w:rPr>
          <w:rFonts w:ascii="Times New Roman" w:eastAsia="宋体" w:hAnsi="Times New Roman" w:cs="Times New Roman"/>
          <w:color w:val="000000" w:themeColor="text1"/>
          <w:kern w:val="0"/>
          <w:sz w:val="24"/>
          <w:szCs w:val="24"/>
          <w:vertAlign w:val="superscript"/>
        </w:rPr>
        <w:t>[7]</w:t>
      </w:r>
      <w:r w:rsidR="00B411DC">
        <w:rPr>
          <w:rFonts w:ascii="Times New Roman" w:eastAsia="宋体" w:hAnsi="Times New Roman" w:cs="Times New Roman"/>
          <w:color w:val="000000" w:themeColor="text1"/>
          <w:sz w:val="24"/>
          <w:szCs w:val="24"/>
        </w:rPr>
        <w:fldChar w:fldCharType="end"/>
      </w:r>
      <w:r>
        <w:rPr>
          <w:rFonts w:ascii="Times New Roman" w:eastAsia="宋体" w:hAnsi="Times New Roman" w:cs="Times New Roman" w:hint="eastAsia"/>
          <w:color w:val="000000" w:themeColor="text1"/>
          <w:sz w:val="24"/>
          <w:szCs w:val="24"/>
        </w:rPr>
        <w:t>，详见表</w:t>
      </w:r>
      <w:r>
        <w:rPr>
          <w:rFonts w:ascii="Times New Roman" w:eastAsia="宋体" w:hAnsi="Times New Roman" w:cs="Times New Roman"/>
          <w:color w:val="000000" w:themeColor="text1"/>
          <w:sz w:val="24"/>
          <w:szCs w:val="24"/>
        </w:rPr>
        <w:t>1</w:t>
      </w:r>
      <w:r>
        <w:rPr>
          <w:rFonts w:ascii="Times New Roman" w:eastAsia="宋体" w:hAnsi="Times New Roman" w:cs="Times New Roman" w:hint="eastAsia"/>
          <w:color w:val="000000" w:themeColor="text1"/>
          <w:sz w:val="24"/>
          <w:szCs w:val="24"/>
        </w:rPr>
        <w:t>。</w:t>
      </w:r>
    </w:p>
    <w:p w:rsidR="002E5476" w:rsidRDefault="00423E71">
      <w:pPr>
        <w:spacing w:line="360" w:lineRule="auto"/>
        <w:ind w:firstLineChars="200" w:firstLine="480"/>
        <w:jc w:val="left"/>
        <w:outlineLvl w:val="1"/>
        <w:rPr>
          <w:rFonts w:ascii="Times New Roman" w:eastAsia="宋体" w:hAnsi="Times New Roman" w:cs="Times New Roman"/>
          <w:color w:val="000000" w:themeColor="text1"/>
          <w:sz w:val="24"/>
          <w:szCs w:val="24"/>
        </w:rPr>
      </w:pPr>
      <w:r>
        <w:rPr>
          <w:rFonts w:ascii="Times New Roman" w:eastAsia="宋体" w:hAnsi="Times New Roman" w:cs="Times New Roman"/>
          <w:color w:val="000000" w:themeColor="text1"/>
          <w:sz w:val="24"/>
          <w:szCs w:val="24"/>
        </w:rPr>
        <w:t>2012</w:t>
      </w:r>
      <w:r>
        <w:rPr>
          <w:rFonts w:ascii="Times New Roman" w:eastAsia="宋体" w:hAnsi="Times New Roman" w:cs="Times New Roman" w:hint="eastAsia"/>
          <w:color w:val="000000" w:themeColor="text1"/>
          <w:sz w:val="24"/>
          <w:szCs w:val="24"/>
        </w:rPr>
        <w:t>年改善全球肾脏病预后组织（</w:t>
      </w:r>
      <w:r>
        <w:rPr>
          <w:rFonts w:ascii="Times New Roman" w:eastAsia="宋体" w:hAnsi="Times New Roman" w:cs="Times New Roman"/>
          <w:color w:val="000000" w:themeColor="text1"/>
          <w:sz w:val="24"/>
          <w:szCs w:val="24"/>
        </w:rPr>
        <w:t>Kidney Disease: Improving Global Outcomes, KDIGO</w:t>
      </w:r>
      <w:r>
        <w:rPr>
          <w:rFonts w:ascii="Times New Roman" w:eastAsia="宋体" w:hAnsi="Times New Roman" w:cs="Times New Roman" w:hint="eastAsia"/>
          <w:color w:val="000000" w:themeColor="text1"/>
          <w:sz w:val="24"/>
          <w:szCs w:val="24"/>
        </w:rPr>
        <w:t>）临床实践指南</w:t>
      </w:r>
      <w:r w:rsidR="00B411DC">
        <w:rPr>
          <w:rFonts w:ascii="Times New Roman" w:eastAsia="宋体" w:hAnsi="Times New Roman" w:cs="Times New Roman"/>
          <w:color w:val="000000" w:themeColor="text1"/>
          <w:sz w:val="24"/>
          <w:szCs w:val="24"/>
        </w:rPr>
        <w:fldChar w:fldCharType="begin"/>
      </w:r>
      <w:r>
        <w:rPr>
          <w:rFonts w:ascii="Times New Roman" w:eastAsia="宋体" w:hAnsi="Times New Roman" w:cs="Times New Roman"/>
          <w:color w:val="000000" w:themeColor="text1"/>
          <w:sz w:val="24"/>
          <w:szCs w:val="24"/>
        </w:rPr>
        <w:instrText xml:space="preserve"> ADDIN NE.Ref.{3ABA001F-B425-4B98-A616-13ACE06F8FA3}</w:instrText>
      </w:r>
      <w:r w:rsidR="00B411DC">
        <w:rPr>
          <w:rFonts w:ascii="Times New Roman" w:eastAsia="宋体" w:hAnsi="Times New Roman" w:cs="Times New Roman"/>
          <w:color w:val="000000" w:themeColor="text1"/>
          <w:sz w:val="24"/>
          <w:szCs w:val="24"/>
        </w:rPr>
        <w:fldChar w:fldCharType="separate"/>
      </w:r>
      <w:r>
        <w:rPr>
          <w:rFonts w:ascii="Times New Roman" w:eastAsia="宋体" w:hAnsi="Times New Roman" w:cs="Times New Roman"/>
          <w:color w:val="000000" w:themeColor="text1"/>
          <w:kern w:val="0"/>
          <w:sz w:val="24"/>
          <w:szCs w:val="24"/>
          <w:vertAlign w:val="superscript"/>
        </w:rPr>
        <w:t>[8]</w:t>
      </w:r>
      <w:r w:rsidR="00B411DC">
        <w:rPr>
          <w:rFonts w:ascii="Times New Roman" w:eastAsia="宋体" w:hAnsi="Times New Roman" w:cs="Times New Roman"/>
          <w:color w:val="000000" w:themeColor="text1"/>
          <w:sz w:val="24"/>
          <w:szCs w:val="24"/>
        </w:rPr>
        <w:fldChar w:fldCharType="end"/>
      </w:r>
      <w:r>
        <w:rPr>
          <w:rFonts w:ascii="Times New Roman" w:eastAsia="宋体" w:hAnsi="Times New Roman" w:cs="Times New Roman" w:hint="eastAsia"/>
          <w:color w:val="000000" w:themeColor="text1"/>
          <w:sz w:val="24"/>
          <w:szCs w:val="24"/>
        </w:rPr>
        <w:t>将</w:t>
      </w:r>
      <w:r>
        <w:rPr>
          <w:rFonts w:ascii="Times New Roman" w:eastAsia="宋体" w:hAnsi="Times New Roman" w:cs="Times New Roman"/>
          <w:color w:val="000000" w:themeColor="text1"/>
          <w:sz w:val="24"/>
          <w:szCs w:val="24"/>
        </w:rPr>
        <w:t>CKD</w:t>
      </w:r>
      <w:r>
        <w:rPr>
          <w:rFonts w:ascii="Times New Roman" w:eastAsia="宋体" w:hAnsi="Times New Roman" w:cs="Times New Roman" w:hint="eastAsia"/>
          <w:color w:val="000000" w:themeColor="text1"/>
          <w:sz w:val="24"/>
          <w:szCs w:val="24"/>
        </w:rPr>
        <w:t>患者按照蛋白尿水平的高低，即尿白蛋白排泄率</w:t>
      </w:r>
      <w:r>
        <w:rPr>
          <w:rFonts w:ascii="Times New Roman" w:eastAsia="宋体" w:hAnsi="Times New Roman" w:cs="Times New Roman"/>
          <w:color w:val="000000" w:themeColor="text1"/>
          <w:sz w:val="24"/>
          <w:szCs w:val="24"/>
        </w:rPr>
        <w:t>&lt;30mg/24h</w:t>
      </w:r>
      <w:r>
        <w:rPr>
          <w:rFonts w:ascii="Times New Roman" w:eastAsia="宋体" w:hAnsi="Times New Roman" w:cs="Times New Roman" w:hint="eastAsia"/>
          <w:color w:val="000000" w:themeColor="text1"/>
          <w:sz w:val="24"/>
          <w:szCs w:val="24"/>
        </w:rPr>
        <w:t>或</w:t>
      </w:r>
      <w:r>
        <w:rPr>
          <w:rFonts w:ascii="Times New Roman" w:eastAsia="宋体" w:hAnsi="Times New Roman" w:cs="Times New Roman"/>
          <w:color w:val="000000" w:themeColor="text1"/>
          <w:sz w:val="24"/>
          <w:szCs w:val="24"/>
        </w:rPr>
        <w:t>&gt;30mg/24h</w:t>
      </w:r>
      <w:r>
        <w:rPr>
          <w:rFonts w:ascii="Times New Roman" w:eastAsia="宋体" w:hAnsi="Times New Roman" w:cs="Times New Roman" w:hint="eastAsia"/>
          <w:color w:val="000000" w:themeColor="text1"/>
          <w:sz w:val="24"/>
          <w:szCs w:val="24"/>
        </w:rPr>
        <w:t>，血压控制目标分别推荐为＜</w:t>
      </w:r>
      <w:r>
        <w:rPr>
          <w:rFonts w:ascii="Times New Roman" w:eastAsia="宋体" w:hAnsi="Times New Roman" w:cs="Times New Roman"/>
          <w:color w:val="000000" w:themeColor="text1"/>
          <w:sz w:val="24"/>
          <w:szCs w:val="24"/>
        </w:rPr>
        <w:t>130/80 mmHg</w:t>
      </w:r>
      <w:r>
        <w:rPr>
          <w:rFonts w:ascii="Times New Roman" w:eastAsia="宋体" w:hAnsi="Times New Roman" w:cs="Times New Roman" w:hint="eastAsia"/>
          <w:color w:val="000000" w:themeColor="text1"/>
          <w:sz w:val="24"/>
          <w:szCs w:val="24"/>
        </w:rPr>
        <w:t>及</w:t>
      </w:r>
      <w:r>
        <w:rPr>
          <w:rFonts w:ascii="Times New Roman" w:eastAsia="宋体" w:hAnsi="Times New Roman" w:cs="Times New Roman"/>
          <w:color w:val="000000" w:themeColor="text1"/>
          <w:sz w:val="24"/>
          <w:szCs w:val="24"/>
        </w:rPr>
        <w:t>140/90 mmHg</w:t>
      </w:r>
      <w:r>
        <w:rPr>
          <w:rFonts w:ascii="Times New Roman" w:eastAsia="宋体" w:hAnsi="Times New Roman" w:cs="Times New Roman" w:hint="eastAsia"/>
          <w:color w:val="000000" w:themeColor="text1"/>
          <w:sz w:val="24"/>
          <w:szCs w:val="24"/>
        </w:rPr>
        <w:t>。</w:t>
      </w:r>
      <w:r>
        <w:rPr>
          <w:rFonts w:ascii="Times New Roman" w:eastAsia="宋体" w:hAnsi="Times New Roman" w:cs="Times New Roman"/>
          <w:color w:val="000000" w:themeColor="text1"/>
          <w:sz w:val="24"/>
          <w:szCs w:val="24"/>
        </w:rPr>
        <w:t>2014</w:t>
      </w:r>
      <w:r>
        <w:rPr>
          <w:rFonts w:ascii="Times New Roman" w:eastAsia="宋体" w:hAnsi="Times New Roman" w:cs="Times New Roman" w:hint="eastAsia"/>
          <w:color w:val="000000" w:themeColor="text1"/>
          <w:sz w:val="24"/>
          <w:szCs w:val="24"/>
        </w:rPr>
        <w:t>年美国成人高血压指南</w:t>
      </w:r>
      <w:r w:rsidR="00B411DC">
        <w:rPr>
          <w:rFonts w:ascii="Times New Roman" w:eastAsia="宋体" w:hAnsi="Times New Roman" w:cs="Times New Roman"/>
          <w:color w:val="000000" w:themeColor="text1"/>
          <w:sz w:val="24"/>
          <w:szCs w:val="24"/>
        </w:rPr>
        <w:fldChar w:fldCharType="begin"/>
      </w:r>
      <w:r>
        <w:rPr>
          <w:rFonts w:ascii="Times New Roman" w:eastAsia="宋体" w:hAnsi="Times New Roman" w:cs="Times New Roman"/>
          <w:color w:val="000000" w:themeColor="text1"/>
          <w:sz w:val="24"/>
          <w:szCs w:val="24"/>
        </w:rPr>
        <w:instrText xml:space="preserve"> ADDIN NE.Ref.{178ACBE8-A1B3-47A3-912F-39127D6B36B9}</w:instrText>
      </w:r>
      <w:r w:rsidR="00B411DC">
        <w:rPr>
          <w:rFonts w:ascii="Times New Roman" w:eastAsia="宋体" w:hAnsi="Times New Roman" w:cs="Times New Roman"/>
          <w:color w:val="000000" w:themeColor="text1"/>
          <w:sz w:val="24"/>
          <w:szCs w:val="24"/>
        </w:rPr>
        <w:fldChar w:fldCharType="separate"/>
      </w:r>
      <w:r>
        <w:rPr>
          <w:rFonts w:ascii="Times New Roman" w:eastAsia="宋体" w:hAnsi="Times New Roman" w:cs="Times New Roman"/>
          <w:color w:val="000000" w:themeColor="text1"/>
          <w:kern w:val="0"/>
          <w:sz w:val="24"/>
          <w:szCs w:val="24"/>
          <w:vertAlign w:val="superscript"/>
        </w:rPr>
        <w:t>[9]</w:t>
      </w:r>
      <w:r w:rsidR="00B411DC">
        <w:rPr>
          <w:rFonts w:ascii="Times New Roman" w:eastAsia="宋体" w:hAnsi="Times New Roman" w:cs="Times New Roman"/>
          <w:color w:val="000000" w:themeColor="text1"/>
          <w:sz w:val="24"/>
          <w:szCs w:val="24"/>
        </w:rPr>
        <w:fldChar w:fldCharType="end"/>
      </w:r>
      <w:r>
        <w:rPr>
          <w:rFonts w:ascii="Times New Roman" w:eastAsia="宋体" w:hAnsi="Times New Roman" w:cs="Times New Roman" w:hint="eastAsia"/>
          <w:color w:val="000000" w:themeColor="text1"/>
          <w:sz w:val="24"/>
          <w:szCs w:val="24"/>
        </w:rPr>
        <w:t>推荐</w:t>
      </w:r>
      <w:r>
        <w:rPr>
          <w:rFonts w:ascii="Times New Roman" w:eastAsia="宋体" w:hAnsi="Times New Roman" w:cs="Times New Roman"/>
          <w:color w:val="000000" w:themeColor="text1"/>
          <w:sz w:val="24"/>
          <w:szCs w:val="24"/>
        </w:rPr>
        <w:t>CKD</w:t>
      </w:r>
      <w:r>
        <w:rPr>
          <w:rFonts w:ascii="Times New Roman" w:eastAsia="宋体" w:hAnsi="Times New Roman" w:cs="Times New Roman" w:hint="eastAsia"/>
          <w:color w:val="000000" w:themeColor="text1"/>
          <w:sz w:val="24"/>
          <w:szCs w:val="24"/>
        </w:rPr>
        <w:t>患者的血压控制目标为＜</w:t>
      </w:r>
      <w:r>
        <w:rPr>
          <w:rFonts w:ascii="Times New Roman" w:eastAsia="宋体" w:hAnsi="Times New Roman" w:cs="Times New Roman"/>
          <w:color w:val="000000" w:themeColor="text1"/>
          <w:sz w:val="24"/>
          <w:szCs w:val="24"/>
        </w:rPr>
        <w:t>140/90 mmHg</w:t>
      </w:r>
      <w:r>
        <w:rPr>
          <w:rFonts w:ascii="Times New Roman" w:eastAsia="宋体" w:hAnsi="Times New Roman" w:cs="Times New Roman" w:hint="eastAsia"/>
          <w:color w:val="000000" w:themeColor="text1"/>
          <w:sz w:val="24"/>
          <w:szCs w:val="24"/>
        </w:rPr>
        <w:t>。</w:t>
      </w:r>
      <w:r>
        <w:rPr>
          <w:rFonts w:ascii="Times New Roman" w:eastAsia="宋体" w:hAnsi="Times New Roman" w:cs="Times New Roman"/>
          <w:color w:val="000000" w:themeColor="text1"/>
          <w:sz w:val="24"/>
          <w:szCs w:val="24"/>
        </w:rPr>
        <w:t>2018</w:t>
      </w:r>
      <w:r>
        <w:rPr>
          <w:rFonts w:ascii="Times New Roman" w:eastAsia="宋体" w:hAnsi="Times New Roman" w:cs="Times New Roman" w:hint="eastAsia"/>
          <w:color w:val="000000" w:themeColor="text1"/>
          <w:sz w:val="24"/>
          <w:szCs w:val="24"/>
        </w:rPr>
        <w:t>年由美国心脏病学会（</w:t>
      </w:r>
      <w:r>
        <w:rPr>
          <w:rFonts w:ascii="Times New Roman" w:eastAsia="宋体" w:hAnsi="Times New Roman" w:cs="Times New Roman"/>
          <w:color w:val="000000" w:themeColor="text1"/>
          <w:sz w:val="24"/>
          <w:szCs w:val="24"/>
        </w:rPr>
        <w:t>American College of Cardiology</w:t>
      </w:r>
      <w:r>
        <w:rPr>
          <w:rFonts w:ascii="Times New Roman" w:eastAsia="宋体" w:hAnsi="Times New Roman" w:cs="Times New Roman" w:hint="eastAsia"/>
          <w:color w:val="000000" w:themeColor="text1"/>
          <w:sz w:val="24"/>
          <w:szCs w:val="24"/>
        </w:rPr>
        <w:t>，</w:t>
      </w:r>
      <w:r>
        <w:rPr>
          <w:rFonts w:ascii="Times New Roman" w:eastAsia="宋体" w:hAnsi="Times New Roman" w:cs="Times New Roman"/>
          <w:color w:val="000000" w:themeColor="text1"/>
          <w:sz w:val="24"/>
          <w:szCs w:val="24"/>
        </w:rPr>
        <w:t>ACC</w:t>
      </w:r>
      <w:r>
        <w:rPr>
          <w:rFonts w:ascii="Times New Roman" w:eastAsia="宋体" w:hAnsi="Times New Roman" w:cs="Times New Roman" w:hint="eastAsia"/>
          <w:color w:val="000000" w:themeColor="text1"/>
          <w:sz w:val="24"/>
          <w:szCs w:val="24"/>
        </w:rPr>
        <w:t>）、美国心脏学会（</w:t>
      </w:r>
      <w:r>
        <w:rPr>
          <w:rFonts w:ascii="Times New Roman" w:eastAsia="宋体" w:hAnsi="Times New Roman" w:cs="Times New Roman"/>
          <w:color w:val="000000" w:themeColor="text1"/>
          <w:sz w:val="24"/>
          <w:szCs w:val="24"/>
        </w:rPr>
        <w:t>American Heart Association</w:t>
      </w:r>
      <w:r>
        <w:rPr>
          <w:rFonts w:ascii="Times New Roman" w:eastAsia="宋体" w:hAnsi="Times New Roman" w:cs="Times New Roman" w:hint="eastAsia"/>
          <w:color w:val="000000" w:themeColor="text1"/>
          <w:sz w:val="24"/>
          <w:szCs w:val="24"/>
        </w:rPr>
        <w:t>，</w:t>
      </w:r>
      <w:r>
        <w:rPr>
          <w:rFonts w:ascii="Times New Roman" w:eastAsia="宋体" w:hAnsi="Times New Roman" w:cs="Times New Roman"/>
          <w:color w:val="000000" w:themeColor="text1"/>
          <w:sz w:val="24"/>
          <w:szCs w:val="24"/>
        </w:rPr>
        <w:t>AHA</w:t>
      </w:r>
      <w:r>
        <w:rPr>
          <w:rFonts w:ascii="Times New Roman" w:eastAsia="宋体" w:hAnsi="Times New Roman" w:cs="Times New Roman" w:hint="eastAsia"/>
          <w:color w:val="000000" w:themeColor="text1"/>
          <w:sz w:val="24"/>
          <w:szCs w:val="24"/>
        </w:rPr>
        <w:t>）等多个学术机构制定的美国成人高血压预防、检测、评估和管理指南统一将</w:t>
      </w:r>
      <w:r>
        <w:rPr>
          <w:rFonts w:ascii="Times New Roman" w:eastAsia="宋体" w:hAnsi="Times New Roman" w:cs="Times New Roman"/>
          <w:color w:val="000000" w:themeColor="text1"/>
          <w:sz w:val="24"/>
          <w:szCs w:val="24"/>
        </w:rPr>
        <w:t>CKD</w:t>
      </w:r>
      <w:r>
        <w:rPr>
          <w:rFonts w:ascii="Times New Roman" w:eastAsia="宋体" w:hAnsi="Times New Roman" w:cs="Times New Roman" w:hint="eastAsia"/>
          <w:color w:val="000000" w:themeColor="text1"/>
          <w:sz w:val="24"/>
          <w:szCs w:val="24"/>
        </w:rPr>
        <w:t>患者降压目标值定为＜</w:t>
      </w:r>
      <w:r>
        <w:rPr>
          <w:rFonts w:ascii="Times New Roman" w:eastAsia="宋体" w:hAnsi="Times New Roman" w:cs="Times New Roman"/>
          <w:color w:val="000000" w:themeColor="text1"/>
          <w:sz w:val="24"/>
          <w:szCs w:val="24"/>
        </w:rPr>
        <w:t>130/80 mmHg</w:t>
      </w:r>
      <w:r w:rsidR="00B411DC">
        <w:rPr>
          <w:rFonts w:ascii="Times New Roman" w:eastAsia="宋体" w:hAnsi="Times New Roman" w:cs="Times New Roman"/>
          <w:color w:val="000000" w:themeColor="text1"/>
          <w:sz w:val="24"/>
          <w:szCs w:val="24"/>
        </w:rPr>
        <w:fldChar w:fldCharType="begin"/>
      </w:r>
      <w:r>
        <w:rPr>
          <w:rFonts w:ascii="Times New Roman" w:eastAsia="宋体" w:hAnsi="Times New Roman" w:cs="Times New Roman"/>
          <w:color w:val="000000" w:themeColor="text1"/>
          <w:sz w:val="24"/>
          <w:szCs w:val="24"/>
        </w:rPr>
        <w:instrText xml:space="preserve"> ADDIN NE.Ref.{47AB6F1A-AEB1-4E5E-A48A-65C1574CEB7B}</w:instrText>
      </w:r>
      <w:r w:rsidR="00B411DC">
        <w:rPr>
          <w:rFonts w:ascii="Times New Roman" w:eastAsia="宋体" w:hAnsi="Times New Roman" w:cs="Times New Roman"/>
          <w:color w:val="000000" w:themeColor="text1"/>
          <w:sz w:val="24"/>
          <w:szCs w:val="24"/>
        </w:rPr>
        <w:fldChar w:fldCharType="separate"/>
      </w:r>
      <w:r>
        <w:rPr>
          <w:rFonts w:ascii="Times New Roman" w:eastAsia="宋体" w:hAnsi="Times New Roman" w:cs="Times New Roman"/>
          <w:color w:val="000000" w:themeColor="text1"/>
          <w:kern w:val="0"/>
          <w:sz w:val="24"/>
          <w:szCs w:val="24"/>
          <w:vertAlign w:val="superscript"/>
        </w:rPr>
        <w:t>[10]</w:t>
      </w:r>
      <w:r w:rsidR="00B411DC">
        <w:rPr>
          <w:rFonts w:ascii="Times New Roman" w:eastAsia="宋体" w:hAnsi="Times New Roman" w:cs="Times New Roman"/>
          <w:color w:val="000000" w:themeColor="text1"/>
          <w:sz w:val="24"/>
          <w:szCs w:val="24"/>
        </w:rPr>
        <w:fldChar w:fldCharType="end"/>
      </w:r>
      <w:r>
        <w:rPr>
          <w:rFonts w:ascii="Times New Roman" w:eastAsia="宋体" w:hAnsi="Times New Roman" w:cs="Times New Roman" w:hint="eastAsia"/>
          <w:color w:val="000000" w:themeColor="text1"/>
          <w:sz w:val="24"/>
          <w:szCs w:val="24"/>
        </w:rPr>
        <w:t>。</w:t>
      </w:r>
      <w:r>
        <w:rPr>
          <w:rFonts w:ascii="Times New Roman" w:eastAsia="宋体" w:hAnsi="Times New Roman" w:cs="Times New Roman"/>
          <w:color w:val="000000" w:themeColor="text1"/>
          <w:sz w:val="24"/>
          <w:szCs w:val="24"/>
        </w:rPr>
        <w:t>2018</w:t>
      </w:r>
      <w:r>
        <w:rPr>
          <w:rFonts w:ascii="Times New Roman" w:eastAsia="宋体" w:hAnsi="Times New Roman" w:cs="Times New Roman" w:hint="eastAsia"/>
          <w:color w:val="000000" w:themeColor="text1"/>
          <w:sz w:val="24"/>
          <w:szCs w:val="24"/>
        </w:rPr>
        <w:t>年欧洲心脏病学会（</w:t>
      </w:r>
      <w:r>
        <w:rPr>
          <w:rFonts w:ascii="Times New Roman" w:eastAsia="宋体" w:hAnsi="Times New Roman" w:cs="Times New Roman"/>
          <w:color w:val="000000" w:themeColor="text1"/>
          <w:sz w:val="24"/>
          <w:szCs w:val="24"/>
        </w:rPr>
        <w:t>European Society of Cardiology</w:t>
      </w:r>
      <w:r>
        <w:rPr>
          <w:rFonts w:ascii="Times New Roman" w:eastAsia="宋体" w:hAnsi="Times New Roman" w:cs="Times New Roman" w:hint="eastAsia"/>
          <w:color w:val="000000" w:themeColor="text1"/>
          <w:sz w:val="24"/>
          <w:szCs w:val="24"/>
        </w:rPr>
        <w:t>，</w:t>
      </w:r>
      <w:r>
        <w:rPr>
          <w:rFonts w:ascii="Times New Roman" w:eastAsia="宋体" w:hAnsi="Times New Roman" w:cs="Times New Roman"/>
          <w:color w:val="000000" w:themeColor="text1"/>
          <w:sz w:val="24"/>
          <w:szCs w:val="24"/>
        </w:rPr>
        <w:t>ESC</w:t>
      </w:r>
      <w:r>
        <w:rPr>
          <w:rFonts w:ascii="Times New Roman" w:eastAsia="宋体" w:hAnsi="Times New Roman" w:cs="Times New Roman" w:hint="eastAsia"/>
          <w:color w:val="000000" w:themeColor="text1"/>
          <w:sz w:val="24"/>
          <w:szCs w:val="24"/>
        </w:rPr>
        <w:t>）和欧洲高血压学会（</w:t>
      </w:r>
      <w:r>
        <w:rPr>
          <w:rFonts w:ascii="Times New Roman" w:eastAsia="宋体" w:hAnsi="Times New Roman" w:cs="Times New Roman"/>
          <w:color w:val="000000" w:themeColor="text1"/>
          <w:sz w:val="24"/>
          <w:szCs w:val="24"/>
        </w:rPr>
        <w:t>European Society of Hypertension</w:t>
      </w:r>
      <w:r>
        <w:rPr>
          <w:rFonts w:ascii="Times New Roman" w:eastAsia="宋体" w:hAnsi="Times New Roman" w:cs="Times New Roman" w:hint="eastAsia"/>
          <w:color w:val="000000" w:themeColor="text1"/>
          <w:sz w:val="24"/>
          <w:szCs w:val="24"/>
        </w:rPr>
        <w:t>，</w:t>
      </w:r>
      <w:r>
        <w:rPr>
          <w:rFonts w:ascii="Times New Roman" w:eastAsia="宋体" w:hAnsi="Times New Roman" w:cs="Times New Roman"/>
          <w:color w:val="000000" w:themeColor="text1"/>
          <w:sz w:val="24"/>
          <w:szCs w:val="24"/>
        </w:rPr>
        <w:t>ESH</w:t>
      </w:r>
      <w:r>
        <w:rPr>
          <w:rFonts w:ascii="Times New Roman" w:eastAsia="宋体" w:hAnsi="Times New Roman" w:cs="Times New Roman" w:hint="eastAsia"/>
          <w:color w:val="000000" w:themeColor="text1"/>
          <w:sz w:val="24"/>
          <w:szCs w:val="24"/>
        </w:rPr>
        <w:t>）指南则推荐</w:t>
      </w:r>
      <w:r>
        <w:rPr>
          <w:rFonts w:ascii="Times New Roman" w:eastAsia="宋体" w:hAnsi="Times New Roman" w:cs="Times New Roman"/>
          <w:color w:val="000000" w:themeColor="text1"/>
          <w:sz w:val="24"/>
          <w:szCs w:val="24"/>
        </w:rPr>
        <w:t>CKD</w:t>
      </w:r>
      <w:r>
        <w:rPr>
          <w:rFonts w:ascii="Times New Roman" w:eastAsia="宋体" w:hAnsi="Times New Roman" w:cs="Times New Roman" w:hint="eastAsia"/>
          <w:color w:val="000000" w:themeColor="text1"/>
          <w:sz w:val="24"/>
          <w:szCs w:val="24"/>
        </w:rPr>
        <w:t>患者降压目标为收缩压（</w:t>
      </w:r>
      <w:r>
        <w:rPr>
          <w:rFonts w:ascii="Times New Roman" w:eastAsia="宋体" w:hAnsi="Times New Roman" w:cs="Times New Roman"/>
          <w:color w:val="000000" w:themeColor="text1"/>
          <w:sz w:val="24"/>
          <w:szCs w:val="24"/>
        </w:rPr>
        <w:t>systolic blood pressure, SBP</w:t>
      </w:r>
      <w:r>
        <w:rPr>
          <w:rFonts w:ascii="Times New Roman" w:eastAsia="宋体" w:hAnsi="Times New Roman" w:cs="Times New Roman" w:hint="eastAsia"/>
          <w:color w:val="000000" w:themeColor="text1"/>
          <w:sz w:val="24"/>
          <w:szCs w:val="24"/>
        </w:rPr>
        <w:t>）降至</w:t>
      </w:r>
      <w:r>
        <w:rPr>
          <w:rFonts w:ascii="Times New Roman" w:eastAsia="宋体" w:hAnsi="Times New Roman" w:cs="Times New Roman"/>
          <w:color w:val="000000" w:themeColor="text1"/>
          <w:sz w:val="24"/>
          <w:szCs w:val="24"/>
        </w:rPr>
        <w:t>130~139 mmHg</w:t>
      </w:r>
      <w:r>
        <w:rPr>
          <w:rFonts w:ascii="Times New Roman" w:eastAsia="宋体" w:hAnsi="Times New Roman" w:cs="Times New Roman" w:hint="eastAsia"/>
          <w:color w:val="000000" w:themeColor="text1"/>
          <w:sz w:val="24"/>
          <w:szCs w:val="24"/>
        </w:rPr>
        <w:t>，不低于</w:t>
      </w:r>
      <w:r>
        <w:rPr>
          <w:rFonts w:ascii="Times New Roman" w:eastAsia="宋体" w:hAnsi="Times New Roman" w:cs="Times New Roman"/>
          <w:color w:val="000000" w:themeColor="text1"/>
          <w:sz w:val="24"/>
          <w:szCs w:val="24"/>
        </w:rPr>
        <w:t>120 mmHg</w:t>
      </w:r>
      <w:r>
        <w:rPr>
          <w:rFonts w:ascii="Times New Roman" w:eastAsia="宋体" w:hAnsi="Times New Roman" w:cs="Times New Roman" w:hint="eastAsia"/>
          <w:color w:val="000000" w:themeColor="text1"/>
          <w:sz w:val="24"/>
          <w:szCs w:val="24"/>
        </w:rPr>
        <w:t>，舒张压（</w:t>
      </w:r>
      <w:r>
        <w:rPr>
          <w:rFonts w:ascii="Times New Roman" w:eastAsia="宋体" w:hAnsi="Times New Roman" w:cs="Times New Roman"/>
          <w:color w:val="000000" w:themeColor="text1"/>
          <w:sz w:val="24"/>
          <w:szCs w:val="24"/>
        </w:rPr>
        <w:t>diastolic blood pressure, DBP</w:t>
      </w:r>
      <w:r>
        <w:rPr>
          <w:rFonts w:ascii="Times New Roman" w:eastAsia="宋体" w:hAnsi="Times New Roman" w:cs="Times New Roman" w:hint="eastAsia"/>
          <w:color w:val="000000" w:themeColor="text1"/>
          <w:sz w:val="24"/>
          <w:szCs w:val="24"/>
        </w:rPr>
        <w:t>）＜</w:t>
      </w:r>
      <w:r>
        <w:rPr>
          <w:rFonts w:ascii="Times New Roman" w:eastAsia="宋体" w:hAnsi="Times New Roman" w:cs="Times New Roman"/>
          <w:color w:val="000000" w:themeColor="text1"/>
          <w:sz w:val="24"/>
          <w:szCs w:val="24"/>
        </w:rPr>
        <w:t>80 mmHg</w:t>
      </w:r>
      <w:r>
        <w:rPr>
          <w:rFonts w:ascii="Times New Roman" w:eastAsia="宋体" w:hAnsi="Times New Roman" w:cs="Times New Roman" w:hint="eastAsia"/>
          <w:color w:val="000000" w:themeColor="text1"/>
          <w:sz w:val="24"/>
          <w:szCs w:val="24"/>
        </w:rPr>
        <w:t>，并建议根据患者的耐受性、肾功能和电解质的不同进行个体化治疗</w:t>
      </w:r>
      <w:r w:rsidR="00B411DC">
        <w:rPr>
          <w:rFonts w:ascii="Times New Roman" w:eastAsia="宋体" w:hAnsi="Times New Roman" w:cs="Times New Roman"/>
          <w:color w:val="000000" w:themeColor="text1"/>
          <w:sz w:val="24"/>
          <w:szCs w:val="24"/>
        </w:rPr>
        <w:fldChar w:fldCharType="begin"/>
      </w:r>
      <w:r>
        <w:rPr>
          <w:rFonts w:ascii="Times New Roman" w:eastAsia="宋体" w:hAnsi="Times New Roman" w:cs="Times New Roman"/>
          <w:color w:val="000000" w:themeColor="text1"/>
          <w:sz w:val="24"/>
          <w:szCs w:val="24"/>
        </w:rPr>
        <w:instrText xml:space="preserve"> ADDIN NE.Ref.{0460723E-7096-4077-878B-CA6886C8D291}</w:instrText>
      </w:r>
      <w:r w:rsidR="00B411DC">
        <w:rPr>
          <w:rFonts w:ascii="Times New Roman" w:eastAsia="宋体" w:hAnsi="Times New Roman" w:cs="Times New Roman"/>
          <w:color w:val="000000" w:themeColor="text1"/>
          <w:sz w:val="24"/>
          <w:szCs w:val="24"/>
        </w:rPr>
        <w:fldChar w:fldCharType="separate"/>
      </w:r>
      <w:r>
        <w:rPr>
          <w:rFonts w:ascii="Times New Roman" w:eastAsia="宋体" w:hAnsi="Times New Roman" w:cs="Times New Roman"/>
          <w:color w:val="000000" w:themeColor="text1"/>
          <w:kern w:val="0"/>
          <w:sz w:val="24"/>
          <w:szCs w:val="24"/>
          <w:vertAlign w:val="superscript"/>
        </w:rPr>
        <w:t>[11]</w:t>
      </w:r>
      <w:r w:rsidR="00B411DC">
        <w:rPr>
          <w:rFonts w:ascii="Times New Roman" w:eastAsia="宋体" w:hAnsi="Times New Roman" w:cs="Times New Roman"/>
          <w:color w:val="000000" w:themeColor="text1"/>
          <w:sz w:val="24"/>
          <w:szCs w:val="24"/>
        </w:rPr>
        <w:fldChar w:fldCharType="end"/>
      </w:r>
      <w:r>
        <w:rPr>
          <w:rFonts w:ascii="Times New Roman" w:eastAsia="宋体" w:hAnsi="Times New Roman" w:cs="Times New Roman" w:hint="eastAsia"/>
          <w:color w:val="000000" w:themeColor="text1"/>
          <w:sz w:val="24"/>
          <w:szCs w:val="24"/>
        </w:rPr>
        <w:t>。《中国高血压防治指南</w:t>
      </w:r>
      <w:r>
        <w:rPr>
          <w:rFonts w:ascii="Times New Roman" w:eastAsia="宋体" w:hAnsi="Times New Roman" w:cs="Times New Roman"/>
          <w:color w:val="000000" w:themeColor="text1"/>
          <w:sz w:val="24"/>
          <w:szCs w:val="24"/>
        </w:rPr>
        <w:t>2018</w:t>
      </w:r>
      <w:r>
        <w:rPr>
          <w:rFonts w:ascii="Times New Roman" w:eastAsia="宋体" w:hAnsi="Times New Roman" w:cs="Times New Roman" w:hint="eastAsia"/>
          <w:color w:val="000000" w:themeColor="text1"/>
          <w:sz w:val="24"/>
          <w:szCs w:val="24"/>
        </w:rPr>
        <w:t>年修订版》</w:t>
      </w:r>
      <w:r>
        <w:rPr>
          <w:rFonts w:ascii="Times New Roman" w:eastAsia="宋体" w:hAnsi="Times New Roman" w:cs="Times New Roman"/>
          <w:color w:val="000000" w:themeColor="text1"/>
          <w:sz w:val="24"/>
          <w:szCs w:val="24"/>
          <w:vertAlign w:val="superscript"/>
        </w:rPr>
        <w:t>[12]</w:t>
      </w:r>
      <w:r>
        <w:rPr>
          <w:rFonts w:ascii="Times New Roman" w:eastAsia="宋体" w:hAnsi="Times New Roman" w:cs="Times New Roman" w:hint="eastAsia"/>
          <w:color w:val="000000" w:themeColor="text1"/>
          <w:sz w:val="24"/>
          <w:szCs w:val="24"/>
        </w:rPr>
        <w:t>在考虑国内外最新循</w:t>
      </w:r>
      <w:r>
        <w:rPr>
          <w:rFonts w:ascii="Times New Roman" w:eastAsia="宋体" w:hAnsi="Times New Roman" w:cs="Times New Roman" w:hint="eastAsia"/>
          <w:color w:val="000000" w:themeColor="text1"/>
          <w:sz w:val="24"/>
          <w:szCs w:val="24"/>
        </w:rPr>
        <w:lastRenderedPageBreak/>
        <w:t>证医学证据的基础上，结合我国高血压人群的流行病学特点和饮食特征，建议对高血压患者实行“双目标、两步走”的管理策略，即在患者能够耐受的前提下，进一步降低血压。该指南对于</w:t>
      </w:r>
      <w:r>
        <w:rPr>
          <w:rFonts w:ascii="Times New Roman" w:eastAsia="宋体" w:hAnsi="Times New Roman" w:cs="Times New Roman"/>
          <w:color w:val="000000" w:themeColor="text1"/>
          <w:sz w:val="24"/>
          <w:szCs w:val="24"/>
        </w:rPr>
        <w:t>CKD</w:t>
      </w:r>
      <w:r>
        <w:rPr>
          <w:rFonts w:ascii="Times New Roman" w:eastAsia="宋体" w:hAnsi="Times New Roman" w:cs="Times New Roman" w:hint="eastAsia"/>
          <w:color w:val="000000" w:themeColor="text1"/>
          <w:sz w:val="24"/>
          <w:szCs w:val="24"/>
        </w:rPr>
        <w:t>患者初步的降压目标值为</w:t>
      </w:r>
      <w:r>
        <w:rPr>
          <w:rFonts w:ascii="Times New Roman" w:eastAsia="宋体" w:hAnsi="Times New Roman" w:cs="Times New Roman"/>
          <w:color w:val="000000" w:themeColor="text1"/>
          <w:sz w:val="24"/>
          <w:szCs w:val="24"/>
        </w:rPr>
        <w:t>&lt;140/90 mmHg</w:t>
      </w:r>
      <w:r>
        <w:rPr>
          <w:rFonts w:ascii="Times New Roman" w:eastAsia="宋体" w:hAnsi="Times New Roman" w:cs="Times New Roman" w:hint="eastAsia"/>
          <w:color w:val="000000" w:themeColor="text1"/>
          <w:sz w:val="24"/>
          <w:szCs w:val="24"/>
        </w:rPr>
        <w:t>，如患者能够耐受，可进一步降低至</w:t>
      </w:r>
      <w:r>
        <w:rPr>
          <w:rFonts w:ascii="Times New Roman" w:eastAsia="宋体" w:hAnsi="Times New Roman" w:cs="Times New Roman"/>
          <w:color w:val="000000" w:themeColor="text1"/>
          <w:sz w:val="24"/>
          <w:szCs w:val="24"/>
        </w:rPr>
        <w:t>130/80 mmHg</w:t>
      </w:r>
      <w:r>
        <w:rPr>
          <w:rFonts w:ascii="Times New Roman" w:eastAsia="宋体" w:hAnsi="Times New Roman" w:cs="Times New Roman" w:hint="eastAsia"/>
          <w:color w:val="000000" w:themeColor="text1"/>
          <w:sz w:val="24"/>
          <w:szCs w:val="24"/>
        </w:rPr>
        <w:t>以下；对于尿白蛋白在</w:t>
      </w:r>
      <w:r>
        <w:rPr>
          <w:rFonts w:ascii="Times New Roman" w:eastAsia="宋体" w:hAnsi="Times New Roman" w:cs="Times New Roman"/>
          <w:color w:val="000000" w:themeColor="text1"/>
          <w:sz w:val="24"/>
          <w:szCs w:val="24"/>
        </w:rPr>
        <w:t>30 mg/d</w:t>
      </w:r>
      <w:r>
        <w:rPr>
          <w:rFonts w:ascii="Times New Roman" w:eastAsia="宋体" w:hAnsi="Times New Roman" w:cs="Times New Roman" w:hint="eastAsia"/>
          <w:color w:val="000000" w:themeColor="text1"/>
          <w:sz w:val="24"/>
          <w:szCs w:val="24"/>
        </w:rPr>
        <w:t>以下的</w:t>
      </w:r>
      <w:r>
        <w:rPr>
          <w:rFonts w:ascii="Times New Roman" w:eastAsia="宋体" w:hAnsi="Times New Roman" w:cs="Times New Roman"/>
          <w:color w:val="000000" w:themeColor="text1"/>
          <w:sz w:val="24"/>
          <w:szCs w:val="24"/>
        </w:rPr>
        <w:t>CKD</w:t>
      </w:r>
      <w:r>
        <w:rPr>
          <w:rFonts w:ascii="Times New Roman" w:eastAsia="宋体" w:hAnsi="Times New Roman" w:cs="Times New Roman" w:hint="eastAsia"/>
          <w:color w:val="000000" w:themeColor="text1"/>
          <w:sz w:val="24"/>
          <w:szCs w:val="24"/>
        </w:rPr>
        <w:t>患者的血压靶目标为＜</w:t>
      </w:r>
      <w:r>
        <w:rPr>
          <w:rFonts w:ascii="Times New Roman" w:eastAsia="宋体" w:hAnsi="Times New Roman" w:cs="Times New Roman"/>
          <w:color w:val="000000" w:themeColor="text1"/>
          <w:sz w:val="24"/>
          <w:szCs w:val="24"/>
        </w:rPr>
        <w:t>140/90 mmHg</w:t>
      </w:r>
      <w:r>
        <w:rPr>
          <w:rFonts w:ascii="Times New Roman" w:eastAsia="宋体" w:hAnsi="Times New Roman" w:cs="Times New Roman" w:hint="eastAsia"/>
          <w:color w:val="000000" w:themeColor="text1"/>
          <w:sz w:val="24"/>
          <w:szCs w:val="24"/>
        </w:rPr>
        <w:t>，尿白蛋白在</w:t>
      </w:r>
      <w:r>
        <w:rPr>
          <w:rFonts w:ascii="Times New Roman" w:eastAsia="宋体" w:hAnsi="Times New Roman" w:cs="Times New Roman"/>
          <w:color w:val="000000" w:themeColor="text1"/>
          <w:sz w:val="24"/>
          <w:szCs w:val="24"/>
        </w:rPr>
        <w:t>30~300 mg/d</w:t>
      </w:r>
      <w:r>
        <w:rPr>
          <w:rFonts w:ascii="Times New Roman" w:eastAsia="宋体" w:hAnsi="Times New Roman" w:cs="Times New Roman" w:hint="eastAsia"/>
          <w:color w:val="000000" w:themeColor="text1"/>
          <w:sz w:val="24"/>
          <w:szCs w:val="24"/>
        </w:rPr>
        <w:t>或更高的患者的血压靶目标值为＜</w:t>
      </w:r>
      <w:r>
        <w:rPr>
          <w:rFonts w:ascii="Times New Roman" w:eastAsia="宋体" w:hAnsi="Times New Roman" w:cs="Times New Roman"/>
          <w:color w:val="000000" w:themeColor="text1"/>
          <w:sz w:val="24"/>
          <w:szCs w:val="24"/>
        </w:rPr>
        <w:t>130/80 mmHg</w:t>
      </w:r>
      <w:r>
        <w:rPr>
          <w:rFonts w:ascii="Times New Roman" w:eastAsia="宋体" w:hAnsi="Times New Roman" w:cs="Times New Roman" w:hint="eastAsia"/>
          <w:color w:val="000000" w:themeColor="text1"/>
          <w:sz w:val="24"/>
          <w:szCs w:val="24"/>
        </w:rPr>
        <w:t>。该指南还特别指出，对于</w:t>
      </w:r>
      <w:r>
        <w:rPr>
          <w:rFonts w:ascii="Times New Roman" w:eastAsia="宋体" w:hAnsi="Times New Roman" w:cs="Times New Roman"/>
          <w:color w:val="000000" w:themeColor="text1"/>
          <w:sz w:val="24"/>
          <w:szCs w:val="24"/>
        </w:rPr>
        <w:t>65-75</w:t>
      </w:r>
      <w:r>
        <w:rPr>
          <w:rFonts w:ascii="Times New Roman" w:eastAsia="宋体" w:hAnsi="Times New Roman" w:cs="Times New Roman" w:hint="eastAsia"/>
          <w:color w:val="000000" w:themeColor="text1"/>
          <w:sz w:val="24"/>
          <w:szCs w:val="24"/>
        </w:rPr>
        <w:t>岁的高龄</w:t>
      </w:r>
      <w:r>
        <w:rPr>
          <w:rFonts w:ascii="Times New Roman" w:eastAsia="宋体" w:hAnsi="Times New Roman" w:cs="Times New Roman"/>
          <w:color w:val="000000" w:themeColor="text1"/>
          <w:sz w:val="24"/>
          <w:szCs w:val="24"/>
        </w:rPr>
        <w:t>CKD</w:t>
      </w:r>
      <w:r>
        <w:rPr>
          <w:rFonts w:ascii="Times New Roman" w:eastAsia="宋体" w:hAnsi="Times New Roman" w:cs="Times New Roman" w:hint="eastAsia"/>
          <w:color w:val="000000" w:themeColor="text1"/>
          <w:sz w:val="24"/>
          <w:szCs w:val="24"/>
        </w:rPr>
        <w:t>患者，血压控制在</w:t>
      </w:r>
      <w:r>
        <w:rPr>
          <w:rFonts w:ascii="Times New Roman" w:eastAsia="宋体" w:hAnsi="Times New Roman" w:cs="Times New Roman"/>
          <w:color w:val="000000" w:themeColor="text1"/>
          <w:sz w:val="24"/>
          <w:szCs w:val="24"/>
        </w:rPr>
        <w:t>150/90 mmHg</w:t>
      </w:r>
      <w:r>
        <w:rPr>
          <w:rFonts w:ascii="Times New Roman" w:eastAsia="宋体" w:hAnsi="Times New Roman" w:cs="Times New Roman" w:hint="eastAsia"/>
          <w:color w:val="000000" w:themeColor="text1"/>
          <w:sz w:val="24"/>
          <w:szCs w:val="24"/>
        </w:rPr>
        <w:t>以下即可，如患者能够耐受，可以进一步降低到</w:t>
      </w:r>
      <w:r>
        <w:rPr>
          <w:rFonts w:ascii="Times New Roman" w:eastAsia="宋体" w:hAnsi="Times New Roman" w:cs="Times New Roman"/>
          <w:color w:val="000000" w:themeColor="text1"/>
          <w:sz w:val="24"/>
          <w:szCs w:val="24"/>
        </w:rPr>
        <w:t>140/90 mmHg</w:t>
      </w:r>
      <w:r>
        <w:rPr>
          <w:rFonts w:ascii="Times New Roman" w:eastAsia="宋体" w:hAnsi="Times New Roman" w:cs="Times New Roman" w:hint="eastAsia"/>
          <w:color w:val="000000" w:themeColor="text1"/>
          <w:sz w:val="24"/>
          <w:szCs w:val="24"/>
        </w:rPr>
        <w:t>以下；对于</w:t>
      </w:r>
      <w:r>
        <w:rPr>
          <w:rFonts w:ascii="Times New Roman" w:eastAsia="宋体" w:hAnsi="Times New Roman" w:cs="Times New Roman"/>
          <w:color w:val="000000" w:themeColor="text1"/>
          <w:sz w:val="24"/>
          <w:szCs w:val="24"/>
        </w:rPr>
        <w:t>80</w:t>
      </w:r>
      <w:r>
        <w:rPr>
          <w:rFonts w:ascii="Times New Roman" w:eastAsia="宋体" w:hAnsi="Times New Roman" w:cs="Times New Roman" w:hint="eastAsia"/>
          <w:color w:val="000000" w:themeColor="text1"/>
          <w:sz w:val="24"/>
          <w:szCs w:val="24"/>
        </w:rPr>
        <w:t>岁以上的患者，血压应</w:t>
      </w:r>
      <w:r>
        <w:rPr>
          <w:rFonts w:ascii="Times New Roman" w:eastAsia="宋体" w:hAnsi="Times New Roman" w:cs="Times New Roman"/>
          <w:color w:val="000000" w:themeColor="text1"/>
          <w:sz w:val="24"/>
          <w:szCs w:val="24"/>
        </w:rPr>
        <w:t>&lt;150/90 mmHg</w:t>
      </w:r>
      <w:r>
        <w:rPr>
          <w:rFonts w:ascii="Times New Roman" w:eastAsia="宋体" w:hAnsi="Times New Roman" w:cs="Times New Roman" w:hint="eastAsia"/>
          <w:color w:val="000000" w:themeColor="text1"/>
          <w:sz w:val="24"/>
          <w:szCs w:val="24"/>
        </w:rPr>
        <w:t>，同时要避免低于</w:t>
      </w:r>
      <w:r>
        <w:rPr>
          <w:rFonts w:ascii="Times New Roman" w:eastAsia="宋体" w:hAnsi="Times New Roman" w:cs="Times New Roman"/>
          <w:color w:val="000000" w:themeColor="text1"/>
          <w:sz w:val="24"/>
          <w:szCs w:val="24"/>
        </w:rPr>
        <w:t>130/60 mmHg</w:t>
      </w:r>
      <w:r>
        <w:rPr>
          <w:rFonts w:ascii="Times New Roman" w:eastAsia="宋体" w:hAnsi="Times New Roman" w:cs="Times New Roman" w:hint="eastAsia"/>
          <w:color w:val="000000" w:themeColor="text1"/>
          <w:sz w:val="24"/>
          <w:szCs w:val="24"/>
        </w:rPr>
        <w:t>。</w:t>
      </w:r>
      <w:r>
        <w:rPr>
          <w:rFonts w:ascii="Times New Roman" w:eastAsia="宋体" w:hAnsi="Times New Roman" w:cs="Times New Roman"/>
          <w:color w:val="000000" w:themeColor="text1"/>
          <w:sz w:val="24"/>
          <w:szCs w:val="24"/>
        </w:rPr>
        <w:t>2019</w:t>
      </w:r>
      <w:r>
        <w:rPr>
          <w:rFonts w:ascii="Times New Roman" w:eastAsia="宋体" w:hAnsi="Times New Roman" w:cs="Times New Roman" w:hint="eastAsia"/>
          <w:color w:val="000000" w:themeColor="text1"/>
          <w:sz w:val="24"/>
          <w:szCs w:val="24"/>
        </w:rPr>
        <w:t>年日本高血压学会（</w:t>
      </w:r>
      <w:r>
        <w:rPr>
          <w:rFonts w:ascii="Times New Roman" w:eastAsia="宋体" w:hAnsi="Times New Roman" w:cs="Times New Roman"/>
          <w:color w:val="000000" w:themeColor="text1"/>
          <w:sz w:val="24"/>
          <w:szCs w:val="24"/>
        </w:rPr>
        <w:t>Japanese Society of Hypertension</w:t>
      </w:r>
      <w:r>
        <w:rPr>
          <w:rFonts w:ascii="Times New Roman" w:eastAsia="宋体" w:hAnsi="Times New Roman" w:cs="Times New Roman" w:hint="eastAsia"/>
          <w:color w:val="000000" w:themeColor="text1"/>
          <w:sz w:val="24"/>
          <w:szCs w:val="24"/>
        </w:rPr>
        <w:t>，</w:t>
      </w:r>
      <w:r>
        <w:rPr>
          <w:rFonts w:ascii="Times New Roman" w:eastAsia="宋体" w:hAnsi="Times New Roman" w:cs="Times New Roman"/>
          <w:color w:val="000000" w:themeColor="text1"/>
          <w:sz w:val="24"/>
          <w:szCs w:val="24"/>
        </w:rPr>
        <w:t>JSH</w:t>
      </w:r>
      <w:r>
        <w:rPr>
          <w:rFonts w:ascii="Times New Roman" w:eastAsia="宋体" w:hAnsi="Times New Roman" w:cs="Times New Roman" w:hint="eastAsia"/>
          <w:color w:val="000000" w:themeColor="text1"/>
          <w:sz w:val="24"/>
          <w:szCs w:val="24"/>
        </w:rPr>
        <w:t>）指南</w:t>
      </w:r>
      <w:r w:rsidR="00B411DC">
        <w:rPr>
          <w:rFonts w:ascii="Times New Roman" w:eastAsia="宋体" w:hAnsi="Times New Roman" w:cs="Times New Roman"/>
          <w:color w:val="000000" w:themeColor="text1"/>
          <w:sz w:val="24"/>
          <w:szCs w:val="24"/>
        </w:rPr>
        <w:fldChar w:fldCharType="begin"/>
      </w:r>
      <w:r>
        <w:rPr>
          <w:rFonts w:ascii="Times New Roman" w:eastAsia="宋体" w:hAnsi="Times New Roman" w:cs="Times New Roman"/>
          <w:color w:val="000000" w:themeColor="text1"/>
          <w:sz w:val="24"/>
          <w:szCs w:val="24"/>
        </w:rPr>
        <w:instrText xml:space="preserve"> ADDIN NE.Ref.{473D997E-4F2D-4644-BAF5-6D47198975AA}</w:instrText>
      </w:r>
      <w:r w:rsidR="00B411DC">
        <w:rPr>
          <w:rFonts w:ascii="Times New Roman" w:eastAsia="宋体" w:hAnsi="Times New Roman" w:cs="Times New Roman"/>
          <w:color w:val="000000" w:themeColor="text1"/>
          <w:sz w:val="24"/>
          <w:szCs w:val="24"/>
        </w:rPr>
        <w:fldChar w:fldCharType="separate"/>
      </w:r>
      <w:r>
        <w:rPr>
          <w:rFonts w:ascii="Times New Roman" w:eastAsia="宋体" w:hAnsi="Times New Roman" w:cs="Times New Roman"/>
          <w:color w:val="000000" w:themeColor="text1"/>
          <w:kern w:val="0"/>
          <w:sz w:val="24"/>
          <w:szCs w:val="24"/>
          <w:vertAlign w:val="superscript"/>
        </w:rPr>
        <w:t>[13]</w:t>
      </w:r>
      <w:r w:rsidR="00B411DC">
        <w:rPr>
          <w:rFonts w:ascii="Times New Roman" w:eastAsia="宋体" w:hAnsi="Times New Roman" w:cs="Times New Roman"/>
          <w:color w:val="000000" w:themeColor="text1"/>
          <w:sz w:val="24"/>
          <w:szCs w:val="24"/>
        </w:rPr>
        <w:fldChar w:fldCharType="end"/>
      </w:r>
      <w:r>
        <w:rPr>
          <w:rFonts w:ascii="Times New Roman" w:eastAsia="宋体" w:hAnsi="Times New Roman" w:cs="Times New Roman" w:hint="eastAsia"/>
          <w:color w:val="000000" w:themeColor="text1"/>
          <w:sz w:val="24"/>
          <w:szCs w:val="24"/>
        </w:rPr>
        <w:t>将降压目标根据年龄划分，＜</w:t>
      </w:r>
      <w:r>
        <w:rPr>
          <w:rFonts w:ascii="Times New Roman" w:eastAsia="宋体" w:hAnsi="Times New Roman" w:cs="Times New Roman"/>
          <w:color w:val="000000" w:themeColor="text1"/>
          <w:sz w:val="24"/>
          <w:szCs w:val="24"/>
        </w:rPr>
        <w:t>75</w:t>
      </w:r>
      <w:r>
        <w:rPr>
          <w:rFonts w:ascii="Times New Roman" w:eastAsia="宋体" w:hAnsi="Times New Roman" w:cs="Times New Roman" w:hint="eastAsia"/>
          <w:color w:val="000000" w:themeColor="text1"/>
          <w:sz w:val="24"/>
          <w:szCs w:val="24"/>
        </w:rPr>
        <w:t>岁患者的降压目标为＜</w:t>
      </w:r>
      <w:r>
        <w:rPr>
          <w:rFonts w:ascii="Times New Roman" w:eastAsia="宋体" w:hAnsi="Times New Roman" w:cs="Times New Roman"/>
          <w:color w:val="000000" w:themeColor="text1"/>
          <w:sz w:val="24"/>
          <w:szCs w:val="24"/>
        </w:rPr>
        <w:t>130/80 mmHg</w:t>
      </w:r>
      <w:r>
        <w:rPr>
          <w:rFonts w:ascii="Times New Roman" w:eastAsia="宋体" w:hAnsi="Times New Roman" w:cs="Times New Roman" w:hint="eastAsia"/>
          <w:color w:val="000000" w:themeColor="text1"/>
          <w:sz w:val="24"/>
          <w:szCs w:val="24"/>
        </w:rPr>
        <w:t>，≥</w:t>
      </w:r>
      <w:r>
        <w:rPr>
          <w:rFonts w:ascii="Times New Roman" w:eastAsia="宋体" w:hAnsi="Times New Roman" w:cs="Times New Roman"/>
          <w:color w:val="000000" w:themeColor="text1"/>
          <w:sz w:val="24"/>
          <w:szCs w:val="24"/>
        </w:rPr>
        <w:t>75</w:t>
      </w:r>
      <w:r>
        <w:rPr>
          <w:rFonts w:ascii="Times New Roman" w:eastAsia="宋体" w:hAnsi="Times New Roman" w:cs="Times New Roman" w:hint="eastAsia"/>
          <w:color w:val="000000" w:themeColor="text1"/>
          <w:sz w:val="24"/>
          <w:szCs w:val="24"/>
        </w:rPr>
        <w:t>岁患者为＜</w:t>
      </w:r>
      <w:r>
        <w:rPr>
          <w:rFonts w:ascii="Times New Roman" w:eastAsia="宋体" w:hAnsi="Times New Roman" w:cs="Times New Roman"/>
          <w:color w:val="000000" w:themeColor="text1"/>
          <w:sz w:val="24"/>
          <w:szCs w:val="24"/>
        </w:rPr>
        <w:t>140/90 mmHg</w:t>
      </w:r>
      <w:r>
        <w:rPr>
          <w:rFonts w:ascii="Times New Roman" w:eastAsia="宋体" w:hAnsi="Times New Roman" w:cs="Times New Roman" w:hint="eastAsia"/>
          <w:color w:val="000000" w:themeColor="text1"/>
          <w:sz w:val="24"/>
          <w:szCs w:val="24"/>
        </w:rPr>
        <w:t>，</w:t>
      </w:r>
      <w:r>
        <w:rPr>
          <w:rFonts w:ascii="Times New Roman" w:eastAsia="宋体" w:hAnsi="Times New Roman" w:cs="Times New Roman"/>
          <w:color w:val="000000" w:themeColor="text1"/>
          <w:sz w:val="24"/>
          <w:szCs w:val="24"/>
        </w:rPr>
        <w:t>CKD</w:t>
      </w:r>
      <w:r>
        <w:rPr>
          <w:rFonts w:ascii="Times New Roman" w:eastAsia="宋体" w:hAnsi="Times New Roman" w:cs="Times New Roman" w:hint="eastAsia"/>
          <w:color w:val="000000" w:themeColor="text1"/>
          <w:sz w:val="24"/>
          <w:szCs w:val="24"/>
        </w:rPr>
        <w:t>伴蛋白尿者＜</w:t>
      </w:r>
      <w:r>
        <w:rPr>
          <w:rFonts w:ascii="Times New Roman" w:eastAsia="宋体" w:hAnsi="Times New Roman" w:cs="Times New Roman"/>
          <w:color w:val="000000" w:themeColor="text1"/>
          <w:sz w:val="24"/>
          <w:szCs w:val="24"/>
        </w:rPr>
        <w:t>130/80 mmHg</w:t>
      </w:r>
      <w:r>
        <w:rPr>
          <w:rFonts w:ascii="Times New Roman" w:eastAsia="宋体" w:hAnsi="Times New Roman" w:cs="Times New Roman" w:hint="eastAsia"/>
          <w:color w:val="000000" w:themeColor="text1"/>
          <w:sz w:val="24"/>
          <w:szCs w:val="24"/>
        </w:rPr>
        <w:t>，不伴蛋白尿者＜</w:t>
      </w:r>
      <w:r>
        <w:rPr>
          <w:rFonts w:ascii="Times New Roman" w:eastAsia="宋体" w:hAnsi="Times New Roman" w:cs="Times New Roman"/>
          <w:color w:val="000000" w:themeColor="text1"/>
          <w:sz w:val="24"/>
          <w:szCs w:val="24"/>
        </w:rPr>
        <w:t>140/90 mmHg</w:t>
      </w:r>
      <w:r>
        <w:rPr>
          <w:rFonts w:ascii="Times New Roman" w:eastAsia="宋体" w:hAnsi="Times New Roman" w:cs="Times New Roman" w:hint="eastAsia"/>
          <w:color w:val="000000" w:themeColor="text1"/>
          <w:sz w:val="24"/>
          <w:szCs w:val="24"/>
        </w:rPr>
        <w:t>。</w:t>
      </w:r>
      <w:r>
        <w:rPr>
          <w:rFonts w:ascii="Times New Roman" w:eastAsia="宋体" w:hAnsi="Times New Roman" w:cs="Times New Roman"/>
          <w:color w:val="000000" w:themeColor="text1"/>
          <w:sz w:val="24"/>
          <w:szCs w:val="24"/>
        </w:rPr>
        <w:t>2020</w:t>
      </w:r>
      <w:r>
        <w:rPr>
          <w:rFonts w:ascii="Times New Roman" w:eastAsia="宋体" w:hAnsi="Times New Roman" w:cs="Times New Roman" w:hint="eastAsia"/>
          <w:color w:val="000000" w:themeColor="text1"/>
          <w:sz w:val="24"/>
          <w:szCs w:val="24"/>
        </w:rPr>
        <w:t>年国际高血压学会（</w:t>
      </w:r>
      <w:r>
        <w:rPr>
          <w:rFonts w:ascii="Times New Roman" w:eastAsia="宋体" w:hAnsi="Times New Roman" w:cs="Times New Roman"/>
          <w:color w:val="000000" w:themeColor="text1"/>
          <w:sz w:val="24"/>
          <w:szCs w:val="24"/>
        </w:rPr>
        <w:t>International Society of Hypertension</w:t>
      </w:r>
      <w:r>
        <w:rPr>
          <w:rFonts w:ascii="Times New Roman" w:eastAsia="宋体" w:hAnsi="Times New Roman" w:cs="Times New Roman" w:hint="eastAsia"/>
          <w:color w:val="000000" w:themeColor="text1"/>
          <w:sz w:val="24"/>
          <w:szCs w:val="24"/>
        </w:rPr>
        <w:t>，</w:t>
      </w:r>
      <w:r>
        <w:rPr>
          <w:rFonts w:ascii="Times New Roman" w:eastAsia="宋体" w:hAnsi="Times New Roman" w:cs="Times New Roman"/>
          <w:color w:val="000000" w:themeColor="text1"/>
          <w:sz w:val="24"/>
          <w:szCs w:val="24"/>
        </w:rPr>
        <w:t>ISH</w:t>
      </w:r>
      <w:r>
        <w:rPr>
          <w:rFonts w:ascii="Times New Roman" w:eastAsia="宋体" w:hAnsi="Times New Roman" w:cs="Times New Roman" w:hint="eastAsia"/>
          <w:color w:val="000000" w:themeColor="text1"/>
          <w:sz w:val="24"/>
          <w:szCs w:val="24"/>
        </w:rPr>
        <w:t>）颁布了全球高血压实践指南</w:t>
      </w:r>
      <w:r w:rsidR="00B411DC">
        <w:rPr>
          <w:rFonts w:ascii="Times New Roman" w:eastAsia="宋体" w:hAnsi="Times New Roman" w:cs="Times New Roman"/>
          <w:color w:val="000000" w:themeColor="text1"/>
          <w:sz w:val="24"/>
          <w:szCs w:val="24"/>
        </w:rPr>
        <w:fldChar w:fldCharType="begin"/>
      </w:r>
      <w:r>
        <w:rPr>
          <w:rFonts w:ascii="Times New Roman" w:eastAsia="宋体" w:hAnsi="Times New Roman" w:cs="Times New Roman"/>
          <w:color w:val="000000" w:themeColor="text1"/>
          <w:sz w:val="24"/>
          <w:szCs w:val="24"/>
        </w:rPr>
        <w:instrText xml:space="preserve"> ADDIN NE.Ref.{CB454DCF-1735-49DE-B6B1-867D24D91DA6}</w:instrText>
      </w:r>
      <w:r w:rsidR="00B411DC">
        <w:rPr>
          <w:rFonts w:ascii="Times New Roman" w:eastAsia="宋体" w:hAnsi="Times New Roman" w:cs="Times New Roman"/>
          <w:color w:val="000000" w:themeColor="text1"/>
          <w:sz w:val="24"/>
          <w:szCs w:val="24"/>
        </w:rPr>
        <w:fldChar w:fldCharType="separate"/>
      </w:r>
      <w:r>
        <w:rPr>
          <w:rFonts w:ascii="Times New Roman" w:eastAsia="宋体" w:hAnsi="Times New Roman" w:cs="Times New Roman"/>
          <w:color w:val="000000" w:themeColor="text1"/>
          <w:kern w:val="0"/>
          <w:sz w:val="24"/>
          <w:szCs w:val="24"/>
          <w:vertAlign w:val="superscript"/>
        </w:rPr>
        <w:t>[14]</w:t>
      </w:r>
      <w:r w:rsidR="00B411DC">
        <w:rPr>
          <w:rFonts w:ascii="Times New Roman" w:eastAsia="宋体" w:hAnsi="Times New Roman" w:cs="Times New Roman"/>
          <w:color w:val="000000" w:themeColor="text1"/>
          <w:sz w:val="24"/>
          <w:szCs w:val="24"/>
        </w:rPr>
        <w:fldChar w:fldCharType="end"/>
      </w:r>
      <w:r>
        <w:rPr>
          <w:rFonts w:ascii="Times New Roman" w:eastAsia="宋体" w:hAnsi="Times New Roman" w:cs="Times New Roman" w:hint="eastAsia"/>
          <w:color w:val="000000" w:themeColor="text1"/>
          <w:sz w:val="24"/>
          <w:szCs w:val="24"/>
        </w:rPr>
        <w:t>，为了使指南在高收入国家</w:t>
      </w:r>
      <w:r>
        <w:rPr>
          <w:rFonts w:ascii="Times New Roman" w:eastAsia="宋体" w:hAnsi="Times New Roman" w:cs="Times New Roman"/>
          <w:color w:val="000000" w:themeColor="text1"/>
          <w:sz w:val="24"/>
          <w:szCs w:val="24"/>
        </w:rPr>
        <w:t>/</w:t>
      </w:r>
      <w:r>
        <w:rPr>
          <w:rFonts w:ascii="Times New Roman" w:eastAsia="宋体" w:hAnsi="Times New Roman" w:cs="Times New Roman" w:hint="eastAsia"/>
          <w:color w:val="000000" w:themeColor="text1"/>
          <w:sz w:val="24"/>
          <w:szCs w:val="24"/>
        </w:rPr>
        <w:t>地区及中低收入国家</w:t>
      </w:r>
      <w:r>
        <w:rPr>
          <w:rFonts w:ascii="Times New Roman" w:eastAsia="宋体" w:hAnsi="Times New Roman" w:cs="Times New Roman"/>
          <w:color w:val="000000" w:themeColor="text1"/>
          <w:sz w:val="24"/>
          <w:szCs w:val="24"/>
        </w:rPr>
        <w:t>/</w:t>
      </w:r>
      <w:r>
        <w:rPr>
          <w:rFonts w:ascii="Times New Roman" w:eastAsia="宋体" w:hAnsi="Times New Roman" w:cs="Times New Roman" w:hint="eastAsia"/>
          <w:color w:val="000000" w:themeColor="text1"/>
          <w:sz w:val="24"/>
          <w:szCs w:val="24"/>
        </w:rPr>
        <w:t>地区均具有可操作性，指南制定者创新性地提出两种血压管理标准（详见表</w:t>
      </w:r>
      <w:r>
        <w:rPr>
          <w:rFonts w:ascii="Times New Roman" w:eastAsia="宋体" w:hAnsi="Times New Roman" w:cs="Times New Roman"/>
          <w:color w:val="000000" w:themeColor="text1"/>
          <w:sz w:val="24"/>
          <w:szCs w:val="24"/>
        </w:rPr>
        <w:t>1</w:t>
      </w:r>
      <w:r>
        <w:rPr>
          <w:rFonts w:ascii="Times New Roman" w:eastAsia="宋体" w:hAnsi="Times New Roman" w:cs="Times New Roman" w:hint="eastAsia"/>
          <w:color w:val="000000" w:themeColor="text1"/>
          <w:sz w:val="24"/>
          <w:szCs w:val="24"/>
        </w:rPr>
        <w:t>）：“基本标准”适用于医疗资源相对匮乏地区，而“理想标准”适用于医疗资源充沛地区。该指南推荐高血压合并</w:t>
      </w:r>
      <w:r>
        <w:rPr>
          <w:rFonts w:ascii="Times New Roman" w:eastAsia="宋体" w:hAnsi="Times New Roman" w:cs="Times New Roman"/>
          <w:color w:val="000000" w:themeColor="text1"/>
          <w:sz w:val="24"/>
          <w:szCs w:val="24"/>
        </w:rPr>
        <w:t>CKD</w:t>
      </w:r>
      <w:r>
        <w:rPr>
          <w:rFonts w:ascii="Times New Roman" w:eastAsia="宋体" w:hAnsi="Times New Roman" w:cs="Times New Roman" w:hint="eastAsia"/>
          <w:color w:val="000000" w:themeColor="text1"/>
          <w:sz w:val="24"/>
          <w:szCs w:val="24"/>
        </w:rPr>
        <w:t>患者的目标血压值＜</w:t>
      </w:r>
      <w:r>
        <w:rPr>
          <w:rFonts w:ascii="Times New Roman" w:eastAsia="宋体" w:hAnsi="Times New Roman" w:cs="Times New Roman"/>
          <w:color w:val="000000" w:themeColor="text1"/>
          <w:sz w:val="24"/>
          <w:szCs w:val="24"/>
        </w:rPr>
        <w:t>130/80 mmHg</w:t>
      </w:r>
      <w:r>
        <w:rPr>
          <w:rFonts w:ascii="Times New Roman" w:eastAsia="宋体" w:hAnsi="Times New Roman" w:cs="Times New Roman" w:hint="eastAsia"/>
          <w:color w:val="000000" w:themeColor="text1"/>
          <w:sz w:val="24"/>
          <w:szCs w:val="24"/>
        </w:rPr>
        <w:t>（老年患者目标血压值＜</w:t>
      </w:r>
      <w:r>
        <w:rPr>
          <w:rFonts w:ascii="Times New Roman" w:eastAsia="宋体" w:hAnsi="Times New Roman" w:cs="Times New Roman"/>
          <w:color w:val="000000" w:themeColor="text1"/>
          <w:sz w:val="24"/>
          <w:szCs w:val="24"/>
        </w:rPr>
        <w:t>140/80 mmHg</w:t>
      </w:r>
      <w:r>
        <w:rPr>
          <w:rFonts w:ascii="Times New Roman" w:eastAsia="宋体" w:hAnsi="Times New Roman" w:cs="Times New Roman" w:hint="eastAsia"/>
          <w:color w:val="000000" w:themeColor="text1"/>
          <w:sz w:val="24"/>
          <w:szCs w:val="24"/>
        </w:rPr>
        <w:t>）。在</w:t>
      </w:r>
      <w:r>
        <w:rPr>
          <w:rFonts w:ascii="Times New Roman" w:eastAsia="宋体" w:hAnsi="Times New Roman" w:cs="Times New Roman"/>
          <w:color w:val="000000" w:themeColor="text1"/>
          <w:sz w:val="24"/>
          <w:szCs w:val="24"/>
        </w:rPr>
        <w:t>2021</w:t>
      </w:r>
      <w:r>
        <w:rPr>
          <w:rFonts w:ascii="Times New Roman" w:eastAsia="宋体" w:hAnsi="Times New Roman" w:cs="Times New Roman" w:hint="eastAsia"/>
          <w:color w:val="000000" w:themeColor="text1"/>
          <w:sz w:val="24"/>
          <w:szCs w:val="24"/>
        </w:rPr>
        <w:t>年</w:t>
      </w:r>
      <w:r>
        <w:rPr>
          <w:rFonts w:ascii="Times New Roman" w:eastAsia="宋体" w:hAnsi="Times New Roman" w:cs="Times New Roman"/>
          <w:color w:val="000000" w:themeColor="text1"/>
          <w:sz w:val="24"/>
          <w:szCs w:val="24"/>
        </w:rPr>
        <w:t>KDIGO</w:t>
      </w:r>
      <w:r>
        <w:rPr>
          <w:rFonts w:ascii="Times New Roman" w:eastAsia="宋体" w:hAnsi="Times New Roman" w:cs="Times New Roman" w:hint="eastAsia"/>
          <w:color w:val="000000" w:themeColor="text1"/>
          <w:sz w:val="24"/>
          <w:szCs w:val="24"/>
        </w:rPr>
        <w:t>指南</w:t>
      </w:r>
      <w:r w:rsidR="00B411DC">
        <w:rPr>
          <w:rFonts w:ascii="Times New Roman" w:eastAsia="宋体" w:hAnsi="Times New Roman" w:cs="Times New Roman"/>
          <w:color w:val="000000" w:themeColor="text1"/>
          <w:sz w:val="24"/>
          <w:szCs w:val="24"/>
        </w:rPr>
        <w:fldChar w:fldCharType="begin"/>
      </w:r>
      <w:r>
        <w:rPr>
          <w:rFonts w:ascii="Times New Roman" w:eastAsia="宋体" w:hAnsi="Times New Roman" w:cs="Times New Roman"/>
          <w:color w:val="000000" w:themeColor="text1"/>
          <w:sz w:val="24"/>
          <w:szCs w:val="24"/>
        </w:rPr>
        <w:instrText xml:space="preserve"> ADDIN NE.Ref.{71AA3F09-2233-4E21-B04E-91DF2D94E118}</w:instrText>
      </w:r>
      <w:r w:rsidR="00B411DC">
        <w:rPr>
          <w:rFonts w:ascii="Times New Roman" w:eastAsia="宋体" w:hAnsi="Times New Roman" w:cs="Times New Roman"/>
          <w:color w:val="000000" w:themeColor="text1"/>
          <w:sz w:val="24"/>
          <w:szCs w:val="24"/>
        </w:rPr>
        <w:fldChar w:fldCharType="separate"/>
      </w:r>
      <w:r>
        <w:rPr>
          <w:rFonts w:ascii="Times New Roman" w:eastAsia="宋体" w:hAnsi="Times New Roman" w:cs="Times New Roman"/>
          <w:color w:val="000000" w:themeColor="text1"/>
          <w:kern w:val="0"/>
          <w:sz w:val="24"/>
          <w:szCs w:val="24"/>
          <w:vertAlign w:val="superscript"/>
        </w:rPr>
        <w:t>[15]</w:t>
      </w:r>
      <w:r w:rsidR="00B411DC">
        <w:rPr>
          <w:rFonts w:ascii="Times New Roman" w:eastAsia="宋体" w:hAnsi="Times New Roman" w:cs="Times New Roman"/>
          <w:color w:val="000000" w:themeColor="text1"/>
          <w:sz w:val="24"/>
          <w:szCs w:val="24"/>
        </w:rPr>
        <w:fldChar w:fldCharType="end"/>
      </w:r>
      <w:r>
        <w:rPr>
          <w:rFonts w:ascii="Times New Roman" w:eastAsia="宋体" w:hAnsi="Times New Roman" w:cs="Times New Roman" w:hint="eastAsia"/>
          <w:color w:val="000000" w:themeColor="text1"/>
          <w:sz w:val="24"/>
          <w:szCs w:val="24"/>
        </w:rPr>
        <w:t>的推荐中不再设置</w:t>
      </w:r>
      <w:r>
        <w:rPr>
          <w:rFonts w:ascii="Times New Roman" w:eastAsia="宋体" w:hAnsi="Times New Roman" w:cs="Times New Roman"/>
          <w:color w:val="000000" w:themeColor="text1"/>
          <w:sz w:val="24"/>
          <w:szCs w:val="24"/>
        </w:rPr>
        <w:t>DBP</w:t>
      </w:r>
      <w:r>
        <w:rPr>
          <w:rFonts w:ascii="Times New Roman" w:eastAsia="宋体" w:hAnsi="Times New Roman" w:cs="Times New Roman" w:hint="eastAsia"/>
          <w:color w:val="000000" w:themeColor="text1"/>
          <w:sz w:val="24"/>
          <w:szCs w:val="24"/>
        </w:rPr>
        <w:t>目标值，不区分是否合并糖尿病及蛋白尿，对于合并高血压的成人</w:t>
      </w:r>
      <w:r>
        <w:rPr>
          <w:rFonts w:ascii="Times New Roman" w:eastAsia="宋体" w:hAnsi="Times New Roman" w:cs="Times New Roman"/>
          <w:color w:val="000000" w:themeColor="text1"/>
          <w:sz w:val="24"/>
          <w:szCs w:val="24"/>
        </w:rPr>
        <w:t>CKD</w:t>
      </w:r>
      <w:r>
        <w:rPr>
          <w:rFonts w:ascii="Times New Roman" w:eastAsia="宋体" w:hAnsi="Times New Roman" w:cs="Times New Roman" w:hint="eastAsia"/>
          <w:color w:val="000000" w:themeColor="text1"/>
          <w:sz w:val="24"/>
          <w:szCs w:val="24"/>
        </w:rPr>
        <w:t>患者，目标</w:t>
      </w:r>
      <w:r>
        <w:rPr>
          <w:rFonts w:ascii="Times New Roman" w:eastAsia="宋体" w:hAnsi="Times New Roman" w:cs="Times New Roman"/>
          <w:color w:val="000000" w:themeColor="text1"/>
          <w:sz w:val="24"/>
          <w:szCs w:val="24"/>
        </w:rPr>
        <w:t>SBP</w:t>
      </w:r>
      <w:r>
        <w:rPr>
          <w:rFonts w:ascii="Times New Roman" w:eastAsia="宋体" w:hAnsi="Times New Roman" w:cs="Times New Roman" w:hint="eastAsia"/>
          <w:color w:val="000000" w:themeColor="text1"/>
          <w:sz w:val="24"/>
          <w:szCs w:val="24"/>
        </w:rPr>
        <w:t>应控制在</w:t>
      </w:r>
      <w:r>
        <w:rPr>
          <w:rFonts w:ascii="Times New Roman" w:eastAsia="宋体" w:hAnsi="Times New Roman" w:cs="Times New Roman"/>
          <w:color w:val="000000" w:themeColor="text1"/>
          <w:sz w:val="24"/>
          <w:szCs w:val="24"/>
        </w:rPr>
        <w:t>&lt;120 mmHg</w:t>
      </w:r>
      <w:r>
        <w:rPr>
          <w:rFonts w:ascii="Times New Roman" w:eastAsia="宋体" w:hAnsi="Times New Roman" w:cs="Times New Roman" w:hint="eastAsia"/>
          <w:color w:val="000000" w:themeColor="text1"/>
          <w:sz w:val="24"/>
          <w:szCs w:val="24"/>
        </w:rPr>
        <w:t>（经标准化的诊室血压测量）。</w:t>
      </w:r>
      <w:r>
        <w:rPr>
          <w:rFonts w:ascii="Times New Roman" w:eastAsia="宋体" w:hAnsi="Times New Roman" w:cs="Times New Roman"/>
          <w:color w:val="000000" w:themeColor="text1"/>
          <w:sz w:val="24"/>
          <w:szCs w:val="24"/>
        </w:rPr>
        <w:t>2021</w:t>
      </w:r>
      <w:r>
        <w:rPr>
          <w:rFonts w:ascii="Times New Roman" w:eastAsia="宋体" w:hAnsi="Times New Roman" w:cs="Times New Roman" w:hint="eastAsia"/>
          <w:color w:val="000000" w:themeColor="text1"/>
          <w:sz w:val="24"/>
          <w:szCs w:val="24"/>
        </w:rPr>
        <w:t>年</w:t>
      </w:r>
      <w:r>
        <w:rPr>
          <w:rFonts w:ascii="Times New Roman" w:eastAsia="宋体" w:hAnsi="Times New Roman" w:cs="Times New Roman"/>
          <w:color w:val="000000" w:themeColor="text1"/>
          <w:sz w:val="24"/>
          <w:szCs w:val="24"/>
        </w:rPr>
        <w:t>KDIGO</w:t>
      </w:r>
      <w:r>
        <w:rPr>
          <w:rFonts w:ascii="Times New Roman" w:eastAsia="宋体" w:hAnsi="Times New Roman" w:cs="Times New Roman" w:hint="eastAsia"/>
          <w:color w:val="000000" w:themeColor="text1"/>
          <w:sz w:val="24"/>
          <w:szCs w:val="24"/>
        </w:rPr>
        <w:t>指南更新的主要依据来自</w:t>
      </w:r>
      <w:r>
        <w:rPr>
          <w:rFonts w:ascii="Times New Roman" w:eastAsia="宋体" w:hAnsi="Times New Roman" w:cs="Times New Roman"/>
          <w:color w:val="000000" w:themeColor="text1"/>
          <w:sz w:val="24"/>
          <w:szCs w:val="24"/>
        </w:rPr>
        <w:t>SPRINT</w:t>
      </w:r>
      <w:r>
        <w:rPr>
          <w:rFonts w:ascii="Times New Roman" w:eastAsia="宋体" w:hAnsi="Times New Roman" w:cs="Times New Roman" w:hint="eastAsia"/>
          <w:color w:val="000000" w:themeColor="text1"/>
          <w:sz w:val="24"/>
          <w:szCs w:val="24"/>
        </w:rPr>
        <w:t>研究组的强化降压研究</w:t>
      </w:r>
      <w:r w:rsidR="00B411DC">
        <w:rPr>
          <w:rFonts w:ascii="Times New Roman" w:eastAsia="宋体" w:hAnsi="Times New Roman" w:cs="Times New Roman"/>
          <w:color w:val="000000" w:themeColor="text1"/>
          <w:sz w:val="24"/>
          <w:szCs w:val="24"/>
        </w:rPr>
        <w:fldChar w:fldCharType="begin"/>
      </w:r>
      <w:r>
        <w:rPr>
          <w:rFonts w:ascii="Times New Roman" w:eastAsia="宋体" w:hAnsi="Times New Roman" w:cs="Times New Roman"/>
          <w:color w:val="000000" w:themeColor="text1"/>
          <w:sz w:val="24"/>
          <w:szCs w:val="24"/>
        </w:rPr>
        <w:instrText xml:space="preserve"> ADDIN NE.Ref.{5391DD4C-7E05-4A6C-BBC0-5BFC96D30B21}</w:instrText>
      </w:r>
      <w:r w:rsidR="00B411DC">
        <w:rPr>
          <w:rFonts w:ascii="Times New Roman" w:eastAsia="宋体" w:hAnsi="Times New Roman" w:cs="Times New Roman"/>
          <w:color w:val="000000" w:themeColor="text1"/>
          <w:sz w:val="24"/>
          <w:szCs w:val="24"/>
        </w:rPr>
        <w:fldChar w:fldCharType="separate"/>
      </w:r>
      <w:r>
        <w:rPr>
          <w:rFonts w:ascii="Times New Roman" w:eastAsia="宋体" w:hAnsi="Times New Roman" w:cs="Times New Roman"/>
          <w:color w:val="000000" w:themeColor="text1"/>
          <w:kern w:val="0"/>
          <w:sz w:val="24"/>
          <w:szCs w:val="24"/>
          <w:vertAlign w:val="superscript"/>
        </w:rPr>
        <w:t>[16]</w:t>
      </w:r>
      <w:r w:rsidR="00B411DC">
        <w:rPr>
          <w:rFonts w:ascii="Times New Roman" w:eastAsia="宋体" w:hAnsi="Times New Roman" w:cs="Times New Roman"/>
          <w:color w:val="000000" w:themeColor="text1"/>
          <w:sz w:val="24"/>
          <w:szCs w:val="24"/>
        </w:rPr>
        <w:fldChar w:fldCharType="end"/>
      </w:r>
      <w:r>
        <w:rPr>
          <w:rFonts w:ascii="Times New Roman" w:eastAsia="宋体" w:hAnsi="Times New Roman" w:cs="Times New Roman" w:hint="eastAsia"/>
          <w:color w:val="000000" w:themeColor="text1"/>
          <w:sz w:val="24"/>
          <w:szCs w:val="24"/>
        </w:rPr>
        <w:t>，该研究结果证实</w:t>
      </w:r>
      <w:r>
        <w:rPr>
          <w:rFonts w:ascii="Times New Roman" w:eastAsia="宋体" w:hAnsi="Times New Roman" w:cs="Times New Roman"/>
          <w:color w:val="000000" w:themeColor="text1"/>
          <w:sz w:val="24"/>
          <w:szCs w:val="24"/>
        </w:rPr>
        <w:t>SBP</w:t>
      </w:r>
      <w:r>
        <w:rPr>
          <w:rFonts w:ascii="Times New Roman" w:eastAsia="宋体" w:hAnsi="Times New Roman" w:cs="Times New Roman" w:hint="eastAsia"/>
          <w:color w:val="000000" w:themeColor="text1"/>
          <w:sz w:val="24"/>
          <w:szCs w:val="24"/>
        </w:rPr>
        <w:t>降至</w:t>
      </w:r>
      <w:r>
        <w:rPr>
          <w:rFonts w:ascii="Times New Roman" w:eastAsia="宋体" w:hAnsi="Times New Roman" w:cs="Times New Roman"/>
          <w:color w:val="000000" w:themeColor="text1"/>
          <w:sz w:val="24"/>
          <w:szCs w:val="24"/>
        </w:rPr>
        <w:t>120 mmHg</w:t>
      </w:r>
      <w:r>
        <w:rPr>
          <w:rFonts w:ascii="Times New Roman" w:eastAsia="宋体" w:hAnsi="Times New Roman" w:cs="Times New Roman" w:hint="eastAsia"/>
          <w:color w:val="000000" w:themeColor="text1"/>
          <w:sz w:val="24"/>
          <w:szCs w:val="24"/>
        </w:rPr>
        <w:t>以下可进一步改善预后。</w:t>
      </w:r>
      <w:r>
        <w:rPr>
          <w:rFonts w:ascii="Times New Roman" w:eastAsia="宋体" w:hAnsi="Times New Roman" w:cs="Times New Roman"/>
          <w:color w:val="000000" w:themeColor="text1"/>
          <w:sz w:val="24"/>
          <w:szCs w:val="24"/>
        </w:rPr>
        <w:t>SPRINT</w:t>
      </w:r>
      <w:r>
        <w:rPr>
          <w:rFonts w:ascii="Times New Roman" w:eastAsia="宋体" w:hAnsi="Times New Roman" w:cs="Times New Roman" w:hint="eastAsia"/>
          <w:color w:val="000000" w:themeColor="text1"/>
          <w:sz w:val="24"/>
          <w:szCs w:val="24"/>
        </w:rPr>
        <w:t>研究中</w:t>
      </w:r>
      <w:r>
        <w:rPr>
          <w:rFonts w:ascii="Times New Roman" w:eastAsia="宋体" w:hAnsi="Times New Roman" w:cs="Times New Roman"/>
          <w:color w:val="000000" w:themeColor="text1"/>
          <w:sz w:val="24"/>
          <w:szCs w:val="24"/>
        </w:rPr>
        <w:t>CKD</w:t>
      </w:r>
      <w:r>
        <w:rPr>
          <w:rFonts w:ascii="Times New Roman" w:eastAsia="宋体" w:hAnsi="Times New Roman" w:cs="Times New Roman" w:hint="eastAsia"/>
          <w:color w:val="000000" w:themeColor="text1"/>
          <w:sz w:val="24"/>
          <w:szCs w:val="24"/>
        </w:rPr>
        <w:t>亚组分析结果显示</w:t>
      </w:r>
      <w:r w:rsidR="00B411DC">
        <w:rPr>
          <w:rFonts w:ascii="Times New Roman" w:eastAsia="宋体" w:hAnsi="Times New Roman" w:cs="Times New Roman"/>
          <w:color w:val="000000" w:themeColor="text1"/>
          <w:sz w:val="24"/>
          <w:szCs w:val="24"/>
        </w:rPr>
        <w:fldChar w:fldCharType="begin"/>
      </w:r>
      <w:r>
        <w:rPr>
          <w:rFonts w:ascii="Times New Roman" w:eastAsia="宋体" w:hAnsi="Times New Roman" w:cs="Times New Roman"/>
          <w:color w:val="000000" w:themeColor="text1"/>
          <w:sz w:val="24"/>
          <w:szCs w:val="24"/>
        </w:rPr>
        <w:instrText xml:space="preserve"> ADDIN NE.Ref.{A176C9E5-5173-49D6-8E90-C3BFE331F9FA}</w:instrText>
      </w:r>
      <w:r w:rsidR="00B411DC">
        <w:rPr>
          <w:rFonts w:ascii="Times New Roman" w:eastAsia="宋体" w:hAnsi="Times New Roman" w:cs="Times New Roman"/>
          <w:color w:val="000000" w:themeColor="text1"/>
          <w:sz w:val="24"/>
          <w:szCs w:val="24"/>
        </w:rPr>
        <w:fldChar w:fldCharType="separate"/>
      </w:r>
      <w:r>
        <w:rPr>
          <w:rFonts w:ascii="Times New Roman" w:eastAsia="宋体" w:hAnsi="Times New Roman" w:cs="Times New Roman"/>
          <w:color w:val="000000" w:themeColor="text1"/>
          <w:kern w:val="0"/>
          <w:sz w:val="24"/>
          <w:szCs w:val="24"/>
          <w:vertAlign w:val="superscript"/>
        </w:rPr>
        <w:t>[17]</w:t>
      </w:r>
      <w:r w:rsidR="00B411DC">
        <w:rPr>
          <w:rFonts w:ascii="Times New Roman" w:eastAsia="宋体" w:hAnsi="Times New Roman" w:cs="Times New Roman"/>
          <w:color w:val="000000" w:themeColor="text1"/>
          <w:sz w:val="24"/>
          <w:szCs w:val="24"/>
        </w:rPr>
        <w:fldChar w:fldCharType="end"/>
      </w:r>
      <w:r>
        <w:rPr>
          <w:rFonts w:ascii="Times New Roman" w:eastAsia="宋体" w:hAnsi="Times New Roman" w:cs="Times New Roman" w:hint="eastAsia"/>
          <w:color w:val="000000" w:themeColor="text1"/>
          <w:sz w:val="24"/>
          <w:szCs w:val="24"/>
        </w:rPr>
        <w:t>，强化降压组（将</w:t>
      </w:r>
      <w:r>
        <w:rPr>
          <w:rFonts w:ascii="Times New Roman" w:eastAsia="宋体" w:hAnsi="Times New Roman" w:cs="Times New Roman"/>
          <w:color w:val="000000" w:themeColor="text1"/>
          <w:sz w:val="24"/>
          <w:szCs w:val="24"/>
        </w:rPr>
        <w:t>SBP</w:t>
      </w:r>
      <w:r>
        <w:rPr>
          <w:rFonts w:ascii="Times New Roman" w:eastAsia="宋体" w:hAnsi="Times New Roman" w:cs="Times New Roman" w:hint="eastAsia"/>
          <w:color w:val="000000" w:themeColor="text1"/>
          <w:sz w:val="24"/>
          <w:szCs w:val="24"/>
        </w:rPr>
        <w:t>降至＜</w:t>
      </w:r>
      <w:r>
        <w:rPr>
          <w:rFonts w:ascii="Times New Roman" w:eastAsia="宋体" w:hAnsi="Times New Roman" w:cs="Times New Roman"/>
          <w:color w:val="000000" w:themeColor="text1"/>
          <w:sz w:val="24"/>
          <w:szCs w:val="24"/>
        </w:rPr>
        <w:t>120 mmHg</w:t>
      </w:r>
      <w:r>
        <w:rPr>
          <w:rFonts w:ascii="Times New Roman" w:eastAsia="宋体" w:hAnsi="Times New Roman" w:cs="Times New Roman" w:hint="eastAsia"/>
          <w:color w:val="000000" w:themeColor="text1"/>
          <w:sz w:val="24"/>
          <w:szCs w:val="24"/>
        </w:rPr>
        <w:t>）的全因死亡风险低于标准治疗组（将</w:t>
      </w:r>
      <w:r>
        <w:rPr>
          <w:rFonts w:ascii="Times New Roman" w:eastAsia="宋体" w:hAnsi="Times New Roman" w:cs="Times New Roman"/>
          <w:color w:val="000000" w:themeColor="text1"/>
          <w:sz w:val="24"/>
          <w:szCs w:val="24"/>
        </w:rPr>
        <w:t>SBP</w:t>
      </w:r>
      <w:r>
        <w:rPr>
          <w:rFonts w:ascii="Times New Roman" w:eastAsia="宋体" w:hAnsi="Times New Roman" w:cs="Times New Roman" w:hint="eastAsia"/>
          <w:color w:val="000000" w:themeColor="text1"/>
          <w:sz w:val="24"/>
          <w:szCs w:val="24"/>
        </w:rPr>
        <w:t>降至＜</w:t>
      </w:r>
      <w:r>
        <w:rPr>
          <w:rFonts w:ascii="Times New Roman" w:eastAsia="宋体" w:hAnsi="Times New Roman" w:cs="Times New Roman"/>
          <w:color w:val="000000" w:themeColor="text1"/>
          <w:sz w:val="24"/>
          <w:szCs w:val="24"/>
        </w:rPr>
        <w:t>140 mmHg</w:t>
      </w:r>
      <w:r>
        <w:rPr>
          <w:rFonts w:ascii="Times New Roman" w:eastAsia="宋体" w:hAnsi="Times New Roman" w:cs="Times New Roman" w:hint="eastAsia"/>
          <w:color w:val="000000" w:themeColor="text1"/>
          <w:sz w:val="24"/>
          <w:szCs w:val="24"/>
        </w:rPr>
        <w:t>），且强化治疗有利于降低尿蛋白；但在整个研究群体中，强化治疗组急性肾衰竭发生风险更高。当寻求最佳的血压控制水平时，心脑血管保护和肾脏保护的观点常常不一致，在实际临床应用情况下需要平衡药物风险和获益</w:t>
      </w:r>
      <w:r w:rsidR="00B411DC">
        <w:rPr>
          <w:rFonts w:ascii="Times New Roman" w:eastAsia="宋体" w:hAnsi="Times New Roman" w:cs="Times New Roman"/>
          <w:color w:val="000000" w:themeColor="text1"/>
          <w:sz w:val="24"/>
          <w:szCs w:val="24"/>
        </w:rPr>
        <w:fldChar w:fldCharType="begin"/>
      </w:r>
      <w:r>
        <w:rPr>
          <w:rFonts w:ascii="Times New Roman" w:eastAsia="宋体" w:hAnsi="Times New Roman" w:cs="Times New Roman"/>
          <w:color w:val="000000" w:themeColor="text1"/>
          <w:sz w:val="24"/>
          <w:szCs w:val="24"/>
        </w:rPr>
        <w:instrText xml:space="preserve"> ADDIN NE.Ref.{A7169014-1C1C-456D-B594-E6C9548AB514}</w:instrText>
      </w:r>
      <w:r w:rsidR="00B411DC">
        <w:rPr>
          <w:rFonts w:ascii="Times New Roman" w:eastAsia="宋体" w:hAnsi="Times New Roman" w:cs="Times New Roman"/>
          <w:color w:val="000000" w:themeColor="text1"/>
          <w:sz w:val="24"/>
          <w:szCs w:val="24"/>
        </w:rPr>
        <w:fldChar w:fldCharType="separate"/>
      </w:r>
      <w:r>
        <w:rPr>
          <w:rFonts w:ascii="Times New Roman" w:eastAsia="宋体" w:hAnsi="Times New Roman" w:cs="Times New Roman"/>
          <w:color w:val="000000" w:themeColor="text1"/>
          <w:kern w:val="0"/>
          <w:sz w:val="24"/>
          <w:szCs w:val="24"/>
          <w:vertAlign w:val="superscript"/>
        </w:rPr>
        <w:t>[18]</w:t>
      </w:r>
      <w:r w:rsidR="00B411DC">
        <w:rPr>
          <w:rFonts w:ascii="Times New Roman" w:eastAsia="宋体" w:hAnsi="Times New Roman" w:cs="Times New Roman"/>
          <w:color w:val="000000" w:themeColor="text1"/>
          <w:sz w:val="24"/>
          <w:szCs w:val="24"/>
        </w:rPr>
        <w:fldChar w:fldCharType="end"/>
      </w:r>
      <w:r>
        <w:rPr>
          <w:rFonts w:ascii="Times New Roman" w:eastAsia="宋体" w:hAnsi="Times New Roman" w:cs="Times New Roman" w:hint="eastAsia"/>
          <w:color w:val="000000" w:themeColor="text1"/>
          <w:sz w:val="24"/>
          <w:szCs w:val="24"/>
        </w:rPr>
        <w:t>。</w:t>
      </w:r>
    </w:p>
    <w:p w:rsidR="002E5476" w:rsidRDefault="00423E71">
      <w:pPr>
        <w:spacing w:line="360" w:lineRule="auto"/>
        <w:ind w:firstLineChars="200" w:firstLine="480"/>
        <w:jc w:val="left"/>
        <w:outlineLvl w:val="1"/>
        <w:rPr>
          <w:rFonts w:ascii="Times New Roman" w:eastAsia="宋体" w:hAnsi="Times New Roman" w:cs="Times New Roman"/>
          <w:b/>
          <w:bCs/>
          <w:color w:val="000000" w:themeColor="text1"/>
          <w:sz w:val="24"/>
          <w:szCs w:val="24"/>
        </w:rPr>
      </w:pPr>
      <w:r>
        <w:rPr>
          <w:rFonts w:ascii="Times New Roman" w:eastAsia="宋体" w:hAnsi="Times New Roman" w:cs="Times New Roman" w:hint="eastAsia"/>
          <w:color w:val="000000" w:themeColor="text1"/>
          <w:sz w:val="24"/>
          <w:szCs w:val="24"/>
        </w:rPr>
        <w:t>结合当前的指南我们不难发现，对于不同阶段及合并症的</w:t>
      </w:r>
      <w:r>
        <w:rPr>
          <w:rFonts w:ascii="Times New Roman" w:eastAsia="宋体" w:hAnsi="Times New Roman" w:cs="Times New Roman"/>
          <w:color w:val="000000" w:themeColor="text1"/>
          <w:sz w:val="24"/>
          <w:szCs w:val="24"/>
        </w:rPr>
        <w:t>CKD</w:t>
      </w:r>
      <w:r>
        <w:rPr>
          <w:rFonts w:ascii="Times New Roman" w:eastAsia="宋体" w:hAnsi="Times New Roman" w:cs="Times New Roman" w:hint="eastAsia"/>
          <w:color w:val="000000" w:themeColor="text1"/>
          <w:sz w:val="24"/>
          <w:szCs w:val="24"/>
        </w:rPr>
        <w:t>患者，目前的血压控制目标更倾向于个体化和精准化，对于</w:t>
      </w:r>
      <w:r>
        <w:rPr>
          <w:rFonts w:ascii="Times New Roman" w:eastAsia="宋体" w:hAnsi="Times New Roman" w:cs="Times New Roman"/>
          <w:color w:val="000000" w:themeColor="text1"/>
          <w:sz w:val="24"/>
          <w:szCs w:val="24"/>
        </w:rPr>
        <w:t>CKD</w:t>
      </w:r>
      <w:r>
        <w:rPr>
          <w:rFonts w:ascii="Times New Roman" w:eastAsia="宋体" w:hAnsi="Times New Roman" w:cs="Times New Roman" w:hint="eastAsia"/>
          <w:color w:val="000000" w:themeColor="text1"/>
          <w:sz w:val="24"/>
          <w:szCs w:val="24"/>
        </w:rPr>
        <w:t>患者究竟应该达到怎样的靶目标值，尚存在很多争议，尤其是</w:t>
      </w:r>
      <w:r>
        <w:rPr>
          <w:rFonts w:ascii="Times New Roman" w:eastAsia="宋体" w:hAnsi="Times New Roman" w:cs="Times New Roman"/>
          <w:color w:val="000000" w:themeColor="text1"/>
          <w:sz w:val="24"/>
          <w:szCs w:val="24"/>
        </w:rPr>
        <w:t>2021</w:t>
      </w:r>
      <w:r>
        <w:rPr>
          <w:rFonts w:ascii="Times New Roman" w:eastAsia="宋体" w:hAnsi="Times New Roman" w:cs="Times New Roman" w:hint="eastAsia"/>
          <w:color w:val="000000" w:themeColor="text1"/>
          <w:sz w:val="24"/>
          <w:szCs w:val="24"/>
        </w:rPr>
        <w:t>年</w:t>
      </w:r>
      <w:r>
        <w:rPr>
          <w:rFonts w:ascii="Times New Roman" w:eastAsia="宋体" w:hAnsi="Times New Roman" w:cs="Times New Roman"/>
          <w:color w:val="000000" w:themeColor="text1"/>
          <w:sz w:val="24"/>
          <w:szCs w:val="24"/>
        </w:rPr>
        <w:t>KDIGO</w:t>
      </w:r>
      <w:r>
        <w:rPr>
          <w:rFonts w:ascii="Times New Roman" w:eastAsia="宋体" w:hAnsi="Times New Roman" w:cs="Times New Roman" w:hint="eastAsia"/>
          <w:color w:val="000000" w:themeColor="text1"/>
          <w:sz w:val="24"/>
          <w:szCs w:val="24"/>
        </w:rPr>
        <w:t>指南</w:t>
      </w:r>
      <w:r w:rsidR="00B411DC">
        <w:rPr>
          <w:rFonts w:ascii="Times New Roman" w:eastAsia="宋体" w:hAnsi="Times New Roman" w:cs="Times New Roman"/>
          <w:color w:val="000000" w:themeColor="text1"/>
          <w:sz w:val="24"/>
          <w:szCs w:val="24"/>
        </w:rPr>
        <w:fldChar w:fldCharType="begin"/>
      </w:r>
      <w:r>
        <w:rPr>
          <w:rFonts w:ascii="Times New Roman" w:eastAsia="宋体" w:hAnsi="Times New Roman" w:cs="Times New Roman"/>
          <w:color w:val="000000" w:themeColor="text1"/>
          <w:sz w:val="24"/>
          <w:szCs w:val="24"/>
        </w:rPr>
        <w:instrText xml:space="preserve"> ADDIN NE.Ref.{71AA3F09-2233-4E21-B04E-91DF2D94E118}</w:instrText>
      </w:r>
      <w:r w:rsidR="00B411DC">
        <w:rPr>
          <w:rFonts w:ascii="Times New Roman" w:eastAsia="宋体" w:hAnsi="Times New Roman" w:cs="Times New Roman"/>
          <w:color w:val="000000" w:themeColor="text1"/>
          <w:sz w:val="24"/>
          <w:szCs w:val="24"/>
        </w:rPr>
        <w:fldChar w:fldCharType="separate"/>
      </w:r>
      <w:r>
        <w:rPr>
          <w:rFonts w:ascii="Times New Roman" w:eastAsia="宋体" w:hAnsi="Times New Roman" w:cs="Times New Roman"/>
          <w:color w:val="000000" w:themeColor="text1"/>
          <w:kern w:val="0"/>
          <w:sz w:val="24"/>
          <w:szCs w:val="24"/>
          <w:vertAlign w:val="superscript"/>
        </w:rPr>
        <w:t>[15]</w:t>
      </w:r>
      <w:r w:rsidR="00B411DC">
        <w:rPr>
          <w:rFonts w:ascii="Times New Roman" w:eastAsia="宋体" w:hAnsi="Times New Roman" w:cs="Times New Roman"/>
          <w:color w:val="000000" w:themeColor="text1"/>
          <w:sz w:val="24"/>
          <w:szCs w:val="24"/>
        </w:rPr>
        <w:fldChar w:fldCharType="end"/>
      </w:r>
      <w:r>
        <w:rPr>
          <w:rFonts w:ascii="Times New Roman" w:eastAsia="宋体" w:hAnsi="Times New Roman" w:cs="Times New Roman" w:hint="eastAsia"/>
          <w:color w:val="000000" w:themeColor="text1"/>
          <w:sz w:val="24"/>
          <w:szCs w:val="24"/>
        </w:rPr>
        <w:t>推荐的强化降压是否将成为新的标准还值得商榷。</w:t>
      </w:r>
      <w:bookmarkStart w:id="17" w:name="_Toc1885774516_WPSOffice_Level3"/>
    </w:p>
    <w:p w:rsidR="002E5476" w:rsidRDefault="00423E71">
      <w:pPr>
        <w:spacing w:line="360" w:lineRule="auto"/>
        <w:ind w:firstLine="482"/>
        <w:jc w:val="center"/>
        <w:outlineLvl w:val="1"/>
        <w:rPr>
          <w:rFonts w:ascii="Times New Roman" w:eastAsia="宋体" w:hAnsi="Times New Roman" w:cs="Times New Roman"/>
          <w:b/>
          <w:bCs/>
          <w:color w:val="000000" w:themeColor="text1"/>
          <w:sz w:val="24"/>
          <w:szCs w:val="24"/>
        </w:rPr>
      </w:pPr>
      <w:r>
        <w:rPr>
          <w:rFonts w:ascii="Times New Roman" w:eastAsia="宋体" w:hAnsi="Times New Roman" w:cs="Times New Roman" w:hint="eastAsia"/>
          <w:b/>
          <w:bCs/>
          <w:color w:val="000000" w:themeColor="text1"/>
          <w:sz w:val="24"/>
          <w:szCs w:val="24"/>
        </w:rPr>
        <w:t>表</w:t>
      </w:r>
      <w:r>
        <w:rPr>
          <w:rFonts w:ascii="Times New Roman" w:eastAsia="宋体" w:hAnsi="Times New Roman" w:cs="Times New Roman"/>
          <w:b/>
          <w:bCs/>
          <w:color w:val="000000" w:themeColor="text1"/>
          <w:sz w:val="24"/>
          <w:szCs w:val="24"/>
        </w:rPr>
        <w:t xml:space="preserve">1 </w:t>
      </w:r>
      <w:r>
        <w:rPr>
          <w:rFonts w:ascii="Times New Roman" w:eastAsia="宋体" w:hAnsi="Times New Roman" w:cs="Times New Roman" w:hint="eastAsia"/>
          <w:b/>
          <w:bCs/>
          <w:color w:val="000000" w:themeColor="text1"/>
          <w:kern w:val="0"/>
          <w:sz w:val="24"/>
          <w:szCs w:val="24"/>
        </w:rPr>
        <w:t>不同指南对成人高血压降压目标和起始药物选择的推荐表</w:t>
      </w:r>
      <w:bookmarkEnd w:id="17"/>
    </w:p>
    <w:tbl>
      <w:tblPr>
        <w:tblW w:w="5000" w:type="pct"/>
        <w:tblLayout w:type="fixed"/>
        <w:tblCellMar>
          <w:top w:w="15" w:type="dxa"/>
          <w:left w:w="15" w:type="dxa"/>
          <w:bottom w:w="15" w:type="dxa"/>
          <w:right w:w="15" w:type="dxa"/>
        </w:tblCellMar>
        <w:tblLook w:val="04A0"/>
      </w:tblPr>
      <w:tblGrid>
        <w:gridCol w:w="1182"/>
        <w:gridCol w:w="2540"/>
        <w:gridCol w:w="1659"/>
        <w:gridCol w:w="5116"/>
      </w:tblGrid>
      <w:tr w:rsidR="002E5476">
        <w:trPr>
          <w:trHeight w:val="468"/>
        </w:trPr>
        <w:tc>
          <w:tcPr>
            <w:tcW w:w="563"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2E5476" w:rsidRDefault="00423E71">
            <w:pPr>
              <w:widowControl/>
              <w:jc w:val="center"/>
              <w:textAlignment w:val="center"/>
              <w:rPr>
                <w:rFonts w:ascii="Times New Roman" w:eastAsia="宋体" w:hAnsi="Times New Roman" w:cs="Times New Roman"/>
                <w:b/>
                <w:color w:val="000000" w:themeColor="text1"/>
                <w:szCs w:val="21"/>
              </w:rPr>
            </w:pPr>
            <w:r>
              <w:rPr>
                <w:rFonts w:ascii="Times New Roman" w:eastAsia="宋体" w:hAnsi="Times New Roman" w:cs="Times New Roman" w:hint="eastAsia"/>
                <w:b/>
                <w:color w:val="000000" w:themeColor="text1"/>
                <w:kern w:val="0"/>
                <w:szCs w:val="21"/>
              </w:rPr>
              <w:t>指南</w:t>
            </w:r>
          </w:p>
        </w:tc>
        <w:tc>
          <w:tcPr>
            <w:tcW w:w="1210"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2E5476" w:rsidRDefault="00423E71">
            <w:pPr>
              <w:widowControl/>
              <w:jc w:val="center"/>
              <w:textAlignment w:val="center"/>
              <w:rPr>
                <w:rFonts w:ascii="Times New Roman" w:eastAsia="宋体" w:hAnsi="Times New Roman" w:cs="Times New Roman"/>
                <w:b/>
                <w:color w:val="000000" w:themeColor="text1"/>
                <w:szCs w:val="21"/>
              </w:rPr>
            </w:pPr>
            <w:r>
              <w:rPr>
                <w:rFonts w:ascii="Times New Roman" w:eastAsia="宋体" w:hAnsi="Times New Roman" w:cs="Times New Roman" w:hint="eastAsia"/>
                <w:b/>
                <w:color w:val="000000" w:themeColor="text1"/>
                <w:kern w:val="0"/>
                <w:szCs w:val="21"/>
              </w:rPr>
              <w:t>人群</w:t>
            </w:r>
          </w:p>
        </w:tc>
        <w:tc>
          <w:tcPr>
            <w:tcW w:w="790"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2E5476" w:rsidRDefault="00423E71">
            <w:pPr>
              <w:widowControl/>
              <w:jc w:val="center"/>
              <w:textAlignment w:val="center"/>
              <w:rPr>
                <w:rFonts w:ascii="Times New Roman" w:eastAsia="宋体" w:hAnsi="Times New Roman" w:cs="Times New Roman"/>
                <w:b/>
                <w:color w:val="000000" w:themeColor="text1"/>
                <w:szCs w:val="21"/>
              </w:rPr>
            </w:pPr>
            <w:r>
              <w:rPr>
                <w:rFonts w:ascii="Times New Roman" w:eastAsia="宋体" w:hAnsi="Times New Roman" w:cs="Times New Roman" w:hint="eastAsia"/>
                <w:b/>
                <w:color w:val="000000" w:themeColor="text1"/>
                <w:kern w:val="0"/>
                <w:szCs w:val="21"/>
              </w:rPr>
              <w:t>目标血压</w:t>
            </w:r>
          </w:p>
        </w:tc>
        <w:tc>
          <w:tcPr>
            <w:tcW w:w="2438"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2E5476" w:rsidRDefault="00423E71">
            <w:pPr>
              <w:widowControl/>
              <w:jc w:val="center"/>
              <w:textAlignment w:val="center"/>
              <w:rPr>
                <w:rFonts w:ascii="Times New Roman" w:eastAsia="宋体" w:hAnsi="Times New Roman" w:cs="Times New Roman"/>
                <w:b/>
                <w:color w:val="000000" w:themeColor="text1"/>
                <w:szCs w:val="21"/>
              </w:rPr>
            </w:pPr>
            <w:r>
              <w:rPr>
                <w:rFonts w:ascii="Times New Roman" w:eastAsia="宋体" w:hAnsi="Times New Roman" w:cs="Times New Roman" w:hint="eastAsia"/>
                <w:b/>
                <w:color w:val="000000" w:themeColor="text1"/>
                <w:kern w:val="0"/>
                <w:szCs w:val="21"/>
              </w:rPr>
              <w:t>起始药物选择</w:t>
            </w:r>
          </w:p>
        </w:tc>
      </w:tr>
      <w:tr w:rsidR="002E5476">
        <w:trPr>
          <w:trHeight w:val="741"/>
        </w:trPr>
        <w:tc>
          <w:tcPr>
            <w:tcW w:w="563" w:type="pct"/>
            <w:vMerge w:val="restart"/>
            <w:tcBorders>
              <w:top w:val="single" w:sz="4" w:space="0" w:color="000000"/>
              <w:left w:val="single" w:sz="4" w:space="0" w:color="000000"/>
              <w:right w:val="single" w:sz="4" w:space="0" w:color="000000"/>
            </w:tcBorders>
            <w:shd w:val="clear" w:color="auto" w:fill="auto"/>
            <w:vAlign w:val="center"/>
          </w:tcPr>
          <w:p w:rsidR="002E5476" w:rsidRDefault="00423E71">
            <w:pPr>
              <w:jc w:val="left"/>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2018</w:t>
            </w:r>
            <w:r>
              <w:rPr>
                <w:rFonts w:ascii="Times New Roman" w:eastAsia="宋体" w:hAnsi="Times New Roman" w:cs="Times New Roman" w:hint="eastAsia"/>
                <w:color w:val="000000" w:themeColor="text1"/>
                <w:kern w:val="0"/>
                <w:szCs w:val="21"/>
              </w:rPr>
              <w:t>年美国成人高血压预防、检测、评估和管理指南</w:t>
            </w:r>
            <w:r w:rsidR="00B411DC">
              <w:rPr>
                <w:rFonts w:ascii="Times New Roman" w:eastAsia="宋体" w:hAnsi="Times New Roman" w:cs="Times New Roman" w:hint="eastAsia"/>
                <w:color w:val="000000" w:themeColor="text1"/>
                <w:szCs w:val="21"/>
              </w:rPr>
              <w:fldChar w:fldCharType="begin"/>
            </w:r>
            <w:r>
              <w:rPr>
                <w:rFonts w:ascii="Times New Roman" w:eastAsia="宋体" w:hAnsi="Times New Roman" w:cs="Times New Roman"/>
                <w:color w:val="000000" w:themeColor="text1"/>
                <w:szCs w:val="21"/>
              </w:rPr>
              <w:instrText xml:space="preserve"> ADDIN NE.Ref.{47AB6F1A-AEB1-4E5E-A48A-65C1574CEB7B}</w:instrText>
            </w:r>
            <w:r w:rsidR="00B411DC">
              <w:rPr>
                <w:rFonts w:ascii="Times New Roman" w:eastAsia="宋体" w:hAnsi="Times New Roman" w:cs="Times New Roman" w:hint="eastAsia"/>
                <w:color w:val="000000" w:themeColor="text1"/>
                <w:szCs w:val="21"/>
              </w:rPr>
              <w:fldChar w:fldCharType="separate"/>
            </w:r>
            <w:r>
              <w:rPr>
                <w:rFonts w:ascii="Times New Roman" w:eastAsia="宋体" w:hAnsi="Times New Roman" w:cs="Times New Roman"/>
                <w:color w:val="000000" w:themeColor="text1"/>
                <w:kern w:val="0"/>
                <w:szCs w:val="21"/>
                <w:vertAlign w:val="superscript"/>
              </w:rPr>
              <w:t>[10]</w:t>
            </w:r>
            <w:r w:rsidR="00B411DC">
              <w:rPr>
                <w:rFonts w:ascii="Times New Roman" w:eastAsia="宋体" w:hAnsi="Times New Roman" w:cs="Times New Roman" w:hint="eastAsia"/>
                <w:color w:val="000000" w:themeColor="text1"/>
                <w:szCs w:val="21"/>
              </w:rPr>
              <w:fldChar w:fldCharType="end"/>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jc w:val="left"/>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color w:val="000000" w:themeColor="text1"/>
                <w:kern w:val="0"/>
                <w:szCs w:val="21"/>
              </w:rPr>
              <w:t>65</w:t>
            </w:r>
            <w:r>
              <w:rPr>
                <w:rFonts w:ascii="Times New Roman" w:eastAsia="宋体" w:hAnsi="Times New Roman" w:cs="Times New Roman" w:hint="eastAsia"/>
                <w:color w:val="000000" w:themeColor="text1"/>
                <w:kern w:val="0"/>
                <w:szCs w:val="21"/>
              </w:rPr>
              <w:t>岁的一般人群</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jc w:val="left"/>
              <w:textAlignment w:val="center"/>
              <w:rPr>
                <w:rFonts w:ascii="Times New Roman" w:eastAsia="宋体" w:hAnsi="Times New Roman" w:cs="Times New Roman"/>
                <w:bCs/>
                <w:color w:val="000000" w:themeColor="text1"/>
                <w:kern w:val="0"/>
                <w:szCs w:val="21"/>
              </w:rPr>
            </w:pPr>
            <w:r>
              <w:rPr>
                <w:rFonts w:ascii="Times New Roman" w:eastAsia="宋体" w:hAnsi="Times New Roman" w:cs="Times New Roman"/>
                <w:bCs/>
                <w:color w:val="000000" w:themeColor="text1"/>
                <w:kern w:val="0"/>
                <w:szCs w:val="21"/>
              </w:rPr>
              <w:t>&lt;130/80 mmHg</w:t>
            </w:r>
          </w:p>
        </w:tc>
        <w:tc>
          <w:tcPr>
            <w:tcW w:w="2438" w:type="pct"/>
            <w:vMerge w:val="restart"/>
            <w:tcBorders>
              <w:top w:val="single" w:sz="4" w:space="0" w:color="000000"/>
              <w:left w:val="single" w:sz="4" w:space="0" w:color="000000"/>
              <w:right w:val="single" w:sz="4" w:space="0" w:color="000000"/>
            </w:tcBorders>
            <w:shd w:val="clear" w:color="auto" w:fill="auto"/>
            <w:vAlign w:val="center"/>
          </w:tcPr>
          <w:p w:rsidR="002E5476" w:rsidRDefault="00423E71">
            <w:pPr>
              <w:widowControl/>
              <w:jc w:val="left"/>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一线降压药物均可：噻嗪类利尿剂、</w:t>
            </w:r>
            <w:r>
              <w:rPr>
                <w:rFonts w:ascii="Times New Roman" w:eastAsia="宋体" w:hAnsi="Times New Roman" w:cs="Times New Roman"/>
                <w:color w:val="000000" w:themeColor="text1"/>
                <w:kern w:val="0"/>
                <w:szCs w:val="21"/>
              </w:rPr>
              <w:t>ACEI</w:t>
            </w: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color w:val="000000" w:themeColor="text1"/>
                <w:kern w:val="0"/>
                <w:szCs w:val="21"/>
              </w:rPr>
              <w:t>ARB</w:t>
            </w:r>
            <w:r>
              <w:rPr>
                <w:rFonts w:ascii="Times New Roman" w:eastAsia="宋体" w:hAnsi="Times New Roman" w:cs="Times New Roman" w:hint="eastAsia"/>
                <w:color w:val="000000" w:themeColor="text1"/>
                <w:kern w:val="0"/>
                <w:szCs w:val="21"/>
              </w:rPr>
              <w:t>或</w:t>
            </w:r>
            <w:r>
              <w:rPr>
                <w:rFonts w:ascii="Times New Roman" w:eastAsia="宋体" w:hAnsi="Times New Roman" w:cs="Times New Roman"/>
                <w:color w:val="000000" w:themeColor="text1"/>
                <w:kern w:val="0"/>
                <w:szCs w:val="21"/>
              </w:rPr>
              <w:t>CCB</w:t>
            </w: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color w:val="000000" w:themeColor="text1"/>
                <w:kern w:val="0"/>
                <w:szCs w:val="21"/>
              </w:rPr>
              <w:t>2</w:t>
            </w:r>
            <w:r>
              <w:rPr>
                <w:rFonts w:ascii="Times New Roman" w:eastAsia="宋体" w:hAnsi="Times New Roman" w:cs="Times New Roman" w:hint="eastAsia"/>
                <w:color w:val="000000" w:themeColor="text1"/>
                <w:kern w:val="0"/>
                <w:szCs w:val="21"/>
              </w:rPr>
              <w:t>期高血压或血压超过目标值</w:t>
            </w:r>
            <w:r>
              <w:rPr>
                <w:rFonts w:ascii="Times New Roman" w:eastAsia="宋体" w:hAnsi="Times New Roman" w:cs="Times New Roman"/>
                <w:color w:val="000000" w:themeColor="text1"/>
                <w:kern w:val="0"/>
                <w:szCs w:val="21"/>
              </w:rPr>
              <w:t>20/10 mmHg</w:t>
            </w:r>
            <w:r>
              <w:rPr>
                <w:rFonts w:ascii="Times New Roman" w:eastAsia="宋体" w:hAnsi="Times New Roman" w:cs="Times New Roman" w:hint="eastAsia"/>
                <w:color w:val="000000" w:themeColor="text1"/>
                <w:kern w:val="0"/>
                <w:szCs w:val="21"/>
              </w:rPr>
              <w:t>（即≥</w:t>
            </w:r>
            <w:r>
              <w:rPr>
                <w:rFonts w:ascii="Times New Roman" w:eastAsia="宋体" w:hAnsi="Times New Roman" w:cs="Times New Roman"/>
                <w:color w:val="000000" w:themeColor="text1"/>
                <w:kern w:val="0"/>
                <w:szCs w:val="21"/>
              </w:rPr>
              <w:t>150/90 mmHg</w:t>
            </w:r>
            <w:r>
              <w:rPr>
                <w:rFonts w:ascii="Times New Roman" w:eastAsia="宋体" w:hAnsi="Times New Roman" w:cs="Times New Roman" w:hint="eastAsia"/>
                <w:color w:val="000000" w:themeColor="text1"/>
                <w:kern w:val="0"/>
                <w:szCs w:val="21"/>
              </w:rPr>
              <w:t>）者，初始治疗首选</w:t>
            </w:r>
            <w:r>
              <w:rPr>
                <w:rFonts w:ascii="Times New Roman" w:eastAsia="宋体" w:hAnsi="Times New Roman" w:cs="Times New Roman"/>
                <w:color w:val="000000" w:themeColor="text1"/>
                <w:kern w:val="0"/>
                <w:szCs w:val="21"/>
              </w:rPr>
              <w:t>2</w:t>
            </w:r>
            <w:r>
              <w:rPr>
                <w:rFonts w:ascii="Times New Roman" w:eastAsia="宋体" w:hAnsi="Times New Roman" w:cs="Times New Roman" w:hint="eastAsia"/>
                <w:color w:val="000000" w:themeColor="text1"/>
                <w:kern w:val="0"/>
                <w:szCs w:val="21"/>
              </w:rPr>
              <w:t>种一线药物（自由联合或单片复方制剂），</w:t>
            </w:r>
            <w:r>
              <w:rPr>
                <w:rFonts w:ascii="Times New Roman" w:eastAsia="宋体" w:hAnsi="Times New Roman" w:cs="Times New Roman"/>
                <w:color w:val="000000" w:themeColor="text1"/>
                <w:kern w:val="0"/>
                <w:szCs w:val="21"/>
              </w:rPr>
              <w:t>1</w:t>
            </w:r>
            <w:r>
              <w:rPr>
                <w:rFonts w:ascii="Times New Roman" w:eastAsia="宋体" w:hAnsi="Times New Roman" w:cs="Times New Roman" w:hint="eastAsia"/>
                <w:color w:val="000000" w:themeColor="text1"/>
                <w:kern w:val="0"/>
                <w:szCs w:val="21"/>
              </w:rPr>
              <w:t>期高血压可首选</w:t>
            </w:r>
            <w:r>
              <w:rPr>
                <w:rFonts w:ascii="Times New Roman" w:eastAsia="宋体" w:hAnsi="Times New Roman" w:cs="Times New Roman"/>
                <w:color w:val="000000" w:themeColor="text1"/>
                <w:kern w:val="0"/>
                <w:szCs w:val="21"/>
              </w:rPr>
              <w:t>1</w:t>
            </w:r>
            <w:r>
              <w:rPr>
                <w:rFonts w:ascii="Times New Roman" w:eastAsia="宋体" w:hAnsi="Times New Roman" w:cs="Times New Roman" w:hint="eastAsia"/>
                <w:color w:val="000000" w:themeColor="text1"/>
                <w:kern w:val="0"/>
                <w:szCs w:val="21"/>
              </w:rPr>
              <w:t>种一线药物治疗并逐渐调整剂量</w:t>
            </w:r>
          </w:p>
        </w:tc>
      </w:tr>
      <w:tr w:rsidR="002E5476">
        <w:trPr>
          <w:trHeight w:val="741"/>
        </w:trPr>
        <w:tc>
          <w:tcPr>
            <w:tcW w:w="563" w:type="pct"/>
            <w:vMerge/>
            <w:tcBorders>
              <w:left w:val="single" w:sz="4" w:space="0" w:color="000000"/>
              <w:right w:val="single" w:sz="4" w:space="0" w:color="000000"/>
            </w:tcBorders>
            <w:shd w:val="clear" w:color="auto" w:fill="auto"/>
            <w:vAlign w:val="center"/>
          </w:tcPr>
          <w:p w:rsidR="002E5476" w:rsidRDefault="002E5476">
            <w:pPr>
              <w:jc w:val="left"/>
              <w:textAlignment w:val="center"/>
              <w:rPr>
                <w:rFonts w:ascii="Times New Roman" w:eastAsia="宋体" w:hAnsi="Times New Roman" w:cs="Times New Roman"/>
                <w:color w:val="000000" w:themeColor="text1"/>
                <w:kern w:val="0"/>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jc w:val="left"/>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color w:val="000000" w:themeColor="text1"/>
                <w:kern w:val="0"/>
                <w:szCs w:val="21"/>
              </w:rPr>
              <w:t>65</w:t>
            </w:r>
            <w:r>
              <w:rPr>
                <w:rFonts w:ascii="Times New Roman" w:eastAsia="宋体" w:hAnsi="Times New Roman" w:cs="Times New Roman" w:hint="eastAsia"/>
                <w:color w:val="000000" w:themeColor="text1"/>
                <w:kern w:val="0"/>
                <w:szCs w:val="21"/>
              </w:rPr>
              <w:t>岁的一般人群</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jc w:val="left"/>
              <w:textAlignment w:val="center"/>
              <w:rPr>
                <w:rFonts w:ascii="Times New Roman" w:eastAsia="宋体" w:hAnsi="Times New Roman" w:cs="Times New Roman"/>
                <w:bCs/>
                <w:color w:val="000000" w:themeColor="text1"/>
                <w:kern w:val="0"/>
                <w:szCs w:val="21"/>
              </w:rPr>
            </w:pPr>
            <w:r>
              <w:rPr>
                <w:rFonts w:ascii="Times New Roman" w:eastAsia="宋体" w:hAnsi="Times New Roman" w:cs="Times New Roman"/>
                <w:bCs/>
                <w:color w:val="000000" w:themeColor="text1"/>
                <w:kern w:val="0"/>
                <w:szCs w:val="21"/>
              </w:rPr>
              <w:t>SBP</w:t>
            </w:r>
            <w:r>
              <w:rPr>
                <w:rFonts w:ascii="Times New Roman" w:eastAsia="宋体" w:hAnsi="Times New Roman" w:cs="Times New Roman" w:hint="eastAsia"/>
                <w:bCs/>
                <w:color w:val="000000" w:themeColor="text1"/>
                <w:kern w:val="0"/>
                <w:szCs w:val="21"/>
              </w:rPr>
              <w:t>＜</w:t>
            </w:r>
            <w:r>
              <w:rPr>
                <w:rFonts w:ascii="Times New Roman" w:eastAsia="宋体" w:hAnsi="Times New Roman" w:cs="Times New Roman"/>
                <w:bCs/>
                <w:color w:val="000000" w:themeColor="text1"/>
                <w:kern w:val="0"/>
                <w:szCs w:val="21"/>
              </w:rPr>
              <w:t xml:space="preserve">130 mmHg </w:t>
            </w:r>
          </w:p>
        </w:tc>
        <w:tc>
          <w:tcPr>
            <w:tcW w:w="2438" w:type="pct"/>
            <w:vMerge/>
            <w:tcBorders>
              <w:left w:val="single" w:sz="4" w:space="0" w:color="000000"/>
              <w:bottom w:val="single" w:sz="4" w:space="0" w:color="000000"/>
              <w:right w:val="single" w:sz="4" w:space="0" w:color="000000"/>
            </w:tcBorders>
            <w:shd w:val="clear" w:color="auto" w:fill="auto"/>
            <w:vAlign w:val="center"/>
          </w:tcPr>
          <w:p w:rsidR="002E5476" w:rsidRDefault="002E5476">
            <w:pPr>
              <w:widowControl/>
              <w:jc w:val="left"/>
              <w:textAlignment w:val="center"/>
              <w:rPr>
                <w:rFonts w:ascii="Times New Roman" w:eastAsia="宋体" w:hAnsi="Times New Roman" w:cs="Times New Roman"/>
                <w:color w:val="000000" w:themeColor="text1"/>
                <w:kern w:val="0"/>
                <w:szCs w:val="21"/>
              </w:rPr>
            </w:pPr>
          </w:p>
        </w:tc>
      </w:tr>
      <w:tr w:rsidR="002E5476">
        <w:trPr>
          <w:trHeight w:val="741"/>
        </w:trPr>
        <w:tc>
          <w:tcPr>
            <w:tcW w:w="563" w:type="pct"/>
            <w:vMerge/>
            <w:tcBorders>
              <w:left w:val="single" w:sz="4" w:space="0" w:color="000000"/>
              <w:right w:val="single" w:sz="4" w:space="0" w:color="000000"/>
            </w:tcBorders>
            <w:shd w:val="clear" w:color="auto" w:fill="auto"/>
            <w:vAlign w:val="center"/>
          </w:tcPr>
          <w:p w:rsidR="002E5476" w:rsidRDefault="002E5476">
            <w:pPr>
              <w:jc w:val="left"/>
              <w:textAlignment w:val="center"/>
              <w:rPr>
                <w:rFonts w:ascii="Times New Roman" w:eastAsia="宋体" w:hAnsi="Times New Roman" w:cs="Times New Roman"/>
                <w:color w:val="000000" w:themeColor="text1"/>
                <w:kern w:val="0"/>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jc w:val="left"/>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糖尿病</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jc w:val="left"/>
              <w:textAlignment w:val="center"/>
              <w:rPr>
                <w:rFonts w:ascii="Times New Roman" w:eastAsia="宋体" w:hAnsi="Times New Roman" w:cs="Times New Roman"/>
                <w:bCs/>
                <w:color w:val="000000" w:themeColor="text1"/>
                <w:kern w:val="0"/>
                <w:szCs w:val="21"/>
              </w:rPr>
            </w:pPr>
            <w:r>
              <w:rPr>
                <w:rFonts w:ascii="Times New Roman" w:eastAsia="宋体" w:hAnsi="Times New Roman" w:cs="Times New Roman"/>
                <w:bCs/>
                <w:color w:val="000000" w:themeColor="text1"/>
                <w:kern w:val="0"/>
                <w:szCs w:val="21"/>
              </w:rPr>
              <w:t>&lt;130/80 mmHg</w:t>
            </w:r>
          </w:p>
        </w:tc>
        <w:tc>
          <w:tcPr>
            <w:tcW w:w="2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jc w:val="left"/>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ACEI</w:t>
            </w: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color w:val="000000" w:themeColor="text1"/>
                <w:kern w:val="0"/>
                <w:szCs w:val="21"/>
              </w:rPr>
              <w:t>ARB</w:t>
            </w: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color w:val="000000" w:themeColor="text1"/>
                <w:kern w:val="0"/>
                <w:szCs w:val="21"/>
              </w:rPr>
              <w:t>CCB</w:t>
            </w:r>
            <w:r>
              <w:rPr>
                <w:rFonts w:ascii="Times New Roman" w:eastAsia="宋体" w:hAnsi="Times New Roman" w:cs="Times New Roman" w:hint="eastAsia"/>
                <w:color w:val="000000" w:themeColor="text1"/>
                <w:kern w:val="0"/>
                <w:szCs w:val="21"/>
              </w:rPr>
              <w:t>、利尿剂，合并蛋白尿者首选</w:t>
            </w:r>
            <w:r>
              <w:rPr>
                <w:rFonts w:ascii="Times New Roman" w:eastAsia="宋体" w:hAnsi="Times New Roman" w:cs="Times New Roman"/>
                <w:color w:val="000000" w:themeColor="text1"/>
                <w:kern w:val="0"/>
                <w:szCs w:val="21"/>
              </w:rPr>
              <w:t>ACEI</w:t>
            </w:r>
            <w:r>
              <w:rPr>
                <w:rFonts w:ascii="Times New Roman" w:eastAsia="宋体" w:hAnsi="Times New Roman" w:cs="Times New Roman" w:hint="eastAsia"/>
                <w:color w:val="000000" w:themeColor="text1"/>
                <w:kern w:val="0"/>
                <w:szCs w:val="21"/>
              </w:rPr>
              <w:t>或</w:t>
            </w:r>
            <w:r>
              <w:rPr>
                <w:rFonts w:ascii="Times New Roman" w:eastAsia="宋体" w:hAnsi="Times New Roman" w:cs="Times New Roman"/>
                <w:color w:val="000000" w:themeColor="text1"/>
                <w:kern w:val="0"/>
                <w:szCs w:val="21"/>
              </w:rPr>
              <w:t>ARB</w:t>
            </w:r>
          </w:p>
        </w:tc>
      </w:tr>
      <w:tr w:rsidR="002E5476">
        <w:trPr>
          <w:trHeight w:val="741"/>
        </w:trPr>
        <w:tc>
          <w:tcPr>
            <w:tcW w:w="563" w:type="pct"/>
            <w:vMerge/>
            <w:tcBorders>
              <w:left w:val="single" w:sz="4" w:space="0" w:color="000000"/>
              <w:right w:val="single" w:sz="4" w:space="0" w:color="000000"/>
            </w:tcBorders>
            <w:shd w:val="clear" w:color="auto" w:fill="auto"/>
            <w:vAlign w:val="center"/>
          </w:tcPr>
          <w:p w:rsidR="002E5476" w:rsidRDefault="002E5476">
            <w:pPr>
              <w:widowControl/>
              <w:jc w:val="left"/>
              <w:textAlignment w:val="center"/>
              <w:rPr>
                <w:rFonts w:ascii="Times New Roman" w:eastAsia="宋体" w:hAnsi="Times New Roman" w:cs="Times New Roman"/>
                <w:color w:val="000000" w:themeColor="text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jc w:val="left"/>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CKD</w:t>
            </w:r>
            <w:r>
              <w:rPr>
                <w:rFonts w:ascii="Times New Roman" w:eastAsia="宋体" w:hAnsi="Times New Roman" w:cs="Times New Roman" w:hint="eastAsia"/>
                <w:color w:val="000000" w:themeColor="text1"/>
                <w:kern w:val="0"/>
                <w:szCs w:val="21"/>
              </w:rPr>
              <w:t>（无蛋白尿）</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jc w:val="left"/>
              <w:textAlignment w:val="center"/>
              <w:rPr>
                <w:rFonts w:ascii="Times New Roman" w:eastAsia="宋体" w:hAnsi="Times New Roman" w:cs="Times New Roman"/>
                <w:bCs/>
                <w:color w:val="000000" w:themeColor="text1"/>
                <w:szCs w:val="21"/>
              </w:rPr>
            </w:pPr>
            <w:r>
              <w:rPr>
                <w:rFonts w:ascii="Times New Roman" w:eastAsia="宋体" w:hAnsi="Times New Roman" w:cs="Times New Roman"/>
                <w:bCs/>
                <w:color w:val="000000" w:themeColor="text1"/>
                <w:kern w:val="0"/>
                <w:szCs w:val="21"/>
              </w:rPr>
              <w:t>&lt;130/80 mmHg</w:t>
            </w:r>
          </w:p>
        </w:tc>
        <w:tc>
          <w:tcPr>
            <w:tcW w:w="2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jc w:val="left"/>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一线降压药物均可：</w:t>
            </w:r>
            <w:r>
              <w:rPr>
                <w:rFonts w:ascii="Times New Roman" w:eastAsia="宋体" w:hAnsi="Times New Roman" w:cs="Times New Roman"/>
                <w:color w:val="000000" w:themeColor="text1"/>
                <w:kern w:val="0"/>
                <w:szCs w:val="21"/>
              </w:rPr>
              <w:t>ACEI</w:t>
            </w: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color w:val="000000" w:themeColor="text1"/>
                <w:kern w:val="0"/>
                <w:szCs w:val="21"/>
              </w:rPr>
              <w:t>ARB</w:t>
            </w: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color w:val="000000" w:themeColor="text1"/>
                <w:kern w:val="0"/>
                <w:szCs w:val="21"/>
              </w:rPr>
              <w:t>CCB</w:t>
            </w:r>
            <w:r>
              <w:rPr>
                <w:rFonts w:ascii="Times New Roman" w:eastAsia="宋体" w:hAnsi="Times New Roman" w:cs="Times New Roman" w:hint="eastAsia"/>
                <w:color w:val="000000" w:themeColor="text1"/>
                <w:kern w:val="0"/>
                <w:szCs w:val="21"/>
              </w:rPr>
              <w:t>或噻嗪类利尿剂；</w:t>
            </w:r>
            <w:r>
              <w:rPr>
                <w:rFonts w:ascii="Times New Roman" w:eastAsia="宋体" w:hAnsi="Times New Roman" w:cs="Times New Roman"/>
                <w:color w:val="000000" w:themeColor="text1"/>
                <w:kern w:val="0"/>
                <w:szCs w:val="21"/>
              </w:rPr>
              <w:t>2</w:t>
            </w:r>
            <w:r>
              <w:rPr>
                <w:rFonts w:ascii="Times New Roman" w:eastAsia="宋体" w:hAnsi="Times New Roman" w:cs="Times New Roman" w:hint="eastAsia"/>
                <w:color w:val="000000" w:themeColor="text1"/>
                <w:kern w:val="0"/>
                <w:szCs w:val="21"/>
              </w:rPr>
              <w:t>期高血压或血压超过目标值</w:t>
            </w:r>
            <w:r>
              <w:rPr>
                <w:rFonts w:ascii="Times New Roman" w:eastAsia="宋体" w:hAnsi="Times New Roman" w:cs="Times New Roman"/>
                <w:color w:val="000000" w:themeColor="text1"/>
                <w:kern w:val="0"/>
                <w:szCs w:val="21"/>
              </w:rPr>
              <w:t>20/10 mmHg</w:t>
            </w:r>
            <w:r>
              <w:rPr>
                <w:rFonts w:ascii="Times New Roman" w:eastAsia="宋体" w:hAnsi="Times New Roman" w:cs="Times New Roman" w:hint="eastAsia"/>
                <w:color w:val="000000" w:themeColor="text1"/>
                <w:kern w:val="0"/>
                <w:szCs w:val="21"/>
              </w:rPr>
              <w:t>（即≥</w:t>
            </w:r>
            <w:r>
              <w:rPr>
                <w:rFonts w:ascii="Times New Roman" w:eastAsia="宋体" w:hAnsi="Times New Roman" w:cs="Times New Roman"/>
                <w:color w:val="000000" w:themeColor="text1"/>
                <w:kern w:val="0"/>
                <w:szCs w:val="21"/>
              </w:rPr>
              <w:t>150/90 mmHg</w:t>
            </w:r>
            <w:r>
              <w:rPr>
                <w:rFonts w:ascii="Times New Roman" w:eastAsia="宋体" w:hAnsi="Times New Roman" w:cs="Times New Roman" w:hint="eastAsia"/>
                <w:color w:val="000000" w:themeColor="text1"/>
                <w:kern w:val="0"/>
                <w:szCs w:val="21"/>
              </w:rPr>
              <w:t>标值）者，初始治疗首选</w:t>
            </w:r>
            <w:r>
              <w:rPr>
                <w:rFonts w:ascii="Times New Roman" w:eastAsia="宋体" w:hAnsi="Times New Roman" w:cs="Times New Roman"/>
                <w:color w:val="000000" w:themeColor="text1"/>
                <w:kern w:val="0"/>
                <w:szCs w:val="21"/>
              </w:rPr>
              <w:t>2</w:t>
            </w:r>
            <w:r>
              <w:rPr>
                <w:rFonts w:ascii="Times New Roman" w:eastAsia="宋体" w:hAnsi="Times New Roman" w:cs="Times New Roman" w:hint="eastAsia"/>
                <w:color w:val="000000" w:themeColor="text1"/>
                <w:kern w:val="0"/>
                <w:szCs w:val="21"/>
              </w:rPr>
              <w:t>种一线药物（自由联合或单片复方制剂），</w:t>
            </w:r>
            <w:r>
              <w:rPr>
                <w:rFonts w:ascii="Times New Roman" w:eastAsia="宋体" w:hAnsi="Times New Roman" w:cs="Times New Roman"/>
                <w:color w:val="000000" w:themeColor="text1"/>
                <w:kern w:val="0"/>
                <w:szCs w:val="21"/>
              </w:rPr>
              <w:t>1</w:t>
            </w:r>
            <w:r>
              <w:rPr>
                <w:rFonts w:ascii="Times New Roman" w:eastAsia="宋体" w:hAnsi="Times New Roman" w:cs="Times New Roman" w:hint="eastAsia"/>
                <w:color w:val="000000" w:themeColor="text1"/>
                <w:kern w:val="0"/>
                <w:szCs w:val="21"/>
              </w:rPr>
              <w:t>期高血压可首选</w:t>
            </w:r>
            <w:r>
              <w:rPr>
                <w:rFonts w:ascii="Times New Roman" w:eastAsia="宋体" w:hAnsi="Times New Roman" w:cs="Times New Roman"/>
                <w:color w:val="000000" w:themeColor="text1"/>
                <w:kern w:val="0"/>
                <w:szCs w:val="21"/>
              </w:rPr>
              <w:t>1</w:t>
            </w:r>
            <w:r>
              <w:rPr>
                <w:rFonts w:ascii="Times New Roman" w:eastAsia="宋体" w:hAnsi="Times New Roman" w:cs="Times New Roman" w:hint="eastAsia"/>
                <w:color w:val="000000" w:themeColor="text1"/>
                <w:kern w:val="0"/>
                <w:szCs w:val="21"/>
              </w:rPr>
              <w:t>种一线药物治疗并逐渐调整剂量</w:t>
            </w:r>
          </w:p>
        </w:tc>
      </w:tr>
      <w:tr w:rsidR="002E5476">
        <w:trPr>
          <w:trHeight w:val="468"/>
        </w:trPr>
        <w:tc>
          <w:tcPr>
            <w:tcW w:w="563" w:type="pct"/>
            <w:vMerge/>
            <w:tcBorders>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jc w:val="left"/>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CKD</w:t>
            </w:r>
            <w:r>
              <w:rPr>
                <w:rFonts w:ascii="Times New Roman" w:eastAsia="宋体" w:hAnsi="Times New Roman" w:cs="Times New Roman" w:hint="eastAsia"/>
                <w:color w:val="000000" w:themeColor="text1"/>
                <w:kern w:val="0"/>
                <w:szCs w:val="21"/>
              </w:rPr>
              <w:t>（有蛋白尿）</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jc w:val="left"/>
              <w:textAlignment w:val="center"/>
              <w:rPr>
                <w:rFonts w:ascii="Times New Roman" w:eastAsia="宋体" w:hAnsi="Times New Roman" w:cs="Times New Roman"/>
                <w:bCs/>
                <w:color w:val="000000" w:themeColor="text1"/>
                <w:szCs w:val="21"/>
              </w:rPr>
            </w:pPr>
            <w:r>
              <w:rPr>
                <w:rFonts w:ascii="Times New Roman" w:eastAsia="宋体" w:hAnsi="Times New Roman" w:cs="Times New Roman"/>
                <w:bCs/>
                <w:color w:val="000000" w:themeColor="text1"/>
                <w:kern w:val="0"/>
                <w:szCs w:val="21"/>
              </w:rPr>
              <w:t>&lt;130/80 mmHg</w:t>
            </w:r>
          </w:p>
        </w:tc>
        <w:tc>
          <w:tcPr>
            <w:tcW w:w="2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白蛋白尿≥</w:t>
            </w:r>
            <w:r>
              <w:rPr>
                <w:rFonts w:ascii="Times New Roman" w:eastAsia="宋体" w:hAnsi="Times New Roman" w:cs="Times New Roman"/>
                <w:color w:val="000000" w:themeColor="text1"/>
                <w:kern w:val="0"/>
                <w:szCs w:val="21"/>
              </w:rPr>
              <w:t>300 mg/d</w:t>
            </w:r>
            <w:r>
              <w:rPr>
                <w:rFonts w:ascii="Times New Roman" w:eastAsia="宋体" w:hAnsi="Times New Roman" w:cs="Times New Roman" w:hint="eastAsia"/>
                <w:color w:val="000000" w:themeColor="text1"/>
                <w:kern w:val="0"/>
                <w:szCs w:val="21"/>
              </w:rPr>
              <w:t>或≥</w:t>
            </w:r>
            <w:r>
              <w:rPr>
                <w:rFonts w:ascii="Times New Roman" w:eastAsia="宋体" w:hAnsi="Times New Roman" w:cs="Times New Roman"/>
                <w:color w:val="000000" w:themeColor="text1"/>
                <w:kern w:val="0"/>
                <w:szCs w:val="21"/>
              </w:rPr>
              <w:t>300 mg/g</w:t>
            </w:r>
            <w:r>
              <w:rPr>
                <w:rFonts w:ascii="Times New Roman" w:eastAsia="宋体" w:hAnsi="Times New Roman" w:cs="Times New Roman" w:hint="eastAsia"/>
                <w:color w:val="000000" w:themeColor="text1"/>
                <w:kern w:val="0"/>
                <w:szCs w:val="21"/>
              </w:rPr>
              <w:t>肌酐时首选</w:t>
            </w:r>
            <w:r>
              <w:rPr>
                <w:rFonts w:ascii="Times New Roman" w:eastAsia="宋体" w:hAnsi="Times New Roman" w:cs="Times New Roman"/>
                <w:color w:val="000000" w:themeColor="text1"/>
                <w:kern w:val="0"/>
                <w:szCs w:val="21"/>
              </w:rPr>
              <w:t>ACEI</w:t>
            </w:r>
            <w:r>
              <w:rPr>
                <w:rFonts w:ascii="Times New Roman" w:eastAsia="宋体" w:hAnsi="Times New Roman" w:cs="Times New Roman" w:hint="eastAsia"/>
                <w:color w:val="000000" w:themeColor="text1"/>
                <w:kern w:val="0"/>
                <w:szCs w:val="21"/>
              </w:rPr>
              <w:t>或</w:t>
            </w:r>
            <w:r>
              <w:rPr>
                <w:rFonts w:ascii="Times New Roman" w:eastAsia="宋体" w:hAnsi="Times New Roman" w:cs="Times New Roman"/>
                <w:color w:val="000000" w:themeColor="text1"/>
                <w:kern w:val="0"/>
                <w:szCs w:val="21"/>
              </w:rPr>
              <w:t>ARB</w:t>
            </w:r>
          </w:p>
        </w:tc>
      </w:tr>
      <w:tr w:rsidR="002E5476">
        <w:trPr>
          <w:trHeight w:val="468"/>
        </w:trPr>
        <w:tc>
          <w:tcPr>
            <w:tcW w:w="563"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jc w:val="left"/>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2018</w:t>
            </w:r>
            <w:r>
              <w:rPr>
                <w:rFonts w:ascii="Times New Roman" w:eastAsia="宋体" w:hAnsi="Times New Roman" w:cs="Times New Roman" w:hint="eastAsia"/>
                <w:color w:val="000000" w:themeColor="text1"/>
                <w:kern w:val="0"/>
                <w:szCs w:val="21"/>
              </w:rPr>
              <w:t>年</w:t>
            </w:r>
            <w:r>
              <w:rPr>
                <w:rFonts w:ascii="Times New Roman" w:eastAsia="宋体" w:hAnsi="Times New Roman" w:cs="Times New Roman" w:hint="eastAsia"/>
                <w:color w:val="000000" w:themeColor="text1"/>
                <w:szCs w:val="21"/>
              </w:rPr>
              <w:t>欧洲心脏病学会（</w:t>
            </w:r>
            <w:r>
              <w:rPr>
                <w:rFonts w:ascii="Times New Roman" w:eastAsia="宋体" w:hAnsi="Times New Roman" w:cs="Times New Roman"/>
                <w:color w:val="000000" w:themeColor="text1"/>
                <w:kern w:val="0"/>
                <w:szCs w:val="21"/>
              </w:rPr>
              <w:t>ESH</w:t>
            </w:r>
            <w:r>
              <w:rPr>
                <w:rFonts w:ascii="Times New Roman" w:eastAsia="宋体" w:hAnsi="Times New Roman" w:cs="Times New Roman" w:hint="eastAsia"/>
                <w:color w:val="000000" w:themeColor="text1"/>
                <w:szCs w:val="21"/>
              </w:rPr>
              <w:t>）</w:t>
            </w:r>
            <w:r>
              <w:rPr>
                <w:rFonts w:ascii="Times New Roman" w:eastAsia="宋体" w:hAnsi="Times New Roman" w:cs="Times New Roman"/>
                <w:color w:val="000000" w:themeColor="text1"/>
                <w:kern w:val="0"/>
                <w:szCs w:val="21"/>
              </w:rPr>
              <w:t>/</w:t>
            </w:r>
            <w:r>
              <w:rPr>
                <w:rFonts w:ascii="Times New Roman" w:eastAsia="宋体" w:hAnsi="Times New Roman" w:cs="Times New Roman" w:hint="eastAsia"/>
                <w:color w:val="000000" w:themeColor="text1"/>
                <w:szCs w:val="21"/>
              </w:rPr>
              <w:t>欧洲高血压学会（</w:t>
            </w:r>
            <w:r>
              <w:rPr>
                <w:rFonts w:ascii="Times New Roman" w:eastAsia="宋体" w:hAnsi="Times New Roman" w:cs="Times New Roman"/>
                <w:color w:val="000000" w:themeColor="text1"/>
                <w:kern w:val="0"/>
                <w:szCs w:val="21"/>
              </w:rPr>
              <w:t>ESC</w:t>
            </w:r>
            <w:r>
              <w:rPr>
                <w:rFonts w:ascii="Times New Roman" w:eastAsia="宋体" w:hAnsi="Times New Roman" w:cs="Times New Roman" w:hint="eastAsia"/>
                <w:color w:val="000000" w:themeColor="text1"/>
                <w:szCs w:val="21"/>
              </w:rPr>
              <w:t>）</w:t>
            </w:r>
            <w:r>
              <w:rPr>
                <w:rFonts w:ascii="Times New Roman" w:eastAsia="宋体" w:hAnsi="Times New Roman" w:cs="Times New Roman" w:hint="eastAsia"/>
                <w:color w:val="000000" w:themeColor="text1"/>
                <w:kern w:val="0"/>
                <w:szCs w:val="21"/>
              </w:rPr>
              <w:t>指南</w:t>
            </w:r>
            <w:r w:rsidR="00B411DC">
              <w:rPr>
                <w:rFonts w:ascii="Times New Roman" w:eastAsia="宋体" w:hAnsi="Times New Roman" w:cs="Times New Roman" w:hint="eastAsia"/>
                <w:color w:val="000000" w:themeColor="text1"/>
                <w:szCs w:val="21"/>
              </w:rPr>
              <w:fldChar w:fldCharType="begin"/>
            </w:r>
            <w:r>
              <w:rPr>
                <w:rFonts w:ascii="Times New Roman" w:eastAsia="宋体" w:hAnsi="Times New Roman" w:cs="Times New Roman"/>
                <w:color w:val="000000" w:themeColor="text1"/>
                <w:szCs w:val="21"/>
              </w:rPr>
              <w:instrText xml:space="preserve"> ADDIN NE.Ref.{0460723E-7096-4077-878B-CA6886C8D291}</w:instrText>
            </w:r>
            <w:r w:rsidR="00B411DC">
              <w:rPr>
                <w:rFonts w:ascii="Times New Roman" w:eastAsia="宋体" w:hAnsi="Times New Roman" w:cs="Times New Roman" w:hint="eastAsia"/>
                <w:color w:val="000000" w:themeColor="text1"/>
                <w:szCs w:val="21"/>
              </w:rPr>
              <w:fldChar w:fldCharType="separate"/>
            </w:r>
            <w:r>
              <w:rPr>
                <w:rFonts w:ascii="Times New Roman" w:eastAsia="宋体" w:hAnsi="Times New Roman" w:cs="Times New Roman"/>
                <w:color w:val="000000" w:themeColor="text1"/>
                <w:kern w:val="0"/>
                <w:szCs w:val="21"/>
                <w:vertAlign w:val="superscript"/>
              </w:rPr>
              <w:t>[11]</w:t>
            </w:r>
            <w:r w:rsidR="00B411DC">
              <w:rPr>
                <w:rFonts w:ascii="Times New Roman" w:eastAsia="宋体" w:hAnsi="Times New Roman" w:cs="Times New Roman" w:hint="eastAsia"/>
                <w:color w:val="000000" w:themeColor="text1"/>
                <w:szCs w:val="21"/>
              </w:rPr>
              <w:fldChar w:fldCharType="end"/>
            </w:r>
            <w:r>
              <w:rPr>
                <w:rFonts w:ascii="Times New Roman" w:eastAsia="宋体" w:hAnsi="Times New Roman" w:cs="Times New Roman"/>
                <w:color w:val="000000" w:themeColor="text1"/>
                <w:kern w:val="0"/>
                <w:szCs w:val="21"/>
              </w:rPr>
              <w:t xml:space="preserve"> </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jc w:val="left"/>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一般非老年人群</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jc w:val="left"/>
              <w:textAlignment w:val="center"/>
              <w:rPr>
                <w:rFonts w:ascii="Times New Roman" w:eastAsia="宋体" w:hAnsi="Times New Roman" w:cs="Times New Roman"/>
                <w:bCs/>
                <w:color w:val="000000" w:themeColor="text1"/>
                <w:kern w:val="0"/>
                <w:szCs w:val="21"/>
              </w:rPr>
            </w:pPr>
            <w:r>
              <w:rPr>
                <w:rFonts w:ascii="Times New Roman" w:eastAsia="宋体" w:hAnsi="Times New Roman" w:cs="Times New Roman"/>
                <w:bCs/>
                <w:color w:val="000000" w:themeColor="text1"/>
                <w:kern w:val="0"/>
                <w:szCs w:val="21"/>
              </w:rPr>
              <w:t>&lt;140/90 mmHg</w:t>
            </w:r>
            <w:r>
              <w:rPr>
                <w:rFonts w:ascii="Times New Roman" w:eastAsia="宋体" w:hAnsi="Times New Roman" w:cs="Times New Roman" w:hint="eastAsia"/>
                <w:bCs/>
                <w:color w:val="000000" w:themeColor="text1"/>
                <w:kern w:val="0"/>
                <w:szCs w:val="21"/>
              </w:rPr>
              <w:t>，如耐受可降至</w:t>
            </w:r>
            <w:r>
              <w:rPr>
                <w:rFonts w:ascii="Times New Roman" w:eastAsia="宋体" w:hAnsi="Times New Roman" w:cs="Times New Roman"/>
                <w:bCs/>
                <w:color w:val="000000" w:themeColor="text1"/>
                <w:kern w:val="0"/>
                <w:szCs w:val="21"/>
              </w:rPr>
              <w:t>130/80 mmHg</w:t>
            </w:r>
            <w:r>
              <w:rPr>
                <w:rFonts w:ascii="Times New Roman" w:eastAsia="宋体" w:hAnsi="Times New Roman" w:cs="Times New Roman" w:hint="eastAsia"/>
                <w:bCs/>
                <w:color w:val="000000" w:themeColor="text1"/>
                <w:kern w:val="0"/>
                <w:szCs w:val="21"/>
              </w:rPr>
              <w:t>或更低</w:t>
            </w:r>
          </w:p>
        </w:tc>
        <w:tc>
          <w:tcPr>
            <w:tcW w:w="2438" w:type="pct"/>
            <w:vMerge w:val="restart"/>
            <w:tcBorders>
              <w:top w:val="single" w:sz="4" w:space="0" w:color="000000"/>
              <w:left w:val="single" w:sz="4" w:space="0" w:color="000000"/>
              <w:right w:val="single" w:sz="4" w:space="0" w:color="000000"/>
            </w:tcBorders>
            <w:shd w:val="clear" w:color="auto" w:fill="auto"/>
            <w:vAlign w:val="center"/>
          </w:tcPr>
          <w:p w:rsidR="002E5476" w:rsidRDefault="00423E71">
            <w:pPr>
              <w:widowControl/>
              <w:jc w:val="left"/>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 xml:space="preserve">ACEI </w:t>
            </w:r>
            <w:r>
              <w:rPr>
                <w:rFonts w:ascii="Times New Roman" w:eastAsia="宋体" w:hAnsi="Times New Roman" w:cs="Times New Roman" w:hint="eastAsia"/>
                <w:color w:val="000000" w:themeColor="text1"/>
                <w:kern w:val="0"/>
                <w:szCs w:val="21"/>
              </w:rPr>
              <w:t>或</w:t>
            </w:r>
            <w:r>
              <w:rPr>
                <w:rFonts w:ascii="Times New Roman" w:eastAsia="宋体" w:hAnsi="Times New Roman" w:cs="Times New Roman"/>
                <w:color w:val="000000" w:themeColor="text1"/>
                <w:kern w:val="0"/>
                <w:szCs w:val="21"/>
              </w:rPr>
              <w:t xml:space="preserve"> ARB</w:t>
            </w:r>
            <w:r>
              <w:rPr>
                <w:rFonts w:ascii="Times New Roman" w:eastAsia="宋体" w:hAnsi="Times New Roman" w:cs="Times New Roman" w:hint="eastAsia"/>
                <w:color w:val="000000" w:themeColor="text1"/>
                <w:kern w:val="0"/>
                <w:szCs w:val="21"/>
              </w:rPr>
              <w:t>、利尿剂、</w:t>
            </w:r>
            <w:r>
              <w:rPr>
                <w:rFonts w:ascii="Times New Roman" w:eastAsia="宋体" w:hAnsi="Times New Roman" w:cs="Times New Roman"/>
                <w:color w:val="000000" w:themeColor="text1"/>
                <w:kern w:val="0"/>
                <w:szCs w:val="21"/>
              </w:rPr>
              <w:t>CCB</w:t>
            </w:r>
            <w:r>
              <w:rPr>
                <w:rFonts w:ascii="Times New Roman" w:eastAsia="宋体" w:hAnsi="Times New Roman" w:cs="Times New Roman" w:hint="eastAsia"/>
                <w:color w:val="000000" w:themeColor="text1"/>
                <w:kern w:val="0"/>
                <w:szCs w:val="21"/>
              </w:rPr>
              <w:t>、β受体阻滞剂均可作为初始治疗选择；除了衰弱的老年患者以及血压＜</w:t>
            </w:r>
            <w:r>
              <w:rPr>
                <w:rFonts w:ascii="Times New Roman" w:eastAsia="宋体" w:hAnsi="Times New Roman" w:cs="Times New Roman"/>
                <w:color w:val="000000" w:themeColor="text1"/>
                <w:kern w:val="0"/>
                <w:szCs w:val="21"/>
              </w:rPr>
              <w:t>150 mmHg</w:t>
            </w:r>
            <w:r>
              <w:rPr>
                <w:rFonts w:ascii="Times New Roman" w:eastAsia="宋体" w:hAnsi="Times New Roman" w:cs="Times New Roman" w:hint="eastAsia"/>
                <w:color w:val="000000" w:themeColor="text1"/>
                <w:kern w:val="0"/>
                <w:szCs w:val="21"/>
              </w:rPr>
              <w:t>的低危患者外，其他患者均可直接启动两种药物联合治疗，优先推荐单片复方制剂。首推：</w:t>
            </w:r>
            <w:r>
              <w:rPr>
                <w:rFonts w:ascii="Times New Roman" w:eastAsia="宋体" w:hAnsi="Times New Roman" w:cs="Times New Roman"/>
                <w:color w:val="000000" w:themeColor="text1"/>
                <w:kern w:val="0"/>
                <w:szCs w:val="21"/>
              </w:rPr>
              <w:t>ACEI</w:t>
            </w:r>
            <w:r>
              <w:rPr>
                <w:rFonts w:ascii="Times New Roman" w:eastAsia="宋体" w:hAnsi="Times New Roman" w:cs="Times New Roman" w:hint="eastAsia"/>
                <w:color w:val="000000" w:themeColor="text1"/>
                <w:kern w:val="0"/>
                <w:szCs w:val="21"/>
              </w:rPr>
              <w:t>或</w:t>
            </w:r>
            <w:r>
              <w:rPr>
                <w:rFonts w:ascii="Times New Roman" w:eastAsia="宋体" w:hAnsi="Times New Roman" w:cs="Times New Roman"/>
                <w:color w:val="000000" w:themeColor="text1"/>
                <w:kern w:val="0"/>
                <w:szCs w:val="21"/>
              </w:rPr>
              <w:t>ARB+CCB</w:t>
            </w:r>
            <w:r>
              <w:rPr>
                <w:rFonts w:ascii="Times New Roman" w:eastAsia="宋体" w:hAnsi="Times New Roman" w:cs="Times New Roman" w:hint="eastAsia"/>
                <w:color w:val="000000" w:themeColor="text1"/>
                <w:kern w:val="0"/>
                <w:szCs w:val="21"/>
              </w:rPr>
              <w:t>或利尿剂</w:t>
            </w:r>
          </w:p>
        </w:tc>
      </w:tr>
      <w:tr w:rsidR="002E5476">
        <w:trPr>
          <w:trHeight w:val="468"/>
        </w:trPr>
        <w:tc>
          <w:tcPr>
            <w:tcW w:w="563"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jc w:val="left"/>
              <w:textAlignment w:val="center"/>
              <w:rPr>
                <w:rFonts w:ascii="Times New Roman" w:eastAsia="宋体" w:hAnsi="Times New Roman" w:cs="Times New Roman"/>
                <w:color w:val="000000" w:themeColor="text1"/>
                <w:kern w:val="0"/>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jc w:val="left"/>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color w:val="000000" w:themeColor="text1"/>
                <w:kern w:val="0"/>
                <w:szCs w:val="21"/>
              </w:rPr>
              <w:t>65</w:t>
            </w:r>
            <w:r>
              <w:rPr>
                <w:rFonts w:ascii="Times New Roman" w:eastAsia="宋体" w:hAnsi="Times New Roman" w:cs="Times New Roman" w:hint="eastAsia"/>
                <w:color w:val="000000" w:themeColor="text1"/>
                <w:kern w:val="0"/>
                <w:szCs w:val="21"/>
              </w:rPr>
              <w:t>岁的一般人群</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jc w:val="left"/>
              <w:textAlignment w:val="center"/>
              <w:rPr>
                <w:rFonts w:ascii="Times New Roman" w:eastAsia="宋体" w:hAnsi="Times New Roman" w:cs="Times New Roman"/>
                <w:bCs/>
                <w:color w:val="000000" w:themeColor="text1"/>
                <w:kern w:val="0"/>
                <w:szCs w:val="21"/>
              </w:rPr>
            </w:pPr>
            <w:r>
              <w:rPr>
                <w:rFonts w:ascii="Times New Roman" w:eastAsia="宋体" w:hAnsi="Times New Roman" w:cs="Times New Roman"/>
                <w:bCs/>
                <w:color w:val="000000" w:themeColor="text1"/>
                <w:kern w:val="0"/>
                <w:szCs w:val="21"/>
              </w:rPr>
              <w:t>SBP</w:t>
            </w:r>
            <w:r>
              <w:rPr>
                <w:rFonts w:ascii="Times New Roman" w:eastAsia="宋体" w:hAnsi="Times New Roman" w:cs="Times New Roman" w:hint="eastAsia"/>
                <w:bCs/>
                <w:color w:val="000000" w:themeColor="text1"/>
                <w:kern w:val="0"/>
                <w:szCs w:val="21"/>
              </w:rPr>
              <w:t>降至</w:t>
            </w:r>
            <w:r>
              <w:rPr>
                <w:rFonts w:ascii="Times New Roman" w:eastAsia="宋体" w:hAnsi="Times New Roman" w:cs="Times New Roman"/>
                <w:bCs/>
                <w:color w:val="000000" w:themeColor="text1"/>
                <w:kern w:val="0"/>
                <w:szCs w:val="21"/>
              </w:rPr>
              <w:t>120</w:t>
            </w:r>
            <w:r>
              <w:rPr>
                <w:rFonts w:ascii="Times New Roman" w:eastAsia="宋体" w:hAnsi="Times New Roman" w:cs="Times New Roman" w:hint="eastAsia"/>
                <w:bCs/>
                <w:color w:val="000000" w:themeColor="text1"/>
                <w:kern w:val="0"/>
                <w:szCs w:val="21"/>
              </w:rPr>
              <w:t>～</w:t>
            </w:r>
            <w:r>
              <w:rPr>
                <w:rFonts w:ascii="Times New Roman" w:eastAsia="宋体" w:hAnsi="Times New Roman" w:cs="Times New Roman"/>
                <w:bCs/>
                <w:color w:val="000000" w:themeColor="text1"/>
                <w:kern w:val="0"/>
                <w:szCs w:val="21"/>
              </w:rPr>
              <w:t>129 mmHg</w:t>
            </w:r>
            <w:r>
              <w:rPr>
                <w:rFonts w:ascii="Times New Roman" w:eastAsia="宋体" w:hAnsi="Times New Roman" w:cs="Times New Roman" w:hint="eastAsia"/>
                <w:bCs/>
                <w:color w:val="000000" w:themeColor="text1"/>
                <w:kern w:val="0"/>
                <w:szCs w:val="21"/>
              </w:rPr>
              <w:t>，</w:t>
            </w:r>
          </w:p>
          <w:p w:rsidR="002E5476" w:rsidRDefault="00423E71">
            <w:pPr>
              <w:widowControl/>
              <w:jc w:val="left"/>
              <w:textAlignment w:val="center"/>
              <w:rPr>
                <w:rFonts w:ascii="Times New Roman" w:eastAsia="宋体" w:hAnsi="Times New Roman" w:cs="Times New Roman"/>
                <w:bCs/>
                <w:color w:val="000000" w:themeColor="text1"/>
                <w:kern w:val="0"/>
                <w:szCs w:val="21"/>
              </w:rPr>
            </w:pPr>
            <w:r>
              <w:rPr>
                <w:rFonts w:ascii="Times New Roman" w:eastAsia="宋体" w:hAnsi="Times New Roman" w:cs="Times New Roman"/>
                <w:bCs/>
                <w:color w:val="000000" w:themeColor="text1"/>
                <w:kern w:val="0"/>
                <w:szCs w:val="21"/>
              </w:rPr>
              <w:t>DBP</w:t>
            </w:r>
            <w:r>
              <w:rPr>
                <w:rFonts w:ascii="Times New Roman" w:eastAsia="宋体" w:hAnsi="Times New Roman" w:cs="Times New Roman" w:hint="eastAsia"/>
                <w:bCs/>
                <w:color w:val="000000" w:themeColor="text1"/>
                <w:kern w:val="0"/>
                <w:szCs w:val="21"/>
              </w:rPr>
              <w:t>＜</w:t>
            </w:r>
            <w:r>
              <w:rPr>
                <w:rFonts w:ascii="Times New Roman" w:eastAsia="宋体" w:hAnsi="Times New Roman" w:cs="Times New Roman"/>
                <w:bCs/>
                <w:color w:val="000000" w:themeColor="text1"/>
                <w:kern w:val="0"/>
                <w:szCs w:val="21"/>
              </w:rPr>
              <w:t>80 mmHg</w:t>
            </w:r>
          </w:p>
        </w:tc>
        <w:tc>
          <w:tcPr>
            <w:tcW w:w="2438" w:type="pct"/>
            <w:vMerge/>
            <w:tcBorders>
              <w:left w:val="single" w:sz="4" w:space="0" w:color="000000"/>
              <w:right w:val="single" w:sz="4" w:space="0" w:color="000000"/>
            </w:tcBorders>
            <w:shd w:val="clear" w:color="auto" w:fill="auto"/>
            <w:vAlign w:val="center"/>
          </w:tcPr>
          <w:p w:rsidR="002E5476" w:rsidRDefault="002E5476">
            <w:pPr>
              <w:widowControl/>
              <w:jc w:val="left"/>
              <w:textAlignment w:val="center"/>
              <w:rPr>
                <w:rFonts w:ascii="Times New Roman" w:eastAsia="宋体" w:hAnsi="Times New Roman" w:cs="Times New Roman"/>
                <w:color w:val="000000" w:themeColor="text1"/>
                <w:kern w:val="0"/>
                <w:szCs w:val="21"/>
              </w:rPr>
            </w:pPr>
          </w:p>
        </w:tc>
      </w:tr>
      <w:tr w:rsidR="002E5476">
        <w:trPr>
          <w:trHeight w:val="468"/>
        </w:trPr>
        <w:tc>
          <w:tcPr>
            <w:tcW w:w="563"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jc w:val="left"/>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color w:val="000000" w:themeColor="text1"/>
                <w:kern w:val="0"/>
                <w:szCs w:val="21"/>
              </w:rPr>
              <w:t>65</w:t>
            </w:r>
            <w:r>
              <w:rPr>
                <w:rFonts w:ascii="Times New Roman" w:eastAsia="宋体" w:hAnsi="Times New Roman" w:cs="Times New Roman" w:hint="eastAsia"/>
                <w:color w:val="000000" w:themeColor="text1"/>
                <w:kern w:val="0"/>
                <w:szCs w:val="21"/>
              </w:rPr>
              <w:t>岁的一般人群</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jc w:val="left"/>
              <w:textAlignment w:val="center"/>
              <w:rPr>
                <w:rFonts w:ascii="Times New Roman" w:eastAsia="宋体" w:hAnsi="Times New Roman" w:cs="Times New Roman"/>
                <w:bCs/>
                <w:color w:val="000000" w:themeColor="text1"/>
                <w:kern w:val="0"/>
                <w:szCs w:val="21"/>
              </w:rPr>
            </w:pPr>
            <w:r>
              <w:rPr>
                <w:rFonts w:ascii="Times New Roman" w:eastAsia="宋体" w:hAnsi="Times New Roman" w:cs="Times New Roman" w:hint="eastAsia"/>
                <w:bCs/>
                <w:color w:val="000000" w:themeColor="text1"/>
                <w:kern w:val="0"/>
                <w:szCs w:val="21"/>
              </w:rPr>
              <w:t>＜</w:t>
            </w:r>
            <w:r>
              <w:rPr>
                <w:rFonts w:ascii="Times New Roman" w:eastAsia="宋体" w:hAnsi="Times New Roman" w:cs="Times New Roman"/>
                <w:bCs/>
                <w:color w:val="000000" w:themeColor="text1"/>
                <w:kern w:val="0"/>
                <w:szCs w:val="21"/>
              </w:rPr>
              <w:t>140/80 mmHg</w:t>
            </w:r>
            <w:r>
              <w:rPr>
                <w:rFonts w:ascii="Times New Roman" w:eastAsia="宋体" w:hAnsi="Times New Roman" w:cs="Times New Roman" w:hint="eastAsia"/>
                <w:bCs/>
                <w:color w:val="000000" w:themeColor="text1"/>
                <w:kern w:val="0"/>
                <w:szCs w:val="21"/>
              </w:rPr>
              <w:t>，但</w:t>
            </w:r>
            <w:r>
              <w:rPr>
                <w:rFonts w:ascii="Times New Roman" w:eastAsia="宋体" w:hAnsi="Times New Roman" w:cs="Times New Roman"/>
                <w:bCs/>
                <w:color w:val="000000" w:themeColor="text1"/>
                <w:kern w:val="0"/>
                <w:szCs w:val="21"/>
              </w:rPr>
              <w:t>SBP</w:t>
            </w:r>
            <w:r>
              <w:rPr>
                <w:rFonts w:ascii="Times New Roman" w:eastAsia="宋体" w:hAnsi="Times New Roman" w:cs="Times New Roman" w:hint="eastAsia"/>
                <w:bCs/>
                <w:color w:val="000000" w:themeColor="text1"/>
                <w:kern w:val="0"/>
                <w:szCs w:val="21"/>
              </w:rPr>
              <w:t>不低于</w:t>
            </w:r>
            <w:r>
              <w:rPr>
                <w:rFonts w:ascii="Times New Roman" w:eastAsia="宋体" w:hAnsi="Times New Roman" w:cs="Times New Roman"/>
                <w:bCs/>
                <w:color w:val="000000" w:themeColor="text1"/>
                <w:kern w:val="0"/>
                <w:szCs w:val="21"/>
              </w:rPr>
              <w:t>130 mmHg</w:t>
            </w:r>
          </w:p>
        </w:tc>
        <w:tc>
          <w:tcPr>
            <w:tcW w:w="2438" w:type="pct"/>
            <w:vMerge/>
            <w:tcBorders>
              <w:left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r>
      <w:tr w:rsidR="002E5476">
        <w:trPr>
          <w:trHeight w:val="468"/>
        </w:trPr>
        <w:tc>
          <w:tcPr>
            <w:tcW w:w="563"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jc w:val="left"/>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color w:val="000000" w:themeColor="text1"/>
                <w:kern w:val="0"/>
                <w:szCs w:val="21"/>
              </w:rPr>
              <w:t>80</w:t>
            </w:r>
            <w:r>
              <w:rPr>
                <w:rFonts w:ascii="Times New Roman" w:eastAsia="宋体" w:hAnsi="Times New Roman" w:cs="Times New Roman" w:hint="eastAsia"/>
                <w:color w:val="000000" w:themeColor="text1"/>
                <w:kern w:val="0"/>
                <w:szCs w:val="21"/>
              </w:rPr>
              <w:t>岁的一般人群</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jc w:val="left"/>
              <w:textAlignment w:val="center"/>
              <w:rPr>
                <w:rFonts w:ascii="Times New Roman" w:eastAsia="宋体" w:hAnsi="Times New Roman" w:cs="Times New Roman"/>
                <w:bCs/>
                <w:color w:val="000000" w:themeColor="text1"/>
                <w:kern w:val="0"/>
                <w:szCs w:val="21"/>
              </w:rPr>
            </w:pPr>
            <w:r>
              <w:rPr>
                <w:rFonts w:ascii="Times New Roman" w:eastAsia="宋体" w:hAnsi="Times New Roman" w:cs="Times New Roman" w:hint="eastAsia"/>
                <w:bCs/>
                <w:color w:val="000000" w:themeColor="text1"/>
                <w:kern w:val="0"/>
                <w:szCs w:val="21"/>
              </w:rPr>
              <w:t>如耐受可＜</w:t>
            </w:r>
            <w:r>
              <w:rPr>
                <w:rFonts w:ascii="Times New Roman" w:eastAsia="宋体" w:hAnsi="Times New Roman" w:cs="Times New Roman"/>
                <w:bCs/>
                <w:color w:val="000000" w:themeColor="text1"/>
                <w:kern w:val="0"/>
                <w:szCs w:val="21"/>
              </w:rPr>
              <w:t>140/80 mmHg</w:t>
            </w:r>
            <w:r>
              <w:rPr>
                <w:rFonts w:ascii="Times New Roman" w:eastAsia="宋体" w:hAnsi="Times New Roman" w:cs="Times New Roman" w:hint="eastAsia"/>
                <w:bCs/>
                <w:color w:val="000000" w:themeColor="text1"/>
                <w:kern w:val="0"/>
                <w:szCs w:val="21"/>
              </w:rPr>
              <w:t>，但</w:t>
            </w:r>
            <w:r>
              <w:rPr>
                <w:rFonts w:ascii="Times New Roman" w:eastAsia="宋体" w:hAnsi="Times New Roman" w:cs="Times New Roman"/>
                <w:bCs/>
                <w:color w:val="000000" w:themeColor="text1"/>
                <w:kern w:val="0"/>
                <w:szCs w:val="21"/>
              </w:rPr>
              <w:t>SBP</w:t>
            </w:r>
            <w:r>
              <w:rPr>
                <w:rFonts w:ascii="Times New Roman" w:eastAsia="宋体" w:hAnsi="Times New Roman" w:cs="Times New Roman" w:hint="eastAsia"/>
                <w:bCs/>
                <w:color w:val="000000" w:themeColor="text1"/>
                <w:kern w:val="0"/>
                <w:szCs w:val="21"/>
              </w:rPr>
              <w:t>不低于</w:t>
            </w:r>
            <w:r>
              <w:rPr>
                <w:rFonts w:ascii="Times New Roman" w:eastAsia="宋体" w:hAnsi="Times New Roman" w:cs="Times New Roman"/>
                <w:bCs/>
                <w:color w:val="000000" w:themeColor="text1"/>
                <w:kern w:val="0"/>
                <w:szCs w:val="21"/>
              </w:rPr>
              <w:t>130 mmHg</w:t>
            </w:r>
          </w:p>
        </w:tc>
        <w:tc>
          <w:tcPr>
            <w:tcW w:w="2438" w:type="pct"/>
            <w:vMerge/>
            <w:tcBorders>
              <w:left w:val="single" w:sz="4" w:space="0" w:color="000000"/>
              <w:bottom w:val="single" w:sz="4" w:space="0" w:color="000000"/>
              <w:right w:val="single" w:sz="4" w:space="0" w:color="000000"/>
            </w:tcBorders>
            <w:shd w:val="clear" w:color="auto" w:fill="auto"/>
            <w:vAlign w:val="center"/>
          </w:tcPr>
          <w:p w:rsidR="002E5476" w:rsidRDefault="002E5476">
            <w:pPr>
              <w:widowControl/>
              <w:jc w:val="left"/>
              <w:textAlignment w:val="center"/>
              <w:rPr>
                <w:rFonts w:ascii="Times New Roman" w:eastAsia="宋体" w:hAnsi="Times New Roman" w:cs="Times New Roman"/>
                <w:color w:val="000000" w:themeColor="text1"/>
                <w:kern w:val="0"/>
                <w:szCs w:val="21"/>
              </w:rPr>
            </w:pPr>
          </w:p>
        </w:tc>
      </w:tr>
      <w:tr w:rsidR="002E5476">
        <w:trPr>
          <w:trHeight w:val="468"/>
        </w:trPr>
        <w:tc>
          <w:tcPr>
            <w:tcW w:w="563"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jc w:val="left"/>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糖尿病</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jc w:val="left"/>
              <w:textAlignment w:val="center"/>
              <w:rPr>
                <w:rFonts w:ascii="Times New Roman" w:eastAsia="宋体" w:hAnsi="Times New Roman" w:cs="Times New Roman"/>
                <w:bCs/>
                <w:color w:val="000000" w:themeColor="text1"/>
                <w:szCs w:val="21"/>
              </w:rPr>
            </w:pPr>
            <w:r>
              <w:rPr>
                <w:rFonts w:ascii="Times New Roman" w:eastAsia="宋体" w:hAnsi="Times New Roman" w:cs="Times New Roman"/>
                <w:bCs/>
                <w:color w:val="000000" w:themeColor="text1"/>
                <w:kern w:val="0"/>
                <w:szCs w:val="21"/>
              </w:rPr>
              <w:t>&lt;130/80 mmHg</w:t>
            </w:r>
            <w:r>
              <w:rPr>
                <w:rFonts w:ascii="Times New Roman" w:eastAsia="宋体" w:hAnsi="Times New Roman" w:cs="Times New Roman" w:hint="eastAsia"/>
                <w:bCs/>
                <w:color w:val="000000" w:themeColor="text1"/>
                <w:kern w:val="0"/>
                <w:szCs w:val="21"/>
              </w:rPr>
              <w:t>，如耐受可更低，但不低于</w:t>
            </w:r>
            <w:r>
              <w:rPr>
                <w:rFonts w:ascii="Times New Roman" w:eastAsia="宋体" w:hAnsi="Times New Roman" w:cs="Times New Roman"/>
                <w:bCs/>
                <w:color w:val="000000" w:themeColor="text1"/>
                <w:kern w:val="0"/>
                <w:szCs w:val="21"/>
              </w:rPr>
              <w:t>120/70 mmHg</w:t>
            </w:r>
            <w:r>
              <w:rPr>
                <w:rFonts w:ascii="Times New Roman" w:eastAsia="宋体" w:hAnsi="Times New Roman" w:cs="Times New Roman" w:hint="eastAsia"/>
                <w:bCs/>
                <w:color w:val="000000" w:themeColor="text1"/>
                <w:kern w:val="0"/>
                <w:szCs w:val="21"/>
              </w:rPr>
              <w:t>。对于老年患者（≥</w:t>
            </w:r>
            <w:r>
              <w:rPr>
                <w:rFonts w:ascii="Times New Roman" w:eastAsia="宋体" w:hAnsi="Times New Roman" w:cs="Times New Roman"/>
                <w:bCs/>
                <w:color w:val="000000" w:themeColor="text1"/>
                <w:kern w:val="0"/>
                <w:szCs w:val="21"/>
              </w:rPr>
              <w:t>65</w:t>
            </w:r>
            <w:r>
              <w:rPr>
                <w:rFonts w:ascii="Times New Roman" w:eastAsia="宋体" w:hAnsi="Times New Roman" w:cs="Times New Roman" w:hint="eastAsia"/>
                <w:bCs/>
                <w:color w:val="000000" w:themeColor="text1"/>
                <w:kern w:val="0"/>
                <w:szCs w:val="21"/>
              </w:rPr>
              <w:t>岁），</w:t>
            </w:r>
            <w:r>
              <w:rPr>
                <w:rFonts w:ascii="Times New Roman" w:eastAsia="宋体" w:hAnsi="Times New Roman" w:cs="Times New Roman"/>
                <w:bCs/>
                <w:color w:val="000000" w:themeColor="text1"/>
                <w:kern w:val="0"/>
                <w:szCs w:val="21"/>
              </w:rPr>
              <w:t>SBP</w:t>
            </w:r>
            <w:r>
              <w:rPr>
                <w:rFonts w:ascii="Times New Roman" w:eastAsia="宋体" w:hAnsi="Times New Roman" w:cs="Times New Roman" w:hint="eastAsia"/>
                <w:bCs/>
                <w:color w:val="000000" w:themeColor="text1"/>
                <w:kern w:val="0"/>
                <w:szCs w:val="21"/>
              </w:rPr>
              <w:t>控制在</w:t>
            </w:r>
            <w:r>
              <w:rPr>
                <w:rFonts w:ascii="Times New Roman" w:eastAsia="宋体" w:hAnsi="Times New Roman" w:cs="Times New Roman"/>
                <w:bCs/>
                <w:color w:val="000000" w:themeColor="text1"/>
                <w:kern w:val="0"/>
                <w:szCs w:val="21"/>
              </w:rPr>
              <w:t>130</w:t>
            </w:r>
            <w:r>
              <w:rPr>
                <w:rFonts w:ascii="Times New Roman" w:eastAsia="宋体" w:hAnsi="Times New Roman" w:cs="Times New Roman" w:hint="eastAsia"/>
                <w:bCs/>
                <w:color w:val="000000" w:themeColor="text1"/>
                <w:kern w:val="0"/>
                <w:szCs w:val="21"/>
              </w:rPr>
              <w:t>～</w:t>
            </w:r>
            <w:r>
              <w:rPr>
                <w:rFonts w:ascii="Times New Roman" w:eastAsia="宋体" w:hAnsi="Times New Roman" w:cs="Times New Roman"/>
                <w:bCs/>
                <w:color w:val="000000" w:themeColor="text1"/>
                <w:kern w:val="0"/>
                <w:szCs w:val="21"/>
              </w:rPr>
              <w:t xml:space="preserve">139 mmHg  </w:t>
            </w:r>
          </w:p>
        </w:tc>
        <w:tc>
          <w:tcPr>
            <w:tcW w:w="2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jc w:val="left"/>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ACEI</w:t>
            </w:r>
            <w:r>
              <w:rPr>
                <w:rFonts w:ascii="Times New Roman" w:eastAsia="宋体" w:hAnsi="Times New Roman" w:cs="Times New Roman" w:hint="eastAsia"/>
                <w:color w:val="000000" w:themeColor="text1"/>
                <w:kern w:val="0"/>
                <w:szCs w:val="21"/>
              </w:rPr>
              <w:t>或</w:t>
            </w:r>
            <w:r>
              <w:rPr>
                <w:rFonts w:ascii="Times New Roman" w:eastAsia="宋体" w:hAnsi="Times New Roman" w:cs="Times New Roman"/>
                <w:color w:val="000000" w:themeColor="text1"/>
                <w:kern w:val="0"/>
                <w:szCs w:val="21"/>
              </w:rPr>
              <w:t>ARB+CCB</w:t>
            </w:r>
            <w:r>
              <w:rPr>
                <w:rFonts w:ascii="Times New Roman" w:eastAsia="宋体" w:hAnsi="Times New Roman" w:cs="Times New Roman" w:hint="eastAsia"/>
                <w:color w:val="000000" w:themeColor="text1"/>
                <w:kern w:val="0"/>
                <w:szCs w:val="21"/>
              </w:rPr>
              <w:t>或噻嗪类或噻嗪样利尿剂</w:t>
            </w:r>
          </w:p>
        </w:tc>
      </w:tr>
      <w:tr w:rsidR="002E5476">
        <w:trPr>
          <w:trHeight w:val="468"/>
        </w:trPr>
        <w:tc>
          <w:tcPr>
            <w:tcW w:w="563"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jc w:val="left"/>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CKD</w:t>
            </w:r>
            <w:r>
              <w:rPr>
                <w:rFonts w:ascii="Times New Roman" w:eastAsia="宋体" w:hAnsi="Times New Roman" w:cs="Times New Roman" w:hint="eastAsia"/>
                <w:color w:val="000000" w:themeColor="text1"/>
                <w:kern w:val="0"/>
                <w:szCs w:val="21"/>
              </w:rPr>
              <w:t>（有或无蛋白尿）</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jc w:val="left"/>
              <w:textAlignment w:val="center"/>
              <w:rPr>
                <w:rFonts w:ascii="Times New Roman" w:eastAsia="宋体" w:hAnsi="Times New Roman" w:cs="Times New Roman"/>
                <w:bCs/>
                <w:color w:val="000000" w:themeColor="text1"/>
                <w:szCs w:val="21"/>
              </w:rPr>
            </w:pPr>
            <w:r>
              <w:rPr>
                <w:rFonts w:ascii="Times New Roman" w:eastAsia="宋体" w:hAnsi="Times New Roman" w:cs="Times New Roman"/>
                <w:bCs/>
                <w:color w:val="000000" w:themeColor="text1"/>
                <w:kern w:val="0"/>
                <w:szCs w:val="21"/>
              </w:rPr>
              <w:t>SBP</w:t>
            </w:r>
            <w:r>
              <w:rPr>
                <w:rFonts w:ascii="Times New Roman" w:eastAsia="宋体" w:hAnsi="Times New Roman" w:cs="Times New Roman" w:hint="eastAsia"/>
                <w:bCs/>
                <w:color w:val="000000" w:themeColor="text1"/>
                <w:kern w:val="0"/>
                <w:szCs w:val="21"/>
              </w:rPr>
              <w:t>降至</w:t>
            </w:r>
            <w:r>
              <w:rPr>
                <w:rFonts w:ascii="Times New Roman" w:eastAsia="宋体" w:hAnsi="Times New Roman" w:cs="Times New Roman"/>
                <w:bCs/>
                <w:color w:val="000000" w:themeColor="text1"/>
                <w:kern w:val="0"/>
                <w:szCs w:val="21"/>
              </w:rPr>
              <w:t>130</w:t>
            </w:r>
            <w:r>
              <w:rPr>
                <w:rFonts w:ascii="Times New Roman" w:eastAsia="宋体" w:hAnsi="Times New Roman" w:cs="Times New Roman" w:hint="eastAsia"/>
                <w:bCs/>
                <w:color w:val="000000" w:themeColor="text1"/>
                <w:kern w:val="0"/>
                <w:szCs w:val="21"/>
              </w:rPr>
              <w:t>～</w:t>
            </w:r>
            <w:r>
              <w:rPr>
                <w:rFonts w:ascii="Times New Roman" w:eastAsia="宋体" w:hAnsi="Times New Roman" w:cs="Times New Roman"/>
                <w:bCs/>
                <w:color w:val="000000" w:themeColor="text1"/>
                <w:kern w:val="0"/>
                <w:szCs w:val="21"/>
              </w:rPr>
              <w:t>139 mmHg</w:t>
            </w:r>
            <w:r>
              <w:rPr>
                <w:rFonts w:ascii="Times New Roman" w:eastAsia="宋体" w:hAnsi="Times New Roman" w:cs="Times New Roman" w:hint="eastAsia"/>
                <w:bCs/>
                <w:color w:val="000000" w:themeColor="text1"/>
                <w:kern w:val="0"/>
                <w:szCs w:val="21"/>
              </w:rPr>
              <w:t>，不低于</w:t>
            </w:r>
            <w:r>
              <w:rPr>
                <w:rFonts w:ascii="Times New Roman" w:eastAsia="宋体" w:hAnsi="Times New Roman" w:cs="Times New Roman"/>
                <w:bCs/>
                <w:color w:val="000000" w:themeColor="text1"/>
                <w:kern w:val="0"/>
                <w:szCs w:val="21"/>
              </w:rPr>
              <w:t>120 mmHg</w:t>
            </w:r>
            <w:r>
              <w:rPr>
                <w:rFonts w:ascii="Times New Roman" w:eastAsia="宋体" w:hAnsi="Times New Roman" w:cs="Times New Roman" w:hint="eastAsia"/>
                <w:bCs/>
                <w:color w:val="000000" w:themeColor="text1"/>
                <w:kern w:val="0"/>
                <w:szCs w:val="21"/>
              </w:rPr>
              <w:t>；</w:t>
            </w:r>
            <w:r>
              <w:rPr>
                <w:rFonts w:ascii="Times New Roman" w:eastAsia="宋体" w:hAnsi="Times New Roman" w:cs="Times New Roman"/>
                <w:bCs/>
                <w:color w:val="000000" w:themeColor="text1"/>
                <w:kern w:val="0"/>
                <w:szCs w:val="21"/>
              </w:rPr>
              <w:t>DBP</w:t>
            </w:r>
            <w:r>
              <w:rPr>
                <w:rFonts w:ascii="Times New Roman" w:eastAsia="宋体" w:hAnsi="Times New Roman" w:cs="Times New Roman" w:hint="eastAsia"/>
                <w:bCs/>
                <w:color w:val="000000" w:themeColor="text1"/>
                <w:kern w:val="0"/>
                <w:szCs w:val="21"/>
              </w:rPr>
              <w:t>＜</w:t>
            </w:r>
            <w:r>
              <w:rPr>
                <w:rFonts w:ascii="Times New Roman" w:eastAsia="宋体" w:hAnsi="Times New Roman" w:cs="Times New Roman"/>
                <w:bCs/>
                <w:color w:val="000000" w:themeColor="text1"/>
                <w:kern w:val="0"/>
                <w:szCs w:val="21"/>
              </w:rPr>
              <w:t>80 mmHg</w:t>
            </w:r>
          </w:p>
        </w:tc>
        <w:tc>
          <w:tcPr>
            <w:tcW w:w="2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jc w:val="left"/>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ACEI</w:t>
            </w:r>
            <w:r>
              <w:rPr>
                <w:rFonts w:ascii="Times New Roman" w:eastAsia="宋体" w:hAnsi="Times New Roman" w:cs="Times New Roman" w:hint="eastAsia"/>
                <w:color w:val="000000" w:themeColor="text1"/>
                <w:kern w:val="0"/>
                <w:szCs w:val="21"/>
              </w:rPr>
              <w:t>或</w:t>
            </w:r>
            <w:r>
              <w:rPr>
                <w:rFonts w:ascii="Times New Roman" w:eastAsia="宋体" w:hAnsi="Times New Roman" w:cs="Times New Roman"/>
                <w:color w:val="000000" w:themeColor="text1"/>
                <w:kern w:val="0"/>
                <w:szCs w:val="21"/>
              </w:rPr>
              <w:t>ARB+CCB</w:t>
            </w:r>
            <w:r>
              <w:rPr>
                <w:rFonts w:ascii="Times New Roman" w:eastAsia="宋体" w:hAnsi="Times New Roman" w:cs="Times New Roman" w:hint="eastAsia"/>
                <w:color w:val="000000" w:themeColor="text1"/>
                <w:kern w:val="0"/>
                <w:szCs w:val="21"/>
              </w:rPr>
              <w:t>或利尿剂</w:t>
            </w:r>
            <w:r>
              <w:rPr>
                <w:rFonts w:ascii="Times New Roman" w:eastAsia="宋体" w:hAnsi="Times New Roman" w:cs="Times New Roman"/>
                <w:color w:val="000000" w:themeColor="text1"/>
                <w:kern w:val="0"/>
                <w:szCs w:val="21"/>
              </w:rPr>
              <w:t>[</w:t>
            </w:r>
            <w:r>
              <w:rPr>
                <w:rFonts w:ascii="Times New Roman" w:eastAsia="宋体" w:hAnsi="Times New Roman" w:cs="Times New Roman" w:hint="eastAsia"/>
                <w:color w:val="000000" w:themeColor="text1"/>
                <w:kern w:val="0"/>
                <w:szCs w:val="21"/>
              </w:rPr>
              <w:t>如</w:t>
            </w:r>
            <w:r>
              <w:rPr>
                <w:rFonts w:ascii="Times New Roman" w:eastAsia="宋体" w:hAnsi="Times New Roman" w:cs="Times New Roman"/>
                <w:color w:val="000000" w:themeColor="text1"/>
                <w:kern w:val="0"/>
                <w:szCs w:val="21"/>
              </w:rPr>
              <w:t xml:space="preserve">eGFR&lt;30 </w:t>
            </w:r>
            <w:r>
              <w:rPr>
                <w:rFonts w:ascii="Times New Roman" w:eastAsia="宋体" w:hAnsi="Times New Roman" w:cs="Times New Roman"/>
                <w:color w:val="000000" w:themeColor="text1"/>
                <w:szCs w:val="21"/>
              </w:rPr>
              <w:t>ml</w:t>
            </w:r>
            <w:r>
              <w:rPr>
                <w:rFonts w:ascii="Times New Roman" w:eastAsia="宋体" w:hAnsi="Times New Roman" w:cs="Times New Roman" w:hint="eastAsia"/>
                <w:color w:val="000000" w:themeColor="text1"/>
                <w:szCs w:val="21"/>
              </w:rPr>
              <w:t>·</w:t>
            </w:r>
            <w:r>
              <w:rPr>
                <w:rFonts w:ascii="Times New Roman" w:eastAsia="宋体" w:hAnsi="Times New Roman" w:cs="Times New Roman"/>
                <w:color w:val="000000" w:themeColor="text1"/>
                <w:szCs w:val="21"/>
              </w:rPr>
              <w:t>min</w:t>
            </w:r>
            <w:r>
              <w:rPr>
                <w:rFonts w:ascii="Times New Roman" w:eastAsia="宋体" w:hAnsi="Times New Roman" w:cs="Times New Roman"/>
                <w:color w:val="000000" w:themeColor="text1"/>
                <w:szCs w:val="21"/>
                <w:vertAlign w:val="superscript"/>
              </w:rPr>
              <w:t>-1</w:t>
            </w:r>
            <w:r>
              <w:rPr>
                <w:rFonts w:ascii="Times New Roman" w:eastAsia="宋体" w:hAnsi="Times New Roman" w:cs="Times New Roman" w:hint="eastAsia"/>
                <w:color w:val="000000" w:themeColor="text1"/>
                <w:szCs w:val="21"/>
              </w:rPr>
              <w:t>·</w:t>
            </w:r>
            <w:r>
              <w:rPr>
                <w:rFonts w:ascii="Times New Roman" w:eastAsia="宋体" w:hAnsi="Times New Roman" w:cs="Times New Roman"/>
                <w:color w:val="000000" w:themeColor="text1"/>
                <w:szCs w:val="21"/>
              </w:rPr>
              <w:t>(1.73 m</w:t>
            </w:r>
            <w:r>
              <w:rPr>
                <w:rFonts w:ascii="Times New Roman" w:eastAsia="宋体" w:hAnsi="Times New Roman" w:cs="Times New Roman"/>
                <w:color w:val="000000" w:themeColor="text1"/>
                <w:szCs w:val="21"/>
                <w:vertAlign w:val="superscript"/>
              </w:rPr>
              <w:t>2</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vertAlign w:val="superscript"/>
              </w:rPr>
              <w:t>-1</w:t>
            </w:r>
            <w:r>
              <w:rPr>
                <w:rFonts w:ascii="Times New Roman" w:eastAsia="宋体" w:hAnsi="Times New Roman" w:cs="Times New Roman"/>
                <w:color w:val="000000" w:themeColor="text1"/>
                <w:kern w:val="0"/>
                <w:szCs w:val="21"/>
              </w:rPr>
              <w:t xml:space="preserve"> </w:t>
            </w:r>
            <w:r>
              <w:rPr>
                <w:rFonts w:ascii="Times New Roman" w:eastAsia="宋体" w:hAnsi="Times New Roman" w:cs="Times New Roman" w:hint="eastAsia"/>
                <w:color w:val="000000" w:themeColor="text1"/>
                <w:kern w:val="0"/>
                <w:szCs w:val="21"/>
              </w:rPr>
              <w:t>，应避免噻嗪类</w:t>
            </w:r>
            <w:r>
              <w:rPr>
                <w:rFonts w:ascii="Times New Roman" w:eastAsia="宋体" w:hAnsi="Times New Roman" w:cs="Times New Roman"/>
                <w:color w:val="000000" w:themeColor="text1"/>
                <w:kern w:val="0"/>
                <w:szCs w:val="21"/>
              </w:rPr>
              <w:t>/</w:t>
            </w:r>
            <w:r>
              <w:rPr>
                <w:rFonts w:ascii="Times New Roman" w:eastAsia="宋体" w:hAnsi="Times New Roman" w:cs="Times New Roman" w:hint="eastAsia"/>
                <w:color w:val="000000" w:themeColor="text1"/>
                <w:kern w:val="0"/>
                <w:szCs w:val="21"/>
              </w:rPr>
              <w:t>噻嗪样利尿剂，可选用袢利尿剂</w:t>
            </w:r>
            <w:r>
              <w:rPr>
                <w:rFonts w:ascii="Times New Roman" w:eastAsia="宋体" w:hAnsi="Times New Roman" w:cs="Times New Roman"/>
                <w:color w:val="000000" w:themeColor="text1"/>
                <w:kern w:val="0"/>
                <w:szCs w:val="21"/>
              </w:rPr>
              <w:t>]</w:t>
            </w:r>
          </w:p>
        </w:tc>
      </w:tr>
      <w:tr w:rsidR="002E5476">
        <w:trPr>
          <w:trHeight w:val="468"/>
        </w:trPr>
        <w:tc>
          <w:tcPr>
            <w:tcW w:w="563" w:type="pct"/>
            <w:vMerge w:val="restart"/>
            <w:tcBorders>
              <w:top w:val="single" w:sz="4" w:space="0" w:color="000000"/>
              <w:left w:val="single" w:sz="4" w:space="0" w:color="000000"/>
              <w:right w:val="single" w:sz="4" w:space="0" w:color="000000"/>
            </w:tcBorders>
            <w:shd w:val="clear" w:color="auto" w:fill="auto"/>
            <w:vAlign w:val="center"/>
          </w:tcPr>
          <w:p w:rsidR="002E5476" w:rsidRDefault="00423E71">
            <w:pPr>
              <w:jc w:val="left"/>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szCs w:val="21"/>
              </w:rPr>
              <w:t>中国高血压防治指南</w:t>
            </w:r>
            <w:r>
              <w:rPr>
                <w:rFonts w:ascii="Times New Roman" w:eastAsia="宋体" w:hAnsi="Times New Roman" w:cs="Times New Roman"/>
                <w:color w:val="000000" w:themeColor="text1"/>
                <w:szCs w:val="21"/>
              </w:rPr>
              <w:t>2018</w:t>
            </w:r>
            <w:r>
              <w:rPr>
                <w:rFonts w:ascii="Times New Roman" w:eastAsia="宋体" w:hAnsi="Times New Roman" w:cs="Times New Roman" w:hint="eastAsia"/>
                <w:color w:val="000000" w:themeColor="text1"/>
                <w:szCs w:val="21"/>
              </w:rPr>
              <w:t>年修订版</w:t>
            </w:r>
            <w:r>
              <w:rPr>
                <w:rFonts w:ascii="Times New Roman" w:eastAsia="宋体" w:hAnsi="Times New Roman" w:cs="Times New Roman"/>
                <w:color w:val="000000" w:themeColor="text1"/>
                <w:szCs w:val="21"/>
                <w:vertAlign w:val="superscript"/>
              </w:rPr>
              <w:t>[12]</w:t>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jc w:val="left"/>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color w:val="000000" w:themeColor="text1"/>
                <w:kern w:val="0"/>
                <w:szCs w:val="21"/>
              </w:rPr>
              <w:t>65</w:t>
            </w:r>
            <w:r>
              <w:rPr>
                <w:rFonts w:ascii="Times New Roman" w:eastAsia="宋体" w:hAnsi="Times New Roman" w:cs="Times New Roman" w:hint="eastAsia"/>
                <w:color w:val="000000" w:themeColor="text1"/>
                <w:kern w:val="0"/>
                <w:szCs w:val="21"/>
              </w:rPr>
              <w:t>岁的一般人群</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jc w:val="left"/>
              <w:textAlignment w:val="center"/>
              <w:rPr>
                <w:rFonts w:ascii="Times New Roman" w:eastAsia="宋体" w:hAnsi="Times New Roman" w:cs="Times New Roman"/>
                <w:bCs/>
                <w:color w:val="000000" w:themeColor="text1"/>
                <w:kern w:val="0"/>
                <w:szCs w:val="21"/>
              </w:rPr>
            </w:pPr>
            <w:r>
              <w:rPr>
                <w:rFonts w:ascii="Times New Roman" w:eastAsia="宋体" w:hAnsi="Times New Roman" w:cs="Times New Roman"/>
                <w:bCs/>
                <w:color w:val="000000" w:themeColor="text1"/>
                <w:kern w:val="0"/>
                <w:szCs w:val="21"/>
              </w:rPr>
              <w:t>&lt;140/90 mmHg</w:t>
            </w:r>
            <w:r>
              <w:rPr>
                <w:rFonts w:ascii="Times New Roman" w:eastAsia="宋体" w:hAnsi="Times New Roman" w:cs="Times New Roman" w:hint="eastAsia"/>
                <w:bCs/>
                <w:color w:val="000000" w:themeColor="text1"/>
                <w:kern w:val="0"/>
                <w:szCs w:val="21"/>
              </w:rPr>
              <w:t>，如耐受可降至</w:t>
            </w:r>
            <w:r>
              <w:rPr>
                <w:rFonts w:ascii="Times New Roman" w:eastAsia="宋体" w:hAnsi="Times New Roman" w:cs="Times New Roman"/>
                <w:bCs/>
                <w:color w:val="000000" w:themeColor="text1"/>
                <w:kern w:val="0"/>
                <w:szCs w:val="21"/>
              </w:rPr>
              <w:t>&lt;130/80 mmHg</w:t>
            </w:r>
          </w:p>
        </w:tc>
        <w:tc>
          <w:tcPr>
            <w:tcW w:w="2438" w:type="pct"/>
            <w:vMerge w:val="restart"/>
            <w:tcBorders>
              <w:top w:val="single" w:sz="4" w:space="0" w:color="000000"/>
              <w:left w:val="single" w:sz="4" w:space="0" w:color="000000"/>
              <w:right w:val="single" w:sz="4" w:space="0" w:color="000000"/>
            </w:tcBorders>
            <w:shd w:val="clear" w:color="auto" w:fill="auto"/>
            <w:vAlign w:val="center"/>
          </w:tcPr>
          <w:p w:rsidR="002E5476" w:rsidRDefault="00423E71">
            <w:pPr>
              <w:widowControl/>
              <w:jc w:val="left"/>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CCB</w:t>
            </w: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color w:val="000000" w:themeColor="text1"/>
                <w:kern w:val="0"/>
                <w:szCs w:val="21"/>
              </w:rPr>
              <w:t>ACEI</w:t>
            </w: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color w:val="000000" w:themeColor="text1"/>
                <w:kern w:val="0"/>
                <w:szCs w:val="21"/>
              </w:rPr>
              <w:t>ARB</w:t>
            </w:r>
            <w:r>
              <w:rPr>
                <w:rFonts w:ascii="Times New Roman" w:eastAsia="宋体" w:hAnsi="Times New Roman" w:cs="Times New Roman" w:hint="eastAsia"/>
                <w:color w:val="000000" w:themeColor="text1"/>
                <w:kern w:val="0"/>
                <w:szCs w:val="21"/>
              </w:rPr>
              <w:t>、利尿剂、β受体阻滞剂以及固定配比的复方制剂；优先使用长效降压药物；对血压≥</w:t>
            </w:r>
            <w:r>
              <w:rPr>
                <w:rFonts w:ascii="Times New Roman" w:eastAsia="宋体" w:hAnsi="Times New Roman" w:cs="Times New Roman"/>
                <w:color w:val="000000" w:themeColor="text1"/>
                <w:kern w:val="0"/>
                <w:szCs w:val="21"/>
              </w:rPr>
              <w:t>160/100 mmHg</w:t>
            </w:r>
            <w:r>
              <w:rPr>
                <w:rFonts w:ascii="Times New Roman" w:eastAsia="宋体" w:hAnsi="Times New Roman" w:cs="Times New Roman" w:hint="eastAsia"/>
                <w:color w:val="000000" w:themeColor="text1"/>
                <w:kern w:val="0"/>
                <w:szCs w:val="21"/>
              </w:rPr>
              <w:t>、高于目标血压</w:t>
            </w:r>
            <w:r>
              <w:rPr>
                <w:rFonts w:ascii="Times New Roman" w:eastAsia="宋体" w:hAnsi="Times New Roman" w:cs="Times New Roman"/>
                <w:color w:val="000000" w:themeColor="text1"/>
                <w:kern w:val="0"/>
                <w:szCs w:val="21"/>
              </w:rPr>
              <w:t>20/10 mmHg</w:t>
            </w:r>
            <w:r>
              <w:rPr>
                <w:rFonts w:ascii="Times New Roman" w:eastAsia="宋体" w:hAnsi="Times New Roman" w:cs="Times New Roman" w:hint="eastAsia"/>
                <w:color w:val="000000" w:themeColor="text1"/>
                <w:kern w:val="0"/>
                <w:szCs w:val="21"/>
              </w:rPr>
              <w:t>的高危患者或单药治疗未达标的患者，进行联合降压治疗，包括自由联合或单片复方制剂；对血压≥</w:t>
            </w:r>
            <w:r>
              <w:rPr>
                <w:rFonts w:ascii="Times New Roman" w:eastAsia="宋体" w:hAnsi="Times New Roman" w:cs="Times New Roman"/>
                <w:color w:val="000000" w:themeColor="text1"/>
                <w:kern w:val="0"/>
                <w:szCs w:val="21"/>
              </w:rPr>
              <w:t>140/90 mmHg</w:t>
            </w:r>
            <w:r>
              <w:rPr>
                <w:rFonts w:ascii="Times New Roman" w:eastAsia="宋体" w:hAnsi="Times New Roman" w:cs="Times New Roman" w:hint="eastAsia"/>
                <w:color w:val="000000" w:themeColor="text1"/>
                <w:kern w:val="0"/>
                <w:szCs w:val="21"/>
              </w:rPr>
              <w:t>的患者，可起始小剂量联合治疗</w:t>
            </w:r>
          </w:p>
        </w:tc>
      </w:tr>
      <w:tr w:rsidR="002E5476">
        <w:trPr>
          <w:trHeight w:val="468"/>
        </w:trPr>
        <w:tc>
          <w:tcPr>
            <w:tcW w:w="563" w:type="pct"/>
            <w:vMerge/>
            <w:tcBorders>
              <w:left w:val="single" w:sz="4" w:space="0" w:color="000000"/>
              <w:right w:val="single" w:sz="4" w:space="0" w:color="000000"/>
            </w:tcBorders>
            <w:shd w:val="clear" w:color="auto" w:fill="auto"/>
            <w:vAlign w:val="center"/>
          </w:tcPr>
          <w:p w:rsidR="002E5476" w:rsidRDefault="002E5476">
            <w:pPr>
              <w:jc w:val="left"/>
              <w:textAlignment w:val="center"/>
              <w:rPr>
                <w:rFonts w:ascii="Times New Roman" w:eastAsia="宋体" w:hAnsi="Times New Roman" w:cs="Times New Roman"/>
                <w:color w:val="000000" w:themeColor="text1"/>
                <w:kern w:val="0"/>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jc w:val="left"/>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65</w:t>
            </w: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color w:val="000000" w:themeColor="text1"/>
                <w:kern w:val="0"/>
                <w:szCs w:val="21"/>
              </w:rPr>
              <w:t>79</w:t>
            </w:r>
            <w:r>
              <w:rPr>
                <w:rFonts w:ascii="Times New Roman" w:eastAsia="宋体" w:hAnsi="Times New Roman" w:cs="Times New Roman" w:hint="eastAsia"/>
                <w:color w:val="000000" w:themeColor="text1"/>
                <w:kern w:val="0"/>
                <w:szCs w:val="21"/>
              </w:rPr>
              <w:t>岁的一般人群</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jc w:val="left"/>
              <w:textAlignment w:val="center"/>
              <w:rPr>
                <w:rFonts w:ascii="Times New Roman" w:eastAsia="宋体" w:hAnsi="Times New Roman" w:cs="Times New Roman"/>
                <w:bCs/>
                <w:color w:val="000000" w:themeColor="text1"/>
                <w:kern w:val="0"/>
                <w:szCs w:val="21"/>
              </w:rPr>
            </w:pPr>
            <w:r>
              <w:rPr>
                <w:rFonts w:ascii="Times New Roman" w:eastAsia="宋体" w:hAnsi="Times New Roman" w:cs="Times New Roman" w:hint="eastAsia"/>
                <w:bCs/>
                <w:color w:val="000000" w:themeColor="text1"/>
                <w:kern w:val="0"/>
                <w:szCs w:val="21"/>
              </w:rPr>
              <w:t>＜</w:t>
            </w:r>
            <w:r>
              <w:rPr>
                <w:rFonts w:ascii="Times New Roman" w:eastAsia="宋体" w:hAnsi="Times New Roman" w:cs="Times New Roman"/>
                <w:bCs/>
                <w:color w:val="000000" w:themeColor="text1"/>
                <w:kern w:val="0"/>
                <w:szCs w:val="21"/>
              </w:rPr>
              <w:t>150/90 mmHg</w:t>
            </w:r>
            <w:r>
              <w:rPr>
                <w:rFonts w:ascii="Times New Roman" w:eastAsia="宋体" w:hAnsi="Times New Roman" w:cs="Times New Roman" w:hint="eastAsia"/>
                <w:bCs/>
                <w:color w:val="000000" w:themeColor="text1"/>
                <w:kern w:val="0"/>
                <w:szCs w:val="21"/>
              </w:rPr>
              <w:t>；如能耐受，可进一步降至＜</w:t>
            </w:r>
            <w:r>
              <w:rPr>
                <w:rFonts w:ascii="Times New Roman" w:eastAsia="宋体" w:hAnsi="Times New Roman" w:cs="Times New Roman"/>
                <w:bCs/>
                <w:color w:val="000000" w:themeColor="text1"/>
                <w:kern w:val="0"/>
                <w:szCs w:val="21"/>
              </w:rPr>
              <w:t>140/90 mmHg</w:t>
            </w:r>
          </w:p>
        </w:tc>
        <w:tc>
          <w:tcPr>
            <w:tcW w:w="2438" w:type="pct"/>
            <w:vMerge/>
            <w:tcBorders>
              <w:left w:val="single" w:sz="4" w:space="0" w:color="000000"/>
              <w:right w:val="single" w:sz="4" w:space="0" w:color="000000"/>
            </w:tcBorders>
            <w:shd w:val="clear" w:color="auto" w:fill="auto"/>
            <w:vAlign w:val="center"/>
          </w:tcPr>
          <w:p w:rsidR="002E5476" w:rsidRDefault="002E5476">
            <w:pPr>
              <w:widowControl/>
              <w:jc w:val="left"/>
              <w:textAlignment w:val="center"/>
              <w:rPr>
                <w:rFonts w:ascii="Times New Roman" w:eastAsia="宋体" w:hAnsi="Times New Roman" w:cs="Times New Roman"/>
                <w:color w:val="000000" w:themeColor="text1"/>
                <w:kern w:val="0"/>
                <w:szCs w:val="21"/>
              </w:rPr>
            </w:pPr>
          </w:p>
        </w:tc>
      </w:tr>
      <w:tr w:rsidR="002E5476">
        <w:trPr>
          <w:trHeight w:val="468"/>
        </w:trPr>
        <w:tc>
          <w:tcPr>
            <w:tcW w:w="563" w:type="pct"/>
            <w:vMerge/>
            <w:tcBorders>
              <w:left w:val="single" w:sz="4" w:space="0" w:color="000000"/>
              <w:right w:val="single" w:sz="4" w:space="0" w:color="000000"/>
            </w:tcBorders>
            <w:shd w:val="clear" w:color="auto" w:fill="auto"/>
            <w:vAlign w:val="center"/>
          </w:tcPr>
          <w:p w:rsidR="002E5476" w:rsidRDefault="002E5476">
            <w:pPr>
              <w:jc w:val="left"/>
              <w:textAlignment w:val="center"/>
              <w:rPr>
                <w:rFonts w:ascii="Times New Roman" w:eastAsia="宋体" w:hAnsi="Times New Roman" w:cs="Times New Roman"/>
                <w:color w:val="000000" w:themeColor="text1"/>
                <w:kern w:val="0"/>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jc w:val="left"/>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color w:val="000000" w:themeColor="text1"/>
                <w:kern w:val="0"/>
                <w:szCs w:val="21"/>
              </w:rPr>
              <w:t>80</w:t>
            </w:r>
            <w:r>
              <w:rPr>
                <w:rFonts w:ascii="Times New Roman" w:eastAsia="宋体" w:hAnsi="Times New Roman" w:cs="Times New Roman" w:hint="eastAsia"/>
                <w:color w:val="000000" w:themeColor="text1"/>
                <w:kern w:val="0"/>
                <w:szCs w:val="21"/>
              </w:rPr>
              <w:t>岁的一般人群</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jc w:val="left"/>
              <w:textAlignment w:val="center"/>
              <w:rPr>
                <w:rFonts w:ascii="Times New Roman" w:eastAsia="宋体" w:hAnsi="Times New Roman" w:cs="Times New Roman"/>
                <w:bCs/>
                <w:color w:val="000000" w:themeColor="text1"/>
                <w:kern w:val="0"/>
                <w:szCs w:val="21"/>
              </w:rPr>
            </w:pPr>
            <w:r>
              <w:rPr>
                <w:rFonts w:ascii="Times New Roman" w:eastAsia="宋体" w:hAnsi="Times New Roman" w:cs="Times New Roman" w:hint="eastAsia"/>
                <w:bCs/>
                <w:color w:val="000000" w:themeColor="text1"/>
                <w:kern w:val="0"/>
                <w:szCs w:val="21"/>
              </w:rPr>
              <w:t>＜</w:t>
            </w:r>
            <w:r>
              <w:rPr>
                <w:rFonts w:ascii="Times New Roman" w:eastAsia="宋体" w:hAnsi="Times New Roman" w:cs="Times New Roman"/>
                <w:bCs/>
                <w:color w:val="000000" w:themeColor="text1"/>
                <w:kern w:val="0"/>
                <w:szCs w:val="21"/>
              </w:rPr>
              <w:t>150/90 mmHg</w:t>
            </w:r>
          </w:p>
        </w:tc>
        <w:tc>
          <w:tcPr>
            <w:tcW w:w="2438" w:type="pct"/>
            <w:vMerge/>
            <w:tcBorders>
              <w:left w:val="single" w:sz="4" w:space="0" w:color="000000"/>
              <w:bottom w:val="single" w:sz="4" w:space="0" w:color="000000"/>
              <w:right w:val="single" w:sz="4" w:space="0" w:color="000000"/>
            </w:tcBorders>
            <w:shd w:val="clear" w:color="auto" w:fill="auto"/>
            <w:vAlign w:val="center"/>
          </w:tcPr>
          <w:p w:rsidR="002E5476" w:rsidRDefault="002E5476">
            <w:pPr>
              <w:widowControl/>
              <w:jc w:val="left"/>
              <w:textAlignment w:val="center"/>
              <w:rPr>
                <w:rFonts w:ascii="Times New Roman" w:eastAsia="宋体" w:hAnsi="Times New Roman" w:cs="Times New Roman"/>
                <w:color w:val="000000" w:themeColor="text1"/>
                <w:kern w:val="0"/>
                <w:szCs w:val="21"/>
              </w:rPr>
            </w:pPr>
          </w:p>
        </w:tc>
      </w:tr>
      <w:tr w:rsidR="002E5476">
        <w:trPr>
          <w:trHeight w:val="468"/>
        </w:trPr>
        <w:tc>
          <w:tcPr>
            <w:tcW w:w="563" w:type="pct"/>
            <w:vMerge/>
            <w:tcBorders>
              <w:left w:val="single" w:sz="4" w:space="0" w:color="000000"/>
              <w:right w:val="single" w:sz="4" w:space="0" w:color="000000"/>
            </w:tcBorders>
            <w:shd w:val="clear" w:color="auto" w:fill="auto"/>
            <w:vAlign w:val="center"/>
          </w:tcPr>
          <w:p w:rsidR="002E5476" w:rsidRDefault="002E5476">
            <w:pPr>
              <w:widowControl/>
              <w:jc w:val="left"/>
              <w:textAlignment w:val="center"/>
              <w:rPr>
                <w:rFonts w:ascii="Times New Roman" w:eastAsia="宋体" w:hAnsi="Times New Roman" w:cs="Times New Roman"/>
                <w:color w:val="000000" w:themeColor="text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jc w:val="left"/>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糖尿病</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jc w:val="left"/>
              <w:textAlignment w:val="center"/>
              <w:rPr>
                <w:rFonts w:ascii="Times New Roman" w:eastAsia="宋体" w:hAnsi="Times New Roman" w:cs="Times New Roman"/>
                <w:bCs/>
                <w:color w:val="000000" w:themeColor="text1"/>
                <w:kern w:val="0"/>
                <w:szCs w:val="21"/>
              </w:rPr>
            </w:pPr>
            <w:r>
              <w:rPr>
                <w:rFonts w:ascii="Times New Roman" w:eastAsia="宋体" w:hAnsi="Times New Roman" w:cs="Times New Roman"/>
                <w:bCs/>
                <w:color w:val="000000" w:themeColor="text1"/>
                <w:kern w:val="0"/>
                <w:szCs w:val="21"/>
              </w:rPr>
              <w:t>&lt;130/80 mmHg</w:t>
            </w:r>
          </w:p>
        </w:tc>
        <w:tc>
          <w:tcPr>
            <w:tcW w:w="2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jc w:val="left"/>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ACEI</w:t>
            </w:r>
            <w:r>
              <w:rPr>
                <w:rFonts w:ascii="Times New Roman" w:eastAsia="宋体" w:hAnsi="Times New Roman" w:cs="Times New Roman" w:hint="eastAsia"/>
                <w:color w:val="000000" w:themeColor="text1"/>
                <w:kern w:val="0"/>
                <w:szCs w:val="21"/>
              </w:rPr>
              <w:t>或</w:t>
            </w:r>
            <w:r>
              <w:rPr>
                <w:rFonts w:ascii="Times New Roman" w:eastAsia="宋体" w:hAnsi="Times New Roman" w:cs="Times New Roman"/>
                <w:color w:val="000000" w:themeColor="text1"/>
                <w:kern w:val="0"/>
                <w:szCs w:val="21"/>
              </w:rPr>
              <w:t>ARB</w:t>
            </w:r>
          </w:p>
        </w:tc>
      </w:tr>
      <w:tr w:rsidR="002E5476">
        <w:trPr>
          <w:trHeight w:val="468"/>
        </w:trPr>
        <w:tc>
          <w:tcPr>
            <w:tcW w:w="563" w:type="pct"/>
            <w:vMerge/>
            <w:tcBorders>
              <w:left w:val="single" w:sz="4" w:space="0" w:color="000000"/>
              <w:right w:val="single" w:sz="4" w:space="0" w:color="000000"/>
            </w:tcBorders>
            <w:shd w:val="clear" w:color="auto" w:fill="auto"/>
            <w:vAlign w:val="center"/>
          </w:tcPr>
          <w:p w:rsidR="002E5476" w:rsidRDefault="002E5476">
            <w:pPr>
              <w:widowControl/>
              <w:jc w:val="left"/>
              <w:textAlignment w:val="center"/>
              <w:rPr>
                <w:rFonts w:ascii="Times New Roman" w:eastAsia="宋体" w:hAnsi="Times New Roman" w:cs="Times New Roman"/>
                <w:color w:val="000000" w:themeColor="text1"/>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jc w:val="left"/>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CKD</w:t>
            </w:r>
            <w:r>
              <w:rPr>
                <w:rFonts w:ascii="Times New Roman" w:eastAsia="宋体" w:hAnsi="Times New Roman" w:cs="Times New Roman" w:hint="eastAsia"/>
                <w:color w:val="000000" w:themeColor="text1"/>
                <w:kern w:val="0"/>
                <w:szCs w:val="21"/>
              </w:rPr>
              <w:t>（白蛋白尿小于</w:t>
            </w:r>
            <w:r>
              <w:rPr>
                <w:rFonts w:ascii="Times New Roman" w:eastAsia="宋体" w:hAnsi="Times New Roman" w:cs="Times New Roman"/>
                <w:color w:val="000000" w:themeColor="text1"/>
                <w:kern w:val="0"/>
                <w:szCs w:val="21"/>
              </w:rPr>
              <w:t>30mg/d</w:t>
            </w:r>
            <w:r>
              <w:rPr>
                <w:rFonts w:ascii="Times New Roman" w:eastAsia="宋体" w:hAnsi="Times New Roman" w:cs="Times New Roman" w:hint="eastAsia"/>
                <w:color w:val="000000" w:themeColor="text1"/>
                <w:kern w:val="0"/>
                <w:szCs w:val="21"/>
              </w:rPr>
              <w:t>）</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jc w:val="left"/>
              <w:textAlignment w:val="center"/>
              <w:rPr>
                <w:rFonts w:ascii="Times New Roman" w:eastAsia="宋体" w:hAnsi="Times New Roman" w:cs="Times New Roman"/>
                <w:bCs/>
                <w:color w:val="000000" w:themeColor="text1"/>
                <w:szCs w:val="21"/>
              </w:rPr>
            </w:pPr>
            <w:r>
              <w:rPr>
                <w:rFonts w:ascii="Times New Roman" w:eastAsia="宋体" w:hAnsi="Times New Roman" w:cs="Times New Roman"/>
                <w:bCs/>
                <w:color w:val="000000" w:themeColor="text1"/>
                <w:kern w:val="0"/>
                <w:szCs w:val="21"/>
              </w:rPr>
              <w:t>&lt;140/90 mmHg</w:t>
            </w:r>
          </w:p>
        </w:tc>
        <w:tc>
          <w:tcPr>
            <w:tcW w:w="2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jc w:val="left"/>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ACEI</w:t>
            </w:r>
            <w:r>
              <w:rPr>
                <w:rFonts w:ascii="Times New Roman" w:eastAsia="宋体" w:hAnsi="Times New Roman" w:cs="Times New Roman" w:hint="eastAsia"/>
                <w:color w:val="000000" w:themeColor="text1"/>
                <w:kern w:val="0"/>
                <w:szCs w:val="21"/>
              </w:rPr>
              <w:t>或</w:t>
            </w:r>
            <w:r>
              <w:rPr>
                <w:rFonts w:ascii="Times New Roman" w:eastAsia="宋体" w:hAnsi="Times New Roman" w:cs="Times New Roman"/>
                <w:color w:val="000000" w:themeColor="text1"/>
                <w:kern w:val="0"/>
                <w:szCs w:val="21"/>
              </w:rPr>
              <w:t>ARB</w:t>
            </w:r>
          </w:p>
        </w:tc>
      </w:tr>
      <w:tr w:rsidR="002E5476">
        <w:trPr>
          <w:trHeight w:val="468"/>
        </w:trPr>
        <w:tc>
          <w:tcPr>
            <w:tcW w:w="563" w:type="pct"/>
            <w:vMerge/>
            <w:tcBorders>
              <w:left w:val="single" w:sz="4" w:space="0" w:color="000000"/>
              <w:bottom w:val="single" w:sz="4" w:space="0" w:color="auto"/>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1210" w:type="pct"/>
            <w:tcBorders>
              <w:top w:val="single" w:sz="4" w:space="0" w:color="000000"/>
              <w:left w:val="single" w:sz="4" w:space="0" w:color="000000"/>
              <w:bottom w:val="single" w:sz="4" w:space="0" w:color="auto"/>
              <w:right w:val="single" w:sz="4" w:space="0" w:color="000000"/>
            </w:tcBorders>
            <w:shd w:val="clear" w:color="auto" w:fill="auto"/>
            <w:vAlign w:val="center"/>
          </w:tcPr>
          <w:p w:rsidR="002E5476" w:rsidRDefault="00423E71">
            <w:pPr>
              <w:widowControl/>
              <w:jc w:val="left"/>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CKD</w:t>
            </w:r>
            <w:r>
              <w:rPr>
                <w:rFonts w:ascii="Times New Roman" w:eastAsia="宋体" w:hAnsi="Times New Roman" w:cs="Times New Roman" w:hint="eastAsia"/>
                <w:color w:val="000000" w:themeColor="text1"/>
                <w:kern w:val="0"/>
                <w:szCs w:val="21"/>
              </w:rPr>
              <w:t>（白蛋白尿</w:t>
            </w:r>
            <w:r>
              <w:rPr>
                <w:rFonts w:ascii="Times New Roman" w:eastAsia="宋体" w:hAnsi="Times New Roman" w:cs="Times New Roman"/>
                <w:color w:val="000000" w:themeColor="text1"/>
                <w:kern w:val="0"/>
                <w:szCs w:val="21"/>
              </w:rPr>
              <w:t>30-300mg/d</w:t>
            </w:r>
            <w:r>
              <w:rPr>
                <w:rFonts w:ascii="Times New Roman" w:eastAsia="宋体" w:hAnsi="Times New Roman" w:cs="Times New Roman" w:hint="eastAsia"/>
                <w:color w:val="000000" w:themeColor="text1"/>
                <w:kern w:val="0"/>
                <w:szCs w:val="21"/>
              </w:rPr>
              <w:t>）</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jc w:val="left"/>
              <w:textAlignment w:val="center"/>
              <w:rPr>
                <w:rFonts w:ascii="Times New Roman" w:eastAsia="宋体" w:hAnsi="Times New Roman" w:cs="Times New Roman"/>
                <w:bCs/>
                <w:color w:val="000000" w:themeColor="text1"/>
                <w:szCs w:val="21"/>
              </w:rPr>
            </w:pPr>
            <w:r>
              <w:rPr>
                <w:rFonts w:ascii="Times New Roman" w:eastAsia="宋体" w:hAnsi="Times New Roman" w:cs="Times New Roman"/>
                <w:bCs/>
                <w:color w:val="000000" w:themeColor="text1"/>
                <w:kern w:val="0"/>
                <w:szCs w:val="21"/>
              </w:rPr>
              <w:t>&lt;130/80 mmHg</w:t>
            </w:r>
          </w:p>
        </w:tc>
        <w:tc>
          <w:tcPr>
            <w:tcW w:w="2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ACEI</w:t>
            </w:r>
            <w:r>
              <w:rPr>
                <w:rFonts w:ascii="Times New Roman" w:eastAsia="宋体" w:hAnsi="Times New Roman" w:cs="Times New Roman" w:hint="eastAsia"/>
                <w:color w:val="000000" w:themeColor="text1"/>
                <w:kern w:val="0"/>
                <w:szCs w:val="21"/>
              </w:rPr>
              <w:t>或</w:t>
            </w:r>
            <w:r>
              <w:rPr>
                <w:rFonts w:ascii="Times New Roman" w:eastAsia="宋体" w:hAnsi="Times New Roman" w:cs="Times New Roman"/>
                <w:color w:val="000000" w:themeColor="text1"/>
                <w:kern w:val="0"/>
                <w:szCs w:val="21"/>
              </w:rPr>
              <w:t>ARB</w:t>
            </w:r>
          </w:p>
        </w:tc>
      </w:tr>
      <w:tr w:rsidR="002E5476">
        <w:trPr>
          <w:trHeight w:val="468"/>
        </w:trPr>
        <w:tc>
          <w:tcPr>
            <w:tcW w:w="563"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E5476" w:rsidRDefault="00423E71">
            <w:pPr>
              <w:widowControl/>
              <w:jc w:val="left"/>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szCs w:val="21"/>
              </w:rPr>
              <w:t>2019</w:t>
            </w:r>
            <w:r>
              <w:rPr>
                <w:rFonts w:ascii="Times New Roman" w:eastAsia="宋体" w:hAnsi="Times New Roman" w:cs="Times New Roman" w:hint="eastAsia"/>
                <w:color w:val="000000" w:themeColor="text1"/>
                <w:szCs w:val="21"/>
              </w:rPr>
              <w:t>年日本高血压学会</w:t>
            </w: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color w:val="000000" w:themeColor="text1"/>
                <w:kern w:val="0"/>
                <w:szCs w:val="21"/>
              </w:rPr>
              <w:t>JSH</w:t>
            </w:r>
            <w:r>
              <w:rPr>
                <w:rFonts w:ascii="Times New Roman" w:eastAsia="宋体" w:hAnsi="Times New Roman" w:cs="Times New Roman" w:hint="eastAsia"/>
                <w:color w:val="000000" w:themeColor="text1"/>
                <w:kern w:val="0"/>
                <w:szCs w:val="21"/>
              </w:rPr>
              <w:t>）指南</w:t>
            </w:r>
            <w:r w:rsidR="00B411DC">
              <w:rPr>
                <w:rFonts w:ascii="Times New Roman" w:eastAsia="宋体" w:hAnsi="Times New Roman" w:cs="Times New Roman" w:hint="eastAsia"/>
                <w:color w:val="000000" w:themeColor="text1"/>
                <w:szCs w:val="21"/>
              </w:rPr>
              <w:fldChar w:fldCharType="begin"/>
            </w:r>
            <w:r>
              <w:rPr>
                <w:rFonts w:ascii="Times New Roman" w:eastAsia="宋体" w:hAnsi="Times New Roman" w:cs="Times New Roman"/>
                <w:color w:val="000000" w:themeColor="text1"/>
                <w:szCs w:val="21"/>
              </w:rPr>
              <w:instrText xml:space="preserve"> ADDIN NE.Ref.{473D997E-4F2D-4644-BAF5-6D47198975AA}</w:instrText>
            </w:r>
            <w:r w:rsidR="00B411DC">
              <w:rPr>
                <w:rFonts w:ascii="Times New Roman" w:eastAsia="宋体" w:hAnsi="Times New Roman" w:cs="Times New Roman" w:hint="eastAsia"/>
                <w:color w:val="000000" w:themeColor="text1"/>
                <w:szCs w:val="21"/>
              </w:rPr>
              <w:fldChar w:fldCharType="separate"/>
            </w:r>
            <w:r>
              <w:rPr>
                <w:rFonts w:ascii="Times New Roman" w:eastAsia="宋体" w:hAnsi="Times New Roman" w:cs="Times New Roman"/>
                <w:color w:val="000000" w:themeColor="text1"/>
                <w:kern w:val="0"/>
                <w:szCs w:val="21"/>
                <w:vertAlign w:val="superscript"/>
              </w:rPr>
              <w:t>[14]</w:t>
            </w:r>
            <w:r w:rsidR="00B411DC">
              <w:rPr>
                <w:rFonts w:ascii="Times New Roman" w:eastAsia="宋体" w:hAnsi="Times New Roman" w:cs="Times New Roman" w:hint="eastAsia"/>
                <w:color w:val="000000" w:themeColor="text1"/>
                <w:szCs w:val="21"/>
              </w:rPr>
              <w:fldChar w:fldCharType="end"/>
            </w:r>
          </w:p>
        </w:tc>
        <w:tc>
          <w:tcPr>
            <w:tcW w:w="1210" w:type="pct"/>
            <w:tcBorders>
              <w:top w:val="single" w:sz="4" w:space="0" w:color="auto"/>
              <w:left w:val="single" w:sz="4" w:space="0" w:color="auto"/>
              <w:bottom w:val="single" w:sz="4" w:space="0" w:color="auto"/>
              <w:right w:val="single" w:sz="4" w:space="0" w:color="auto"/>
            </w:tcBorders>
            <w:shd w:val="clear" w:color="auto" w:fill="auto"/>
            <w:vAlign w:val="center"/>
          </w:tcPr>
          <w:p w:rsidR="002E5476" w:rsidRDefault="00423E71">
            <w:pPr>
              <w:widowControl/>
              <w:jc w:val="left"/>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color w:val="000000" w:themeColor="text1"/>
                <w:kern w:val="0"/>
                <w:szCs w:val="21"/>
              </w:rPr>
              <w:t>75</w:t>
            </w:r>
            <w:r>
              <w:rPr>
                <w:rFonts w:ascii="Times New Roman" w:eastAsia="宋体" w:hAnsi="Times New Roman" w:cs="Times New Roman" w:hint="eastAsia"/>
                <w:color w:val="000000" w:themeColor="text1"/>
                <w:kern w:val="0"/>
                <w:szCs w:val="21"/>
              </w:rPr>
              <w:t>岁</w:t>
            </w:r>
          </w:p>
        </w:tc>
        <w:tc>
          <w:tcPr>
            <w:tcW w:w="790" w:type="pct"/>
            <w:tcBorders>
              <w:top w:val="single" w:sz="4" w:space="0" w:color="000000"/>
              <w:left w:val="single" w:sz="4" w:space="0" w:color="auto"/>
              <w:bottom w:val="single" w:sz="4" w:space="0" w:color="000000"/>
              <w:right w:val="single" w:sz="4" w:space="0" w:color="000000"/>
            </w:tcBorders>
            <w:shd w:val="clear" w:color="auto" w:fill="auto"/>
            <w:vAlign w:val="center"/>
          </w:tcPr>
          <w:p w:rsidR="002E5476" w:rsidRDefault="00423E71">
            <w:pPr>
              <w:widowControl/>
              <w:jc w:val="left"/>
              <w:textAlignment w:val="center"/>
              <w:rPr>
                <w:rFonts w:ascii="Times New Roman" w:eastAsia="宋体" w:hAnsi="Times New Roman" w:cs="Times New Roman"/>
                <w:bCs/>
                <w:color w:val="000000" w:themeColor="text1"/>
                <w:kern w:val="0"/>
                <w:szCs w:val="21"/>
              </w:rPr>
            </w:pPr>
            <w:r>
              <w:rPr>
                <w:rFonts w:ascii="Times New Roman" w:eastAsia="宋体" w:hAnsi="Times New Roman" w:cs="Times New Roman"/>
                <w:bCs/>
                <w:color w:val="000000" w:themeColor="text1"/>
                <w:kern w:val="0"/>
                <w:szCs w:val="21"/>
              </w:rPr>
              <w:t>&lt;130/80 mmHg</w:t>
            </w:r>
          </w:p>
        </w:tc>
        <w:tc>
          <w:tcPr>
            <w:tcW w:w="2438" w:type="pct"/>
            <w:vMerge w:val="restart"/>
            <w:tcBorders>
              <w:top w:val="single" w:sz="4" w:space="0" w:color="000000"/>
              <w:left w:val="single" w:sz="4" w:space="0" w:color="000000"/>
              <w:right w:val="single" w:sz="4" w:space="0" w:color="000000"/>
            </w:tcBorders>
            <w:shd w:val="clear" w:color="auto" w:fill="auto"/>
            <w:vAlign w:val="center"/>
          </w:tcPr>
          <w:p w:rsidR="002E5476" w:rsidRDefault="00423E71">
            <w:pPr>
              <w:widowControl/>
              <w:jc w:val="left"/>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利尿剂、</w:t>
            </w:r>
            <w:r>
              <w:rPr>
                <w:rFonts w:ascii="Times New Roman" w:eastAsia="宋体" w:hAnsi="Times New Roman" w:cs="Times New Roman"/>
                <w:color w:val="000000" w:themeColor="text1"/>
                <w:kern w:val="0"/>
                <w:szCs w:val="21"/>
              </w:rPr>
              <w:t>CCB</w:t>
            </w: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color w:val="000000" w:themeColor="text1"/>
                <w:kern w:val="0"/>
                <w:szCs w:val="21"/>
              </w:rPr>
              <w:t>ACEI</w:t>
            </w:r>
            <w:r>
              <w:rPr>
                <w:rFonts w:ascii="Times New Roman" w:eastAsia="宋体" w:hAnsi="Times New Roman" w:cs="Times New Roman" w:hint="eastAsia"/>
                <w:color w:val="000000" w:themeColor="text1"/>
                <w:kern w:val="0"/>
                <w:szCs w:val="21"/>
              </w:rPr>
              <w:t>和</w:t>
            </w:r>
            <w:r>
              <w:rPr>
                <w:rFonts w:ascii="Times New Roman" w:eastAsia="宋体" w:hAnsi="Times New Roman" w:cs="Times New Roman"/>
                <w:color w:val="000000" w:themeColor="text1"/>
                <w:kern w:val="0"/>
                <w:szCs w:val="21"/>
              </w:rPr>
              <w:t>ARB</w:t>
            </w:r>
          </w:p>
        </w:tc>
      </w:tr>
      <w:tr w:rsidR="002E5476">
        <w:trPr>
          <w:trHeight w:val="468"/>
        </w:trPr>
        <w:tc>
          <w:tcPr>
            <w:tcW w:w="563" w:type="pct"/>
            <w:vMerge/>
            <w:tcBorders>
              <w:top w:val="single" w:sz="4" w:space="0" w:color="auto"/>
              <w:left w:val="single" w:sz="4" w:space="0" w:color="auto"/>
              <w:bottom w:val="single" w:sz="4" w:space="0" w:color="auto"/>
              <w:right w:val="single" w:sz="4" w:space="0" w:color="auto"/>
            </w:tcBorders>
            <w:shd w:val="clear" w:color="auto" w:fill="auto"/>
            <w:vAlign w:val="center"/>
          </w:tcPr>
          <w:p w:rsidR="002E5476" w:rsidRDefault="002E5476">
            <w:pPr>
              <w:widowControl/>
              <w:jc w:val="left"/>
              <w:textAlignment w:val="center"/>
              <w:rPr>
                <w:rFonts w:ascii="Times New Roman" w:eastAsia="宋体" w:hAnsi="Times New Roman" w:cs="Times New Roman"/>
                <w:color w:val="000000" w:themeColor="text1"/>
                <w:kern w:val="0"/>
                <w:szCs w:val="21"/>
              </w:rPr>
            </w:pPr>
          </w:p>
        </w:tc>
        <w:tc>
          <w:tcPr>
            <w:tcW w:w="1210" w:type="pct"/>
            <w:tcBorders>
              <w:top w:val="single" w:sz="4" w:space="0" w:color="auto"/>
              <w:left w:val="single" w:sz="4" w:space="0" w:color="auto"/>
              <w:bottom w:val="single" w:sz="4" w:space="0" w:color="auto"/>
              <w:right w:val="single" w:sz="4" w:space="0" w:color="auto"/>
            </w:tcBorders>
            <w:shd w:val="clear" w:color="auto" w:fill="auto"/>
            <w:vAlign w:val="center"/>
          </w:tcPr>
          <w:p w:rsidR="002E5476" w:rsidRDefault="00423E71">
            <w:pPr>
              <w:widowControl/>
              <w:jc w:val="left"/>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color w:val="000000" w:themeColor="text1"/>
                <w:kern w:val="0"/>
                <w:szCs w:val="21"/>
              </w:rPr>
              <w:t>75</w:t>
            </w:r>
            <w:r>
              <w:rPr>
                <w:rFonts w:ascii="Times New Roman" w:eastAsia="宋体" w:hAnsi="Times New Roman" w:cs="Times New Roman" w:hint="eastAsia"/>
                <w:color w:val="000000" w:themeColor="text1"/>
                <w:kern w:val="0"/>
                <w:szCs w:val="21"/>
              </w:rPr>
              <w:t>岁</w:t>
            </w:r>
          </w:p>
        </w:tc>
        <w:tc>
          <w:tcPr>
            <w:tcW w:w="790" w:type="pct"/>
            <w:tcBorders>
              <w:top w:val="single" w:sz="4" w:space="0" w:color="000000"/>
              <w:left w:val="single" w:sz="4" w:space="0" w:color="auto"/>
              <w:bottom w:val="single" w:sz="4" w:space="0" w:color="000000"/>
              <w:right w:val="single" w:sz="4" w:space="0" w:color="000000"/>
            </w:tcBorders>
            <w:shd w:val="clear" w:color="auto" w:fill="auto"/>
            <w:vAlign w:val="center"/>
          </w:tcPr>
          <w:p w:rsidR="002E5476" w:rsidRDefault="00423E71">
            <w:pPr>
              <w:widowControl/>
              <w:jc w:val="left"/>
              <w:textAlignment w:val="center"/>
              <w:rPr>
                <w:rFonts w:ascii="Times New Roman" w:eastAsia="宋体" w:hAnsi="Times New Roman" w:cs="Times New Roman"/>
                <w:bCs/>
                <w:color w:val="000000" w:themeColor="text1"/>
                <w:kern w:val="0"/>
                <w:szCs w:val="21"/>
              </w:rPr>
            </w:pPr>
            <w:r>
              <w:rPr>
                <w:rFonts w:ascii="Times New Roman" w:eastAsia="宋体" w:hAnsi="Times New Roman" w:cs="Times New Roman"/>
                <w:bCs/>
                <w:color w:val="000000" w:themeColor="text1"/>
                <w:kern w:val="0"/>
                <w:szCs w:val="21"/>
              </w:rPr>
              <w:t>&lt;140/90 mmHg</w:t>
            </w:r>
          </w:p>
        </w:tc>
        <w:tc>
          <w:tcPr>
            <w:tcW w:w="2438" w:type="pct"/>
            <w:vMerge/>
            <w:tcBorders>
              <w:left w:val="single" w:sz="4" w:space="0" w:color="000000"/>
              <w:bottom w:val="single" w:sz="4" w:space="0" w:color="000000"/>
              <w:right w:val="single" w:sz="4" w:space="0" w:color="000000"/>
            </w:tcBorders>
            <w:shd w:val="clear" w:color="auto" w:fill="auto"/>
            <w:vAlign w:val="center"/>
          </w:tcPr>
          <w:p w:rsidR="002E5476" w:rsidRDefault="002E5476">
            <w:pPr>
              <w:widowControl/>
              <w:jc w:val="left"/>
              <w:textAlignment w:val="center"/>
              <w:rPr>
                <w:rFonts w:ascii="Times New Roman" w:eastAsia="宋体" w:hAnsi="Times New Roman" w:cs="Times New Roman"/>
                <w:color w:val="000000" w:themeColor="text1"/>
                <w:kern w:val="0"/>
                <w:szCs w:val="21"/>
              </w:rPr>
            </w:pPr>
          </w:p>
        </w:tc>
      </w:tr>
      <w:tr w:rsidR="002E5476">
        <w:trPr>
          <w:trHeight w:val="468"/>
        </w:trPr>
        <w:tc>
          <w:tcPr>
            <w:tcW w:w="563" w:type="pct"/>
            <w:vMerge/>
            <w:tcBorders>
              <w:top w:val="single" w:sz="4" w:space="0" w:color="auto"/>
              <w:left w:val="single" w:sz="4" w:space="0" w:color="000000"/>
              <w:right w:val="single" w:sz="4" w:space="0" w:color="000000"/>
            </w:tcBorders>
            <w:shd w:val="clear" w:color="auto" w:fill="auto"/>
            <w:vAlign w:val="center"/>
          </w:tcPr>
          <w:p w:rsidR="002E5476" w:rsidRDefault="002E5476">
            <w:pPr>
              <w:widowControl/>
              <w:jc w:val="left"/>
              <w:textAlignment w:val="center"/>
              <w:rPr>
                <w:rFonts w:ascii="Times New Roman" w:eastAsia="宋体" w:hAnsi="Times New Roman" w:cs="Times New Roman"/>
                <w:color w:val="000000" w:themeColor="text1"/>
                <w:kern w:val="0"/>
                <w:szCs w:val="21"/>
              </w:rPr>
            </w:pPr>
          </w:p>
        </w:tc>
        <w:tc>
          <w:tcPr>
            <w:tcW w:w="1210" w:type="pct"/>
            <w:tcBorders>
              <w:top w:val="single" w:sz="4" w:space="0" w:color="auto"/>
              <w:left w:val="single" w:sz="4" w:space="0" w:color="000000"/>
              <w:bottom w:val="single" w:sz="4" w:space="0" w:color="000000"/>
              <w:right w:val="single" w:sz="4" w:space="0" w:color="000000"/>
            </w:tcBorders>
            <w:shd w:val="clear" w:color="auto" w:fill="auto"/>
            <w:vAlign w:val="center"/>
          </w:tcPr>
          <w:p w:rsidR="002E5476" w:rsidRDefault="00423E71">
            <w:pPr>
              <w:widowControl/>
              <w:jc w:val="left"/>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糖尿病</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jc w:val="left"/>
              <w:textAlignment w:val="center"/>
              <w:rPr>
                <w:rFonts w:ascii="Times New Roman" w:eastAsia="宋体" w:hAnsi="Times New Roman" w:cs="Times New Roman"/>
                <w:bCs/>
                <w:color w:val="000000" w:themeColor="text1"/>
                <w:kern w:val="0"/>
                <w:szCs w:val="21"/>
              </w:rPr>
            </w:pPr>
            <w:r>
              <w:rPr>
                <w:rFonts w:ascii="Times New Roman" w:eastAsia="宋体" w:hAnsi="Times New Roman" w:cs="Times New Roman"/>
                <w:bCs/>
                <w:color w:val="000000" w:themeColor="text1"/>
                <w:kern w:val="0"/>
                <w:szCs w:val="21"/>
              </w:rPr>
              <w:t>&lt;130/80 mmHg</w:t>
            </w:r>
          </w:p>
        </w:tc>
        <w:tc>
          <w:tcPr>
            <w:tcW w:w="2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jc w:val="left"/>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ACEI</w:t>
            </w:r>
            <w:r>
              <w:rPr>
                <w:rFonts w:ascii="Times New Roman" w:eastAsia="宋体" w:hAnsi="Times New Roman" w:cs="Times New Roman" w:hint="eastAsia"/>
                <w:color w:val="000000" w:themeColor="text1"/>
                <w:kern w:val="0"/>
                <w:szCs w:val="21"/>
              </w:rPr>
              <w:t>或</w:t>
            </w:r>
            <w:r>
              <w:rPr>
                <w:rFonts w:ascii="Times New Roman" w:eastAsia="宋体" w:hAnsi="Times New Roman" w:cs="Times New Roman"/>
                <w:color w:val="000000" w:themeColor="text1"/>
                <w:kern w:val="0"/>
                <w:szCs w:val="21"/>
              </w:rPr>
              <w:t>ARB</w:t>
            </w: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color w:val="000000" w:themeColor="text1"/>
                <w:kern w:val="0"/>
                <w:szCs w:val="21"/>
              </w:rPr>
              <w:t>CCB</w:t>
            </w:r>
            <w:r>
              <w:rPr>
                <w:rFonts w:ascii="Times New Roman" w:eastAsia="宋体" w:hAnsi="Times New Roman" w:cs="Times New Roman" w:hint="eastAsia"/>
                <w:color w:val="000000" w:themeColor="text1"/>
                <w:kern w:val="0"/>
                <w:szCs w:val="21"/>
              </w:rPr>
              <w:t>或小剂量噻嗪类利尿剂</w:t>
            </w:r>
          </w:p>
        </w:tc>
      </w:tr>
      <w:tr w:rsidR="002E5476">
        <w:trPr>
          <w:trHeight w:val="468"/>
        </w:trPr>
        <w:tc>
          <w:tcPr>
            <w:tcW w:w="563" w:type="pct"/>
            <w:vMerge/>
            <w:tcBorders>
              <w:left w:val="single" w:sz="4" w:space="0" w:color="000000"/>
              <w:right w:val="single" w:sz="4" w:space="0" w:color="000000"/>
            </w:tcBorders>
            <w:shd w:val="clear" w:color="auto" w:fill="auto"/>
            <w:vAlign w:val="center"/>
          </w:tcPr>
          <w:p w:rsidR="002E5476" w:rsidRDefault="002E5476">
            <w:pPr>
              <w:widowControl/>
              <w:jc w:val="left"/>
              <w:textAlignment w:val="center"/>
              <w:rPr>
                <w:rFonts w:ascii="Times New Roman" w:eastAsia="宋体" w:hAnsi="Times New Roman" w:cs="Times New Roman"/>
                <w:color w:val="000000" w:themeColor="text1"/>
                <w:kern w:val="0"/>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jc w:val="left"/>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CKD</w:t>
            </w:r>
            <w:r>
              <w:rPr>
                <w:rFonts w:ascii="Times New Roman" w:eastAsia="宋体" w:hAnsi="Times New Roman" w:cs="Times New Roman" w:hint="eastAsia"/>
                <w:color w:val="000000" w:themeColor="text1"/>
                <w:kern w:val="0"/>
                <w:szCs w:val="21"/>
              </w:rPr>
              <w:t>（无蛋白尿）</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jc w:val="left"/>
              <w:textAlignment w:val="center"/>
              <w:rPr>
                <w:rFonts w:ascii="Times New Roman" w:eastAsia="宋体" w:hAnsi="Times New Roman" w:cs="Times New Roman"/>
                <w:bCs/>
                <w:color w:val="000000" w:themeColor="text1"/>
                <w:kern w:val="0"/>
                <w:szCs w:val="21"/>
              </w:rPr>
            </w:pPr>
            <w:r>
              <w:rPr>
                <w:rFonts w:ascii="Times New Roman" w:eastAsia="宋体" w:hAnsi="Times New Roman" w:cs="Times New Roman"/>
                <w:bCs/>
                <w:color w:val="000000" w:themeColor="text1"/>
                <w:kern w:val="0"/>
                <w:szCs w:val="21"/>
              </w:rPr>
              <w:t>&lt;140/90 mmHg</w:t>
            </w:r>
          </w:p>
        </w:tc>
        <w:tc>
          <w:tcPr>
            <w:tcW w:w="2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jc w:val="left"/>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ACEI</w:t>
            </w:r>
            <w:r>
              <w:rPr>
                <w:rFonts w:ascii="Times New Roman" w:eastAsia="宋体" w:hAnsi="Times New Roman" w:cs="Times New Roman" w:hint="eastAsia"/>
                <w:color w:val="000000" w:themeColor="text1"/>
                <w:kern w:val="0"/>
                <w:szCs w:val="21"/>
              </w:rPr>
              <w:t>或</w:t>
            </w:r>
            <w:r>
              <w:rPr>
                <w:rFonts w:ascii="Times New Roman" w:eastAsia="宋体" w:hAnsi="Times New Roman" w:cs="Times New Roman"/>
                <w:color w:val="000000" w:themeColor="text1"/>
                <w:kern w:val="0"/>
                <w:szCs w:val="21"/>
              </w:rPr>
              <w:t>ARB</w:t>
            </w: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color w:val="000000" w:themeColor="text1"/>
                <w:kern w:val="0"/>
                <w:szCs w:val="21"/>
              </w:rPr>
              <w:t>CCB</w:t>
            </w:r>
            <w:r>
              <w:rPr>
                <w:rFonts w:ascii="Times New Roman" w:eastAsia="宋体" w:hAnsi="Times New Roman" w:cs="Times New Roman" w:hint="eastAsia"/>
                <w:color w:val="000000" w:themeColor="text1"/>
                <w:kern w:val="0"/>
                <w:szCs w:val="21"/>
              </w:rPr>
              <w:t>或噻嗪类利尿剂</w:t>
            </w:r>
          </w:p>
        </w:tc>
      </w:tr>
      <w:tr w:rsidR="002E5476">
        <w:trPr>
          <w:trHeight w:val="468"/>
        </w:trPr>
        <w:tc>
          <w:tcPr>
            <w:tcW w:w="563" w:type="pct"/>
            <w:vMerge/>
            <w:tcBorders>
              <w:left w:val="single" w:sz="4" w:space="0" w:color="000000"/>
              <w:right w:val="single" w:sz="4" w:space="0" w:color="000000"/>
            </w:tcBorders>
            <w:shd w:val="clear" w:color="auto" w:fill="auto"/>
            <w:vAlign w:val="center"/>
          </w:tcPr>
          <w:p w:rsidR="002E5476" w:rsidRDefault="002E5476">
            <w:pPr>
              <w:widowControl/>
              <w:jc w:val="left"/>
              <w:textAlignment w:val="center"/>
              <w:rPr>
                <w:rFonts w:ascii="Times New Roman" w:eastAsia="宋体" w:hAnsi="Times New Roman" w:cs="Times New Roman"/>
                <w:color w:val="000000" w:themeColor="text1"/>
                <w:kern w:val="0"/>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jc w:val="left"/>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CKD</w:t>
            </w:r>
            <w:r>
              <w:rPr>
                <w:rFonts w:ascii="Times New Roman" w:eastAsia="宋体" w:hAnsi="Times New Roman" w:cs="Times New Roman" w:hint="eastAsia"/>
                <w:color w:val="000000" w:themeColor="text1"/>
                <w:kern w:val="0"/>
                <w:szCs w:val="21"/>
              </w:rPr>
              <w:t>（有蛋白尿）</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jc w:val="left"/>
              <w:textAlignment w:val="center"/>
              <w:rPr>
                <w:rFonts w:ascii="Times New Roman" w:eastAsia="宋体" w:hAnsi="Times New Roman" w:cs="Times New Roman"/>
                <w:bCs/>
                <w:color w:val="000000" w:themeColor="text1"/>
                <w:kern w:val="0"/>
                <w:szCs w:val="21"/>
              </w:rPr>
            </w:pPr>
            <w:r>
              <w:rPr>
                <w:rFonts w:ascii="Times New Roman" w:eastAsia="宋体" w:hAnsi="Times New Roman" w:cs="Times New Roman"/>
                <w:bCs/>
                <w:color w:val="000000" w:themeColor="text1"/>
                <w:kern w:val="0"/>
                <w:szCs w:val="21"/>
              </w:rPr>
              <w:t>&lt;130/80 mmHg</w:t>
            </w:r>
          </w:p>
        </w:tc>
        <w:tc>
          <w:tcPr>
            <w:tcW w:w="2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jc w:val="left"/>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ACEI</w:t>
            </w:r>
            <w:r>
              <w:rPr>
                <w:rFonts w:ascii="Times New Roman" w:eastAsia="宋体" w:hAnsi="Times New Roman" w:cs="Times New Roman" w:hint="eastAsia"/>
                <w:color w:val="000000" w:themeColor="text1"/>
                <w:kern w:val="0"/>
                <w:szCs w:val="21"/>
              </w:rPr>
              <w:t>或</w:t>
            </w:r>
            <w:r>
              <w:rPr>
                <w:rFonts w:ascii="Times New Roman" w:eastAsia="宋体" w:hAnsi="Times New Roman" w:cs="Times New Roman"/>
                <w:color w:val="000000" w:themeColor="text1"/>
                <w:kern w:val="0"/>
                <w:szCs w:val="21"/>
              </w:rPr>
              <w:t>ARB</w:t>
            </w:r>
          </w:p>
        </w:tc>
      </w:tr>
      <w:tr w:rsidR="002E5476">
        <w:trPr>
          <w:trHeight w:val="468"/>
        </w:trPr>
        <w:tc>
          <w:tcPr>
            <w:tcW w:w="563" w:type="pct"/>
            <w:vMerge w:val="restart"/>
            <w:tcBorders>
              <w:top w:val="single" w:sz="4" w:space="0" w:color="000000"/>
              <w:left w:val="single" w:sz="4" w:space="0" w:color="000000"/>
              <w:right w:val="single" w:sz="4" w:space="0" w:color="000000"/>
            </w:tcBorders>
            <w:shd w:val="clear" w:color="auto" w:fill="auto"/>
            <w:vAlign w:val="center"/>
          </w:tcPr>
          <w:p w:rsidR="002E5476" w:rsidRDefault="00423E71">
            <w:pPr>
              <w:widowControl/>
              <w:jc w:val="left"/>
              <w:textAlignment w:val="center"/>
              <w:rPr>
                <w:rFonts w:ascii="Times New Roman" w:eastAsia="宋体" w:hAnsi="Times New Roman" w:cs="Times New Roman"/>
                <w:color w:val="000000" w:themeColor="text1"/>
                <w:kern w:val="0"/>
                <w:szCs w:val="21"/>
              </w:rPr>
            </w:pPr>
            <w:bookmarkStart w:id="18" w:name="OLE_LINK1"/>
            <w:bookmarkStart w:id="19" w:name="OLE_LINK2"/>
            <w:r>
              <w:rPr>
                <w:rFonts w:ascii="Times New Roman" w:eastAsia="宋体" w:hAnsi="Times New Roman" w:cs="Times New Roman"/>
                <w:color w:val="000000" w:themeColor="text1"/>
                <w:kern w:val="0"/>
                <w:szCs w:val="21"/>
              </w:rPr>
              <w:t xml:space="preserve">2020 </w:t>
            </w:r>
            <w:r>
              <w:rPr>
                <w:rFonts w:ascii="Times New Roman" w:eastAsia="宋体" w:hAnsi="Times New Roman" w:cs="Times New Roman" w:hint="eastAsia"/>
                <w:color w:val="000000" w:themeColor="text1"/>
                <w:szCs w:val="21"/>
              </w:rPr>
              <w:t>年国际高血压学会（</w:t>
            </w:r>
            <w:r>
              <w:rPr>
                <w:rFonts w:ascii="Times New Roman" w:eastAsia="宋体" w:hAnsi="Times New Roman" w:cs="Times New Roman"/>
                <w:color w:val="000000" w:themeColor="text1"/>
                <w:kern w:val="0"/>
                <w:szCs w:val="21"/>
              </w:rPr>
              <w:t>ISH</w:t>
            </w:r>
            <w:r>
              <w:rPr>
                <w:rFonts w:ascii="Times New Roman" w:eastAsia="宋体" w:hAnsi="Times New Roman" w:cs="Times New Roman" w:hint="eastAsia"/>
                <w:color w:val="000000" w:themeColor="text1"/>
                <w:szCs w:val="21"/>
              </w:rPr>
              <w:t>）</w:t>
            </w:r>
            <w:r>
              <w:rPr>
                <w:rFonts w:ascii="Times New Roman" w:eastAsia="宋体" w:hAnsi="Times New Roman" w:cs="Times New Roman" w:hint="eastAsia"/>
                <w:color w:val="000000" w:themeColor="text1"/>
                <w:kern w:val="0"/>
                <w:szCs w:val="21"/>
              </w:rPr>
              <w:t>指南</w:t>
            </w:r>
            <w:bookmarkEnd w:id="18"/>
            <w:bookmarkEnd w:id="19"/>
            <w:r w:rsidR="00B411DC">
              <w:rPr>
                <w:rFonts w:ascii="Times New Roman" w:eastAsia="宋体" w:hAnsi="Times New Roman" w:cs="Times New Roman" w:hint="eastAsia"/>
                <w:color w:val="000000" w:themeColor="text1"/>
                <w:szCs w:val="21"/>
              </w:rPr>
              <w:fldChar w:fldCharType="begin"/>
            </w:r>
            <w:r>
              <w:rPr>
                <w:rFonts w:ascii="Times New Roman" w:eastAsia="宋体" w:hAnsi="Times New Roman" w:cs="Times New Roman"/>
                <w:color w:val="000000" w:themeColor="text1"/>
                <w:szCs w:val="21"/>
              </w:rPr>
              <w:instrText xml:space="preserve"> ADDIN NE.Ref.{CB454DCF-1735-49DE-B6B1-867D24D91DA6}</w:instrText>
            </w:r>
            <w:r w:rsidR="00B411DC">
              <w:rPr>
                <w:rFonts w:ascii="Times New Roman" w:eastAsia="宋体" w:hAnsi="Times New Roman" w:cs="Times New Roman" w:hint="eastAsia"/>
                <w:color w:val="000000" w:themeColor="text1"/>
                <w:szCs w:val="21"/>
              </w:rPr>
              <w:fldChar w:fldCharType="separate"/>
            </w:r>
            <w:r>
              <w:rPr>
                <w:rFonts w:ascii="Times New Roman" w:eastAsia="宋体" w:hAnsi="Times New Roman" w:cs="Times New Roman"/>
                <w:color w:val="000000" w:themeColor="text1"/>
                <w:kern w:val="0"/>
                <w:szCs w:val="21"/>
                <w:vertAlign w:val="superscript"/>
              </w:rPr>
              <w:t>[15]</w:t>
            </w:r>
            <w:r w:rsidR="00B411DC">
              <w:rPr>
                <w:rFonts w:ascii="Times New Roman" w:eastAsia="宋体" w:hAnsi="Times New Roman" w:cs="Times New Roman" w:hint="eastAsia"/>
                <w:color w:val="000000" w:themeColor="text1"/>
                <w:szCs w:val="21"/>
              </w:rPr>
              <w:fldChar w:fldCharType="end"/>
            </w: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jc w:val="left"/>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color w:val="000000" w:themeColor="text1"/>
                <w:kern w:val="0"/>
                <w:szCs w:val="21"/>
              </w:rPr>
              <w:t xml:space="preserve"> 65</w:t>
            </w:r>
            <w:r>
              <w:rPr>
                <w:rFonts w:ascii="Times New Roman" w:eastAsia="宋体" w:hAnsi="Times New Roman" w:cs="Times New Roman" w:hint="eastAsia"/>
                <w:color w:val="000000" w:themeColor="text1"/>
                <w:kern w:val="0"/>
                <w:szCs w:val="21"/>
              </w:rPr>
              <w:t>岁</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jc w:val="left"/>
              <w:textAlignment w:val="center"/>
              <w:rPr>
                <w:rFonts w:ascii="Times New Roman" w:eastAsia="宋体" w:hAnsi="Times New Roman" w:cs="Times New Roman"/>
                <w:bCs/>
                <w:color w:val="000000" w:themeColor="text1"/>
                <w:kern w:val="0"/>
                <w:szCs w:val="21"/>
              </w:rPr>
            </w:pPr>
            <w:r>
              <w:rPr>
                <w:rFonts w:ascii="Times New Roman" w:eastAsia="宋体" w:hAnsi="Times New Roman" w:cs="Times New Roman" w:hint="eastAsia"/>
                <w:bCs/>
                <w:color w:val="000000" w:themeColor="text1"/>
                <w:kern w:val="0"/>
                <w:szCs w:val="21"/>
              </w:rPr>
              <w:t>＜</w:t>
            </w:r>
            <w:r>
              <w:rPr>
                <w:rFonts w:ascii="Times New Roman" w:eastAsia="宋体" w:hAnsi="Times New Roman" w:cs="Times New Roman"/>
                <w:bCs/>
                <w:color w:val="000000" w:themeColor="text1"/>
                <w:kern w:val="0"/>
                <w:szCs w:val="21"/>
              </w:rPr>
              <w:t>130/80 mmHg</w:t>
            </w:r>
          </w:p>
          <w:p w:rsidR="002E5476" w:rsidRDefault="00423E71">
            <w:pPr>
              <w:widowControl/>
              <w:jc w:val="left"/>
              <w:textAlignment w:val="center"/>
              <w:rPr>
                <w:rFonts w:ascii="Times New Roman" w:eastAsia="宋体" w:hAnsi="Times New Roman" w:cs="Times New Roman"/>
                <w:bCs/>
                <w:color w:val="000000" w:themeColor="text1"/>
                <w:kern w:val="0"/>
                <w:szCs w:val="21"/>
              </w:rPr>
            </w:pPr>
            <w:r>
              <w:rPr>
                <w:rFonts w:ascii="Times New Roman" w:eastAsia="宋体" w:hAnsi="Times New Roman" w:cs="Times New Roman" w:hint="eastAsia"/>
                <w:bCs/>
                <w:color w:val="000000" w:themeColor="text1"/>
                <w:kern w:val="0"/>
                <w:szCs w:val="21"/>
              </w:rPr>
              <w:t>，但＞</w:t>
            </w:r>
            <w:r>
              <w:rPr>
                <w:rFonts w:ascii="Times New Roman" w:eastAsia="宋体" w:hAnsi="Times New Roman" w:cs="Times New Roman"/>
                <w:bCs/>
                <w:color w:val="000000" w:themeColor="text1"/>
                <w:kern w:val="0"/>
                <w:szCs w:val="21"/>
              </w:rPr>
              <w:t>120/70 mmHg</w:t>
            </w:r>
          </w:p>
        </w:tc>
        <w:tc>
          <w:tcPr>
            <w:tcW w:w="2438" w:type="pct"/>
            <w:vMerge w:val="restart"/>
            <w:tcBorders>
              <w:top w:val="single" w:sz="4" w:space="0" w:color="000000"/>
              <w:left w:val="single" w:sz="4" w:space="0" w:color="000000"/>
              <w:right w:val="single" w:sz="4" w:space="0" w:color="000000"/>
            </w:tcBorders>
            <w:shd w:val="clear" w:color="auto" w:fill="auto"/>
            <w:vAlign w:val="center"/>
          </w:tcPr>
          <w:p w:rsidR="002E5476" w:rsidRDefault="00423E71">
            <w:pPr>
              <w:widowControl/>
              <w:jc w:val="left"/>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基本标准：</w:t>
            </w:r>
            <w:r>
              <w:rPr>
                <w:rFonts w:ascii="Cambria Math" w:eastAsia="宋体" w:hAnsi="Cambria Math" w:cs="Cambria Math"/>
                <w:color w:val="000000" w:themeColor="text1"/>
                <w:kern w:val="0"/>
                <w:szCs w:val="21"/>
              </w:rPr>
              <w:t>①</w:t>
            </w:r>
            <w:r>
              <w:rPr>
                <w:rFonts w:ascii="Times New Roman" w:eastAsia="宋体" w:hAnsi="Times New Roman" w:cs="Times New Roman" w:hint="eastAsia"/>
                <w:color w:val="000000" w:themeColor="text1"/>
                <w:kern w:val="0"/>
                <w:szCs w:val="21"/>
              </w:rPr>
              <w:t>使用任何可获得的降压药物；</w:t>
            </w:r>
            <w:r>
              <w:rPr>
                <w:rFonts w:ascii="Cambria Math" w:eastAsia="宋体" w:hAnsi="Cambria Math" w:cs="Cambria Math" w:hint="eastAsia"/>
                <w:color w:val="000000" w:themeColor="text1"/>
                <w:kern w:val="0"/>
                <w:szCs w:val="21"/>
              </w:rPr>
              <w:t>②</w:t>
            </w:r>
            <w:r>
              <w:rPr>
                <w:rFonts w:ascii="Times New Roman" w:eastAsia="宋体" w:hAnsi="Times New Roman" w:cs="Times New Roman" w:hint="eastAsia"/>
                <w:color w:val="000000" w:themeColor="text1"/>
                <w:kern w:val="0"/>
                <w:szCs w:val="21"/>
              </w:rPr>
              <w:t>若无单片复方制剂或不能负担，可药物自由联合；</w:t>
            </w:r>
            <w:r>
              <w:rPr>
                <w:rFonts w:ascii="Cambria Math" w:eastAsia="宋体" w:hAnsi="Cambria Math" w:cs="Cambria Math" w:hint="eastAsia"/>
                <w:color w:val="000000" w:themeColor="text1"/>
                <w:kern w:val="0"/>
                <w:szCs w:val="21"/>
              </w:rPr>
              <w:t>③</w:t>
            </w:r>
            <w:r>
              <w:rPr>
                <w:rFonts w:ascii="Times New Roman" w:eastAsia="宋体" w:hAnsi="Times New Roman" w:cs="Times New Roman" w:hint="eastAsia"/>
                <w:color w:val="000000" w:themeColor="text1"/>
                <w:kern w:val="0"/>
                <w:szCs w:val="21"/>
              </w:rPr>
              <w:t>若无噻嗪型利尿剂，可以使用噻嗪样利尿剂；</w:t>
            </w:r>
          </w:p>
          <w:p w:rsidR="002E5476" w:rsidRDefault="00423E71">
            <w:pPr>
              <w:widowControl/>
              <w:jc w:val="left"/>
              <w:textAlignment w:val="center"/>
              <w:rPr>
                <w:rFonts w:ascii="Times New Roman" w:eastAsia="宋体" w:hAnsi="Times New Roman" w:cs="Times New Roman"/>
                <w:color w:val="000000" w:themeColor="text1"/>
                <w:kern w:val="0"/>
                <w:szCs w:val="21"/>
              </w:rPr>
            </w:pPr>
            <w:r>
              <w:rPr>
                <w:rFonts w:ascii="Cambria Math" w:eastAsia="宋体" w:hAnsi="Cambria Math" w:cs="Cambria Math" w:hint="eastAsia"/>
                <w:color w:val="000000" w:themeColor="text1"/>
                <w:kern w:val="0"/>
                <w:szCs w:val="21"/>
              </w:rPr>
              <w:t>④</w:t>
            </w:r>
            <w:r>
              <w:rPr>
                <w:rFonts w:ascii="Times New Roman" w:eastAsia="宋体" w:hAnsi="Times New Roman" w:cs="Times New Roman" w:hint="eastAsia"/>
                <w:color w:val="000000" w:themeColor="text1"/>
                <w:kern w:val="0"/>
                <w:szCs w:val="21"/>
              </w:rPr>
              <w:t>若无二氢吡啶类</w:t>
            </w:r>
            <w:r>
              <w:rPr>
                <w:rFonts w:ascii="Times New Roman" w:eastAsia="宋体" w:hAnsi="Times New Roman" w:cs="Times New Roman"/>
                <w:color w:val="000000" w:themeColor="text1"/>
                <w:kern w:val="0"/>
                <w:szCs w:val="21"/>
              </w:rPr>
              <w:t>CCB</w:t>
            </w:r>
            <w:r>
              <w:rPr>
                <w:rFonts w:ascii="Times New Roman" w:eastAsia="宋体" w:hAnsi="Times New Roman" w:cs="Times New Roman" w:hint="eastAsia"/>
                <w:color w:val="000000" w:themeColor="text1"/>
                <w:kern w:val="0"/>
                <w:szCs w:val="21"/>
              </w:rPr>
              <w:t>或患者不能耐受，可使用其他药物代替（如非二氢吡啶类</w:t>
            </w:r>
            <w:r>
              <w:rPr>
                <w:rFonts w:ascii="Times New Roman" w:eastAsia="宋体" w:hAnsi="Times New Roman" w:cs="Times New Roman"/>
                <w:color w:val="000000" w:themeColor="text1"/>
                <w:kern w:val="0"/>
                <w:szCs w:val="21"/>
              </w:rPr>
              <w:t>CCB</w:t>
            </w:r>
            <w:r>
              <w:rPr>
                <w:rFonts w:ascii="Times New Roman" w:eastAsia="宋体" w:hAnsi="Times New Roman" w:cs="Times New Roman" w:hint="eastAsia"/>
                <w:color w:val="000000" w:themeColor="text1"/>
                <w:kern w:val="0"/>
                <w:szCs w:val="21"/>
              </w:rPr>
              <w:t>）</w:t>
            </w:r>
          </w:p>
          <w:p w:rsidR="002E5476" w:rsidRDefault="00423E71">
            <w:pPr>
              <w:widowControl/>
              <w:jc w:val="left"/>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理想方案：使用单片复方制剂（</w:t>
            </w:r>
            <w:r>
              <w:rPr>
                <w:rFonts w:ascii="Times New Roman" w:eastAsia="宋体" w:hAnsi="Times New Roman" w:cs="Times New Roman"/>
                <w:color w:val="000000" w:themeColor="text1"/>
                <w:kern w:val="0"/>
                <w:szCs w:val="21"/>
              </w:rPr>
              <w:t>A+C</w:t>
            </w:r>
            <w:r>
              <w:rPr>
                <w:rFonts w:ascii="Times New Roman" w:eastAsia="宋体" w:hAnsi="Times New Roman" w:cs="Times New Roman" w:hint="eastAsia"/>
                <w:color w:val="000000" w:themeColor="text1"/>
                <w:kern w:val="0"/>
                <w:szCs w:val="21"/>
              </w:rPr>
              <w:t>）</w:t>
            </w:r>
          </w:p>
        </w:tc>
      </w:tr>
      <w:tr w:rsidR="002E5476">
        <w:trPr>
          <w:trHeight w:val="468"/>
        </w:trPr>
        <w:tc>
          <w:tcPr>
            <w:tcW w:w="563" w:type="pct"/>
            <w:vMerge/>
            <w:tcBorders>
              <w:left w:val="single" w:sz="4" w:space="0" w:color="000000"/>
              <w:right w:val="single" w:sz="4" w:space="0" w:color="000000"/>
            </w:tcBorders>
            <w:shd w:val="clear" w:color="auto" w:fill="auto"/>
            <w:vAlign w:val="center"/>
          </w:tcPr>
          <w:p w:rsidR="002E5476" w:rsidRDefault="002E5476">
            <w:pPr>
              <w:widowControl/>
              <w:jc w:val="left"/>
              <w:textAlignment w:val="center"/>
              <w:rPr>
                <w:rFonts w:ascii="Times New Roman" w:eastAsia="宋体" w:hAnsi="Times New Roman" w:cs="Times New Roman"/>
                <w:color w:val="000000" w:themeColor="text1"/>
                <w:kern w:val="0"/>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jc w:val="left"/>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color w:val="000000" w:themeColor="text1"/>
                <w:kern w:val="0"/>
                <w:szCs w:val="21"/>
              </w:rPr>
              <w:t>65</w:t>
            </w:r>
            <w:r>
              <w:rPr>
                <w:rFonts w:ascii="Times New Roman" w:eastAsia="宋体" w:hAnsi="Times New Roman" w:cs="Times New Roman" w:hint="eastAsia"/>
                <w:color w:val="000000" w:themeColor="text1"/>
                <w:kern w:val="0"/>
                <w:szCs w:val="21"/>
              </w:rPr>
              <w:t>岁</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jc w:val="left"/>
              <w:textAlignment w:val="center"/>
              <w:rPr>
                <w:rFonts w:ascii="Times New Roman" w:eastAsia="宋体" w:hAnsi="Times New Roman" w:cs="Times New Roman"/>
                <w:bCs/>
                <w:color w:val="000000" w:themeColor="text1"/>
                <w:kern w:val="0"/>
                <w:szCs w:val="21"/>
              </w:rPr>
            </w:pPr>
            <w:r>
              <w:rPr>
                <w:rFonts w:ascii="Times New Roman" w:eastAsia="宋体" w:hAnsi="Times New Roman" w:cs="Times New Roman" w:hint="eastAsia"/>
                <w:bCs/>
                <w:color w:val="000000" w:themeColor="text1"/>
                <w:kern w:val="0"/>
                <w:szCs w:val="21"/>
              </w:rPr>
              <w:t>＜</w:t>
            </w:r>
            <w:r>
              <w:rPr>
                <w:rFonts w:ascii="Times New Roman" w:eastAsia="宋体" w:hAnsi="Times New Roman" w:cs="Times New Roman"/>
                <w:bCs/>
                <w:color w:val="000000" w:themeColor="text1"/>
                <w:kern w:val="0"/>
                <w:szCs w:val="21"/>
              </w:rPr>
              <w:t>140/90 mmHg</w:t>
            </w:r>
          </w:p>
        </w:tc>
        <w:tc>
          <w:tcPr>
            <w:tcW w:w="2438" w:type="pct"/>
            <w:vMerge/>
            <w:tcBorders>
              <w:left w:val="single" w:sz="4" w:space="0" w:color="000000"/>
              <w:bottom w:val="single" w:sz="4" w:space="0" w:color="000000"/>
              <w:right w:val="single" w:sz="4" w:space="0" w:color="000000"/>
            </w:tcBorders>
            <w:shd w:val="clear" w:color="auto" w:fill="auto"/>
            <w:vAlign w:val="center"/>
          </w:tcPr>
          <w:p w:rsidR="002E5476" w:rsidRDefault="002E5476">
            <w:pPr>
              <w:widowControl/>
              <w:jc w:val="left"/>
              <w:textAlignment w:val="center"/>
              <w:rPr>
                <w:rFonts w:ascii="Times New Roman" w:eastAsia="宋体" w:hAnsi="Times New Roman" w:cs="Times New Roman"/>
                <w:color w:val="000000" w:themeColor="text1"/>
                <w:kern w:val="0"/>
                <w:szCs w:val="21"/>
              </w:rPr>
            </w:pPr>
          </w:p>
        </w:tc>
      </w:tr>
      <w:tr w:rsidR="002E5476">
        <w:trPr>
          <w:trHeight w:val="468"/>
        </w:trPr>
        <w:tc>
          <w:tcPr>
            <w:tcW w:w="563" w:type="pct"/>
            <w:vMerge/>
            <w:tcBorders>
              <w:left w:val="single" w:sz="4" w:space="0" w:color="000000"/>
              <w:right w:val="single" w:sz="4" w:space="0" w:color="000000"/>
            </w:tcBorders>
            <w:shd w:val="clear" w:color="auto" w:fill="auto"/>
            <w:vAlign w:val="center"/>
          </w:tcPr>
          <w:p w:rsidR="002E5476" w:rsidRDefault="002E5476">
            <w:pPr>
              <w:widowControl/>
              <w:jc w:val="left"/>
              <w:textAlignment w:val="center"/>
              <w:rPr>
                <w:rFonts w:ascii="Times New Roman" w:eastAsia="宋体" w:hAnsi="Times New Roman" w:cs="Times New Roman"/>
                <w:color w:val="000000" w:themeColor="text1"/>
                <w:kern w:val="0"/>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jc w:val="left"/>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糖尿病</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jc w:val="left"/>
              <w:textAlignment w:val="center"/>
              <w:rPr>
                <w:rFonts w:ascii="Times New Roman" w:eastAsia="宋体" w:hAnsi="Times New Roman" w:cs="Times New Roman"/>
                <w:bCs/>
                <w:color w:val="000000" w:themeColor="text1"/>
                <w:kern w:val="0"/>
                <w:szCs w:val="21"/>
              </w:rPr>
            </w:pPr>
            <w:r>
              <w:rPr>
                <w:rFonts w:ascii="Times New Roman" w:eastAsia="宋体" w:hAnsi="Times New Roman" w:cs="Times New Roman" w:hint="eastAsia"/>
                <w:bCs/>
                <w:color w:val="000000" w:themeColor="text1"/>
                <w:kern w:val="0"/>
                <w:szCs w:val="21"/>
              </w:rPr>
              <w:t>＜</w:t>
            </w:r>
            <w:r>
              <w:rPr>
                <w:rFonts w:ascii="Times New Roman" w:eastAsia="宋体" w:hAnsi="Times New Roman" w:cs="Times New Roman"/>
                <w:bCs/>
                <w:color w:val="000000" w:themeColor="text1"/>
                <w:kern w:val="0"/>
                <w:szCs w:val="21"/>
              </w:rPr>
              <w:t xml:space="preserve">130/80 mmHg </w:t>
            </w:r>
            <w:r>
              <w:rPr>
                <w:rFonts w:ascii="Times New Roman" w:eastAsia="宋体" w:hAnsi="Times New Roman" w:cs="Times New Roman" w:hint="eastAsia"/>
                <w:bCs/>
                <w:color w:val="000000" w:themeColor="text1"/>
                <w:kern w:val="0"/>
                <w:szCs w:val="21"/>
              </w:rPr>
              <w:t>（老年患者目标血压值＜</w:t>
            </w:r>
            <w:r>
              <w:rPr>
                <w:rFonts w:ascii="Times New Roman" w:eastAsia="宋体" w:hAnsi="Times New Roman" w:cs="Times New Roman"/>
                <w:bCs/>
                <w:color w:val="000000" w:themeColor="text1"/>
                <w:kern w:val="0"/>
                <w:szCs w:val="21"/>
              </w:rPr>
              <w:t>140/80 mmHg</w:t>
            </w:r>
            <w:r>
              <w:rPr>
                <w:rFonts w:ascii="Times New Roman" w:eastAsia="宋体" w:hAnsi="Times New Roman" w:cs="Times New Roman" w:hint="eastAsia"/>
                <w:bCs/>
                <w:color w:val="000000" w:themeColor="text1"/>
                <w:kern w:val="0"/>
                <w:szCs w:val="21"/>
              </w:rPr>
              <w:t>）</w:t>
            </w:r>
          </w:p>
        </w:tc>
        <w:tc>
          <w:tcPr>
            <w:tcW w:w="2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jc w:val="left"/>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ACEI</w:t>
            </w:r>
            <w:r>
              <w:rPr>
                <w:rFonts w:ascii="Times New Roman" w:eastAsia="宋体" w:hAnsi="Times New Roman" w:cs="Times New Roman" w:hint="eastAsia"/>
                <w:color w:val="000000" w:themeColor="text1"/>
                <w:kern w:val="0"/>
                <w:szCs w:val="21"/>
              </w:rPr>
              <w:t>或</w:t>
            </w:r>
            <w:r>
              <w:rPr>
                <w:rFonts w:ascii="Times New Roman" w:eastAsia="宋体" w:hAnsi="Times New Roman" w:cs="Times New Roman"/>
                <w:color w:val="000000" w:themeColor="text1"/>
                <w:kern w:val="0"/>
                <w:szCs w:val="21"/>
              </w:rPr>
              <w:t>ARB</w:t>
            </w:r>
            <w:r>
              <w:rPr>
                <w:rFonts w:ascii="Times New Roman" w:eastAsia="宋体" w:hAnsi="Times New Roman" w:cs="Times New Roman" w:hint="eastAsia"/>
                <w:color w:val="000000" w:themeColor="text1"/>
                <w:kern w:val="0"/>
                <w:szCs w:val="21"/>
              </w:rPr>
              <w:t>，必要时使用</w:t>
            </w:r>
            <w:r>
              <w:rPr>
                <w:rFonts w:ascii="Times New Roman" w:eastAsia="宋体" w:hAnsi="Times New Roman" w:cs="Times New Roman"/>
                <w:color w:val="000000" w:themeColor="text1"/>
                <w:kern w:val="0"/>
                <w:szCs w:val="21"/>
              </w:rPr>
              <w:t>CCB</w:t>
            </w:r>
            <w:r>
              <w:rPr>
                <w:rFonts w:ascii="Times New Roman" w:eastAsia="宋体" w:hAnsi="Times New Roman" w:cs="Times New Roman" w:hint="eastAsia"/>
                <w:color w:val="000000" w:themeColor="text1"/>
                <w:kern w:val="0"/>
                <w:szCs w:val="21"/>
              </w:rPr>
              <w:t>或噻嗪样利尿剂</w:t>
            </w:r>
          </w:p>
        </w:tc>
      </w:tr>
      <w:tr w:rsidR="002E5476">
        <w:trPr>
          <w:trHeight w:val="468"/>
        </w:trPr>
        <w:tc>
          <w:tcPr>
            <w:tcW w:w="563" w:type="pct"/>
            <w:vMerge/>
            <w:tcBorders>
              <w:left w:val="single" w:sz="4" w:space="0" w:color="000000"/>
              <w:right w:val="single" w:sz="4" w:space="0" w:color="000000"/>
            </w:tcBorders>
            <w:shd w:val="clear" w:color="auto" w:fill="auto"/>
            <w:vAlign w:val="center"/>
          </w:tcPr>
          <w:p w:rsidR="002E5476" w:rsidRDefault="002E5476">
            <w:pPr>
              <w:widowControl/>
              <w:jc w:val="left"/>
              <w:textAlignment w:val="center"/>
              <w:rPr>
                <w:rFonts w:ascii="Times New Roman" w:eastAsia="宋体" w:hAnsi="Times New Roman" w:cs="Times New Roman"/>
                <w:color w:val="000000" w:themeColor="text1"/>
                <w:kern w:val="0"/>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jc w:val="left"/>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CKD</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jc w:val="left"/>
              <w:textAlignment w:val="center"/>
              <w:rPr>
                <w:rFonts w:ascii="Times New Roman" w:eastAsia="宋体" w:hAnsi="Times New Roman" w:cs="Times New Roman"/>
                <w:bCs/>
                <w:color w:val="000000" w:themeColor="text1"/>
                <w:kern w:val="0"/>
                <w:szCs w:val="21"/>
              </w:rPr>
            </w:pPr>
            <w:r>
              <w:rPr>
                <w:rFonts w:ascii="Times New Roman" w:eastAsia="宋体" w:hAnsi="Times New Roman" w:cs="Times New Roman" w:hint="eastAsia"/>
                <w:bCs/>
                <w:color w:val="000000" w:themeColor="text1"/>
                <w:kern w:val="0"/>
                <w:szCs w:val="21"/>
              </w:rPr>
              <w:t>＜</w:t>
            </w:r>
            <w:r>
              <w:rPr>
                <w:rFonts w:ascii="Times New Roman" w:eastAsia="宋体" w:hAnsi="Times New Roman" w:cs="Times New Roman"/>
                <w:bCs/>
                <w:color w:val="000000" w:themeColor="text1"/>
                <w:kern w:val="0"/>
                <w:szCs w:val="21"/>
              </w:rPr>
              <w:t>130/80 mmHg</w:t>
            </w:r>
            <w:r>
              <w:rPr>
                <w:rFonts w:ascii="Times New Roman" w:eastAsia="宋体" w:hAnsi="Times New Roman" w:cs="Times New Roman" w:hint="eastAsia"/>
                <w:bCs/>
                <w:color w:val="000000" w:themeColor="text1"/>
                <w:kern w:val="0"/>
                <w:szCs w:val="21"/>
              </w:rPr>
              <w:t>（老年患者目标血压值＜</w:t>
            </w:r>
            <w:r>
              <w:rPr>
                <w:rFonts w:ascii="Times New Roman" w:eastAsia="宋体" w:hAnsi="Times New Roman" w:cs="Times New Roman"/>
                <w:bCs/>
                <w:color w:val="000000" w:themeColor="text1"/>
                <w:kern w:val="0"/>
                <w:szCs w:val="21"/>
              </w:rPr>
              <w:t>140/80 mmHg</w:t>
            </w:r>
            <w:r>
              <w:rPr>
                <w:rFonts w:ascii="Times New Roman" w:eastAsia="宋体" w:hAnsi="Times New Roman" w:cs="Times New Roman" w:hint="eastAsia"/>
                <w:bCs/>
                <w:color w:val="000000" w:themeColor="text1"/>
                <w:kern w:val="0"/>
                <w:szCs w:val="21"/>
              </w:rPr>
              <w:t>）</w:t>
            </w:r>
          </w:p>
        </w:tc>
        <w:tc>
          <w:tcPr>
            <w:tcW w:w="2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jc w:val="left"/>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ACEI</w:t>
            </w:r>
            <w:r>
              <w:rPr>
                <w:rFonts w:ascii="Times New Roman" w:eastAsia="宋体" w:hAnsi="Times New Roman" w:cs="Times New Roman" w:hint="eastAsia"/>
                <w:color w:val="000000" w:themeColor="text1"/>
                <w:kern w:val="0"/>
                <w:szCs w:val="21"/>
              </w:rPr>
              <w:t>或</w:t>
            </w:r>
            <w:r>
              <w:rPr>
                <w:rFonts w:ascii="Times New Roman" w:eastAsia="宋体" w:hAnsi="Times New Roman" w:cs="Times New Roman"/>
                <w:color w:val="000000" w:themeColor="text1"/>
                <w:kern w:val="0"/>
                <w:szCs w:val="21"/>
              </w:rPr>
              <w:t>ARB</w:t>
            </w:r>
            <w:r>
              <w:rPr>
                <w:rFonts w:ascii="Times New Roman" w:eastAsia="宋体" w:hAnsi="Times New Roman" w:cs="Times New Roman" w:hint="eastAsia"/>
                <w:color w:val="000000" w:themeColor="text1"/>
                <w:kern w:val="0"/>
                <w:szCs w:val="21"/>
              </w:rPr>
              <w:t>，可加用</w:t>
            </w:r>
            <w:r>
              <w:rPr>
                <w:rFonts w:ascii="Times New Roman" w:eastAsia="宋体" w:hAnsi="Times New Roman" w:cs="Times New Roman"/>
                <w:color w:val="000000" w:themeColor="text1"/>
                <w:kern w:val="0"/>
                <w:szCs w:val="21"/>
              </w:rPr>
              <w:t>CCB</w:t>
            </w:r>
            <w:r>
              <w:rPr>
                <w:rFonts w:ascii="Times New Roman" w:eastAsia="宋体" w:hAnsi="Times New Roman" w:cs="Times New Roman" w:hint="eastAsia"/>
                <w:color w:val="000000" w:themeColor="text1"/>
                <w:kern w:val="0"/>
                <w:szCs w:val="21"/>
              </w:rPr>
              <w:t>和利尿剂（如</w:t>
            </w:r>
            <w:r>
              <w:rPr>
                <w:rFonts w:ascii="Times New Roman" w:eastAsia="宋体" w:hAnsi="Times New Roman" w:cs="Times New Roman"/>
                <w:color w:val="000000" w:themeColor="text1"/>
                <w:kern w:val="0"/>
                <w:szCs w:val="21"/>
              </w:rPr>
              <w:t>eGFR</w:t>
            </w: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color w:val="000000" w:themeColor="text1"/>
                <w:kern w:val="0"/>
                <w:szCs w:val="21"/>
              </w:rPr>
              <w:t xml:space="preserve">30 </w:t>
            </w:r>
            <w:r>
              <w:rPr>
                <w:rFonts w:ascii="Times New Roman" w:eastAsia="宋体" w:hAnsi="Times New Roman" w:cs="Times New Roman"/>
                <w:color w:val="000000" w:themeColor="text1"/>
                <w:szCs w:val="21"/>
              </w:rPr>
              <w:t>ml</w:t>
            </w:r>
            <w:r>
              <w:rPr>
                <w:rFonts w:ascii="Times New Roman" w:eastAsia="宋体" w:hAnsi="Times New Roman" w:cs="Times New Roman" w:hint="eastAsia"/>
                <w:color w:val="000000" w:themeColor="text1"/>
                <w:szCs w:val="21"/>
              </w:rPr>
              <w:t>·</w:t>
            </w:r>
            <w:r>
              <w:rPr>
                <w:rFonts w:ascii="Times New Roman" w:eastAsia="宋体" w:hAnsi="Times New Roman" w:cs="Times New Roman"/>
                <w:color w:val="000000" w:themeColor="text1"/>
                <w:szCs w:val="21"/>
              </w:rPr>
              <w:t>min</w:t>
            </w:r>
            <w:r>
              <w:rPr>
                <w:rFonts w:ascii="Times New Roman" w:eastAsia="宋体" w:hAnsi="Times New Roman" w:cs="Times New Roman"/>
                <w:color w:val="000000" w:themeColor="text1"/>
                <w:szCs w:val="21"/>
                <w:vertAlign w:val="superscript"/>
              </w:rPr>
              <w:t>-1</w:t>
            </w:r>
            <w:r>
              <w:rPr>
                <w:rFonts w:ascii="Times New Roman" w:eastAsia="宋体" w:hAnsi="Times New Roman" w:cs="Times New Roman" w:hint="eastAsia"/>
                <w:color w:val="000000" w:themeColor="text1"/>
                <w:szCs w:val="21"/>
              </w:rPr>
              <w:t>·</w:t>
            </w:r>
            <w:r>
              <w:rPr>
                <w:rFonts w:ascii="Times New Roman" w:eastAsia="宋体" w:hAnsi="Times New Roman" w:cs="Times New Roman"/>
                <w:color w:val="000000" w:themeColor="text1"/>
                <w:szCs w:val="21"/>
              </w:rPr>
              <w:t>(1.73 m</w:t>
            </w:r>
            <w:r>
              <w:rPr>
                <w:rFonts w:ascii="Times New Roman" w:eastAsia="宋体" w:hAnsi="Times New Roman" w:cs="Times New Roman"/>
                <w:color w:val="000000" w:themeColor="text1"/>
                <w:szCs w:val="21"/>
                <w:vertAlign w:val="superscript"/>
              </w:rPr>
              <w:t>2</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vertAlign w:val="superscript"/>
              </w:rPr>
              <w:t>-1</w:t>
            </w:r>
            <w:r>
              <w:rPr>
                <w:rFonts w:ascii="Times New Roman" w:eastAsia="宋体" w:hAnsi="Times New Roman" w:cs="Times New Roman" w:hint="eastAsia"/>
                <w:color w:val="000000" w:themeColor="text1"/>
                <w:kern w:val="0"/>
                <w:szCs w:val="21"/>
              </w:rPr>
              <w:t>，可使用袢利尿剂）</w:t>
            </w:r>
          </w:p>
        </w:tc>
      </w:tr>
      <w:tr w:rsidR="002E5476">
        <w:trPr>
          <w:trHeight w:val="468"/>
        </w:trPr>
        <w:tc>
          <w:tcPr>
            <w:tcW w:w="563" w:type="pct"/>
            <w:vMerge w:val="restart"/>
            <w:tcBorders>
              <w:top w:val="single" w:sz="4" w:space="0" w:color="000000"/>
              <w:left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2012</w:t>
            </w:r>
            <w:r>
              <w:rPr>
                <w:rFonts w:ascii="Times New Roman" w:eastAsia="宋体" w:hAnsi="Times New Roman" w:cs="Times New Roman" w:hint="eastAsia"/>
                <w:color w:val="000000" w:themeColor="text1"/>
                <w:szCs w:val="21"/>
              </w:rPr>
              <w:t>年改善全球肾脏病预后组织</w:t>
            </w: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color w:val="000000" w:themeColor="text1"/>
                <w:kern w:val="0"/>
                <w:szCs w:val="21"/>
              </w:rPr>
              <w:t>KDIGO</w:t>
            </w: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color w:val="000000" w:themeColor="text1"/>
                <w:kern w:val="0"/>
                <w:szCs w:val="21"/>
              </w:rPr>
              <w:t>CKD</w:t>
            </w:r>
            <w:r>
              <w:rPr>
                <w:rFonts w:ascii="Times New Roman" w:eastAsia="宋体" w:hAnsi="Times New Roman" w:cs="Times New Roman" w:hint="eastAsia"/>
                <w:color w:val="000000" w:themeColor="text1"/>
                <w:kern w:val="0"/>
                <w:szCs w:val="21"/>
              </w:rPr>
              <w:t>血压管理指南</w:t>
            </w:r>
            <w:r w:rsidR="00B411DC">
              <w:rPr>
                <w:rFonts w:ascii="Times New Roman" w:eastAsia="宋体" w:hAnsi="Times New Roman" w:cs="Times New Roman" w:hint="eastAsia"/>
                <w:color w:val="000000" w:themeColor="text1"/>
                <w:szCs w:val="21"/>
              </w:rPr>
              <w:fldChar w:fldCharType="begin"/>
            </w:r>
            <w:r>
              <w:rPr>
                <w:rFonts w:ascii="Times New Roman" w:eastAsia="宋体" w:hAnsi="Times New Roman" w:cs="Times New Roman"/>
                <w:color w:val="000000" w:themeColor="text1"/>
                <w:szCs w:val="21"/>
              </w:rPr>
              <w:instrText xml:space="preserve"> ADDIN NE.Ref.{3ABA001F-B425-4B98-A616-13ACE06F8FA3}</w:instrText>
            </w:r>
            <w:r w:rsidR="00B411DC">
              <w:rPr>
                <w:rFonts w:ascii="Times New Roman" w:eastAsia="宋体" w:hAnsi="Times New Roman" w:cs="Times New Roman" w:hint="eastAsia"/>
                <w:color w:val="000000" w:themeColor="text1"/>
                <w:szCs w:val="21"/>
              </w:rPr>
              <w:fldChar w:fldCharType="separate"/>
            </w:r>
            <w:r>
              <w:rPr>
                <w:rFonts w:ascii="Times New Roman" w:eastAsia="宋体" w:hAnsi="Times New Roman" w:cs="Times New Roman"/>
                <w:color w:val="000000" w:themeColor="text1"/>
                <w:kern w:val="0"/>
                <w:szCs w:val="21"/>
                <w:vertAlign w:val="superscript"/>
              </w:rPr>
              <w:t>[8]</w:t>
            </w:r>
            <w:r w:rsidR="00B411DC">
              <w:rPr>
                <w:rFonts w:ascii="Times New Roman" w:eastAsia="宋体" w:hAnsi="Times New Roman" w:cs="Times New Roman" w:hint="eastAsia"/>
                <w:color w:val="000000" w:themeColor="text1"/>
                <w:szCs w:val="21"/>
              </w:rPr>
              <w:fldChar w:fldCharType="end"/>
            </w:r>
          </w:p>
        </w:tc>
        <w:tc>
          <w:tcPr>
            <w:tcW w:w="1210" w:type="pct"/>
            <w:tcBorders>
              <w:top w:val="single" w:sz="4" w:space="0" w:color="000000"/>
              <w:left w:val="single" w:sz="4" w:space="0" w:color="000000"/>
              <w:bottom w:val="single" w:sz="4" w:space="0" w:color="000000"/>
              <w:right w:val="single" w:sz="4" w:space="0" w:color="000000"/>
            </w:tcBorders>
            <w:shd w:val="clear" w:color="auto" w:fill="auto"/>
          </w:tcPr>
          <w:p w:rsidR="002E5476" w:rsidRDefault="00423E71">
            <w:pPr>
              <w:widowControl/>
              <w:jc w:val="left"/>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糖尿病（</w:t>
            </w:r>
            <w:r>
              <w:rPr>
                <w:rFonts w:ascii="Times New Roman" w:eastAsia="宋体" w:hAnsi="Times New Roman" w:cs="Times New Roman"/>
                <w:color w:val="000000" w:themeColor="text1"/>
                <w:kern w:val="0"/>
                <w:szCs w:val="21"/>
              </w:rPr>
              <w:t>AER&lt;30mg/d</w:t>
            </w:r>
            <w:r>
              <w:rPr>
                <w:rFonts w:ascii="Times New Roman" w:eastAsia="宋体" w:hAnsi="Times New Roman" w:cs="Times New Roman" w:hint="eastAsia"/>
                <w:color w:val="000000" w:themeColor="text1"/>
                <w:kern w:val="0"/>
                <w:szCs w:val="21"/>
              </w:rPr>
              <w:t>）</w:t>
            </w:r>
          </w:p>
        </w:tc>
        <w:tc>
          <w:tcPr>
            <w:tcW w:w="790" w:type="pct"/>
            <w:tcBorders>
              <w:top w:val="single" w:sz="4" w:space="0" w:color="000000"/>
              <w:left w:val="single" w:sz="4" w:space="0" w:color="000000"/>
              <w:bottom w:val="single" w:sz="4" w:space="0" w:color="000000"/>
              <w:right w:val="single" w:sz="4" w:space="0" w:color="000000"/>
            </w:tcBorders>
            <w:shd w:val="clear" w:color="auto" w:fill="auto"/>
          </w:tcPr>
          <w:p w:rsidR="002E5476" w:rsidRDefault="00423E71">
            <w:pPr>
              <w:widowControl/>
              <w:jc w:val="left"/>
              <w:textAlignment w:val="center"/>
              <w:rPr>
                <w:rFonts w:ascii="Times New Roman" w:eastAsia="宋体" w:hAnsi="Times New Roman" w:cs="Times New Roman"/>
                <w:bCs/>
                <w:color w:val="000000" w:themeColor="text1"/>
                <w:kern w:val="0"/>
                <w:szCs w:val="21"/>
              </w:rPr>
            </w:pPr>
            <w:r>
              <w:rPr>
                <w:rFonts w:ascii="Times New Roman" w:eastAsia="宋体" w:hAnsi="Times New Roman" w:cs="Times New Roman"/>
                <w:bCs/>
                <w:color w:val="000000" w:themeColor="text1"/>
                <w:kern w:val="0"/>
                <w:szCs w:val="21"/>
              </w:rPr>
              <w:t>&lt;140/90 mmHg</w:t>
            </w:r>
          </w:p>
        </w:tc>
        <w:tc>
          <w:tcPr>
            <w:tcW w:w="2438" w:type="pct"/>
            <w:tcBorders>
              <w:top w:val="single" w:sz="4" w:space="0" w:color="000000"/>
              <w:left w:val="single" w:sz="4" w:space="0" w:color="000000"/>
              <w:bottom w:val="single" w:sz="4" w:space="0" w:color="000000"/>
              <w:right w:val="single" w:sz="4" w:space="0" w:color="000000"/>
            </w:tcBorders>
            <w:shd w:val="clear" w:color="auto" w:fill="auto"/>
          </w:tcPr>
          <w:p w:rsidR="002E5476" w:rsidRDefault="00423E71">
            <w:pPr>
              <w:widowControl/>
              <w:jc w:val="left"/>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ACEI</w:t>
            </w: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color w:val="000000" w:themeColor="text1"/>
                <w:kern w:val="0"/>
                <w:szCs w:val="21"/>
              </w:rPr>
              <w:t>ARB</w:t>
            </w: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color w:val="000000" w:themeColor="text1"/>
                <w:kern w:val="0"/>
                <w:szCs w:val="21"/>
              </w:rPr>
              <w:t>CCB</w:t>
            </w:r>
            <w:r>
              <w:rPr>
                <w:rFonts w:ascii="Times New Roman" w:eastAsia="宋体" w:hAnsi="Times New Roman" w:cs="Times New Roman" w:hint="eastAsia"/>
                <w:color w:val="000000" w:themeColor="text1"/>
                <w:kern w:val="0"/>
                <w:szCs w:val="21"/>
              </w:rPr>
              <w:t>、利尿剂</w:t>
            </w:r>
          </w:p>
        </w:tc>
      </w:tr>
      <w:tr w:rsidR="002E5476">
        <w:trPr>
          <w:trHeight w:val="468"/>
        </w:trPr>
        <w:tc>
          <w:tcPr>
            <w:tcW w:w="563" w:type="pct"/>
            <w:vMerge/>
            <w:tcBorders>
              <w:left w:val="single" w:sz="4" w:space="0" w:color="000000"/>
              <w:right w:val="single" w:sz="4" w:space="0" w:color="000000"/>
            </w:tcBorders>
            <w:shd w:val="clear" w:color="auto" w:fill="auto"/>
          </w:tcPr>
          <w:p w:rsidR="002E5476" w:rsidRDefault="002E5476">
            <w:pPr>
              <w:jc w:val="left"/>
              <w:textAlignment w:val="center"/>
              <w:rPr>
                <w:rFonts w:ascii="Times New Roman" w:eastAsia="宋体" w:hAnsi="Times New Roman" w:cs="Times New Roman"/>
                <w:color w:val="000000" w:themeColor="text1"/>
                <w:kern w:val="0"/>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tcPr>
          <w:p w:rsidR="002E5476" w:rsidRDefault="00423E71">
            <w:pPr>
              <w:widowControl/>
              <w:jc w:val="left"/>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糖尿病（</w:t>
            </w:r>
            <w:r>
              <w:rPr>
                <w:rFonts w:ascii="Times New Roman" w:eastAsia="宋体" w:hAnsi="Times New Roman" w:cs="Times New Roman"/>
                <w:color w:val="000000" w:themeColor="text1"/>
                <w:kern w:val="0"/>
                <w:szCs w:val="21"/>
              </w:rPr>
              <w:t>30-300mg/d</w:t>
            </w:r>
            <w:r>
              <w:rPr>
                <w:rFonts w:ascii="Times New Roman" w:eastAsia="宋体" w:hAnsi="Times New Roman" w:cs="Times New Roman" w:hint="eastAsia"/>
                <w:color w:val="000000" w:themeColor="text1"/>
                <w:kern w:val="0"/>
                <w:szCs w:val="21"/>
              </w:rPr>
              <w:t>）</w:t>
            </w:r>
          </w:p>
        </w:tc>
        <w:tc>
          <w:tcPr>
            <w:tcW w:w="790" w:type="pct"/>
            <w:tcBorders>
              <w:top w:val="single" w:sz="4" w:space="0" w:color="000000"/>
              <w:left w:val="single" w:sz="4" w:space="0" w:color="000000"/>
              <w:bottom w:val="single" w:sz="4" w:space="0" w:color="000000"/>
              <w:right w:val="single" w:sz="4" w:space="0" w:color="000000"/>
            </w:tcBorders>
            <w:shd w:val="clear" w:color="auto" w:fill="auto"/>
          </w:tcPr>
          <w:p w:rsidR="002E5476" w:rsidRDefault="00423E71">
            <w:pPr>
              <w:widowControl/>
              <w:jc w:val="left"/>
              <w:textAlignment w:val="center"/>
              <w:rPr>
                <w:rFonts w:ascii="Times New Roman" w:eastAsia="宋体" w:hAnsi="Times New Roman" w:cs="Times New Roman"/>
                <w:bCs/>
                <w:color w:val="000000" w:themeColor="text1"/>
                <w:kern w:val="0"/>
                <w:szCs w:val="21"/>
              </w:rPr>
            </w:pPr>
            <w:r>
              <w:rPr>
                <w:rFonts w:ascii="Times New Roman" w:eastAsia="宋体" w:hAnsi="Times New Roman" w:cs="Times New Roman"/>
                <w:bCs/>
                <w:color w:val="000000" w:themeColor="text1"/>
                <w:kern w:val="0"/>
                <w:szCs w:val="21"/>
              </w:rPr>
              <w:t>&lt;130/80 mmHg</w:t>
            </w:r>
          </w:p>
        </w:tc>
        <w:tc>
          <w:tcPr>
            <w:tcW w:w="2438" w:type="pct"/>
            <w:tcBorders>
              <w:top w:val="single" w:sz="4" w:space="0" w:color="000000"/>
              <w:left w:val="single" w:sz="4" w:space="0" w:color="000000"/>
              <w:bottom w:val="single" w:sz="4" w:space="0" w:color="000000"/>
              <w:right w:val="single" w:sz="4" w:space="0" w:color="000000"/>
            </w:tcBorders>
            <w:shd w:val="clear" w:color="auto" w:fill="auto"/>
          </w:tcPr>
          <w:p w:rsidR="002E5476" w:rsidRDefault="00423E71">
            <w:pPr>
              <w:widowControl/>
              <w:jc w:val="left"/>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ACEI</w:t>
            </w:r>
            <w:r>
              <w:rPr>
                <w:rFonts w:ascii="Times New Roman" w:eastAsia="宋体" w:hAnsi="Times New Roman" w:cs="Times New Roman" w:hint="eastAsia"/>
                <w:color w:val="000000" w:themeColor="text1"/>
                <w:kern w:val="0"/>
                <w:szCs w:val="21"/>
              </w:rPr>
              <w:t>或</w:t>
            </w:r>
            <w:r>
              <w:rPr>
                <w:rFonts w:ascii="Times New Roman" w:eastAsia="宋体" w:hAnsi="Times New Roman" w:cs="Times New Roman"/>
                <w:color w:val="000000" w:themeColor="text1"/>
                <w:kern w:val="0"/>
                <w:szCs w:val="21"/>
              </w:rPr>
              <w:t>ARB</w:t>
            </w:r>
          </w:p>
        </w:tc>
      </w:tr>
      <w:tr w:rsidR="002E5476">
        <w:trPr>
          <w:trHeight w:val="452"/>
        </w:trPr>
        <w:tc>
          <w:tcPr>
            <w:tcW w:w="563" w:type="pct"/>
            <w:vMerge/>
            <w:tcBorders>
              <w:left w:val="single" w:sz="4" w:space="0" w:color="000000"/>
              <w:right w:val="single" w:sz="4" w:space="0" w:color="000000"/>
            </w:tcBorders>
            <w:shd w:val="clear" w:color="auto" w:fill="auto"/>
          </w:tcPr>
          <w:p w:rsidR="002E5476" w:rsidRDefault="002E5476">
            <w:pPr>
              <w:widowControl/>
              <w:jc w:val="left"/>
              <w:textAlignment w:val="center"/>
              <w:rPr>
                <w:rFonts w:ascii="Times New Roman" w:eastAsia="宋体" w:hAnsi="Times New Roman" w:cs="Times New Roman"/>
                <w:color w:val="000000" w:themeColor="text1"/>
                <w:kern w:val="0"/>
                <w:szCs w:val="21"/>
              </w:rPr>
            </w:pPr>
          </w:p>
        </w:tc>
        <w:tc>
          <w:tcPr>
            <w:tcW w:w="1210" w:type="pct"/>
            <w:tcBorders>
              <w:top w:val="single" w:sz="4" w:space="0" w:color="000000"/>
              <w:left w:val="single" w:sz="4" w:space="0" w:color="000000"/>
              <w:bottom w:val="single" w:sz="4" w:space="0" w:color="000000"/>
              <w:right w:val="single" w:sz="4" w:space="0" w:color="000000"/>
            </w:tcBorders>
            <w:shd w:val="clear" w:color="auto" w:fill="auto"/>
          </w:tcPr>
          <w:p w:rsidR="002E5476" w:rsidRDefault="00423E71">
            <w:pPr>
              <w:widowControl/>
              <w:jc w:val="left"/>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CKD</w:t>
            </w: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color w:val="000000" w:themeColor="text1"/>
                <w:kern w:val="0"/>
                <w:szCs w:val="21"/>
              </w:rPr>
              <w:t>AER&lt;30mg/d</w:t>
            </w:r>
            <w:r>
              <w:rPr>
                <w:rFonts w:ascii="Times New Roman" w:eastAsia="宋体" w:hAnsi="Times New Roman" w:cs="Times New Roman" w:hint="eastAsia"/>
                <w:color w:val="000000" w:themeColor="text1"/>
                <w:kern w:val="0"/>
                <w:szCs w:val="21"/>
              </w:rPr>
              <w:t>）</w:t>
            </w:r>
          </w:p>
        </w:tc>
        <w:tc>
          <w:tcPr>
            <w:tcW w:w="790" w:type="pct"/>
            <w:tcBorders>
              <w:top w:val="single" w:sz="4" w:space="0" w:color="000000"/>
              <w:left w:val="single" w:sz="4" w:space="0" w:color="000000"/>
              <w:bottom w:val="single" w:sz="4" w:space="0" w:color="000000"/>
              <w:right w:val="single" w:sz="4" w:space="0" w:color="000000"/>
            </w:tcBorders>
            <w:shd w:val="clear" w:color="auto" w:fill="auto"/>
          </w:tcPr>
          <w:p w:rsidR="002E5476" w:rsidRDefault="00423E71">
            <w:pPr>
              <w:widowControl/>
              <w:jc w:val="left"/>
              <w:textAlignment w:val="center"/>
              <w:rPr>
                <w:rFonts w:ascii="Times New Roman" w:eastAsia="宋体" w:hAnsi="Times New Roman" w:cs="Times New Roman"/>
                <w:bCs/>
                <w:color w:val="000000" w:themeColor="text1"/>
                <w:kern w:val="0"/>
                <w:szCs w:val="21"/>
              </w:rPr>
            </w:pPr>
            <w:r>
              <w:rPr>
                <w:rFonts w:ascii="Times New Roman" w:eastAsia="宋体" w:hAnsi="Times New Roman" w:cs="Times New Roman"/>
                <w:bCs/>
                <w:color w:val="000000" w:themeColor="text1"/>
                <w:kern w:val="0"/>
                <w:szCs w:val="21"/>
              </w:rPr>
              <w:t>&lt;140/90 mmHg</w:t>
            </w:r>
          </w:p>
        </w:tc>
        <w:tc>
          <w:tcPr>
            <w:tcW w:w="2438" w:type="pct"/>
            <w:tcBorders>
              <w:top w:val="single" w:sz="4" w:space="0" w:color="000000"/>
              <w:left w:val="single" w:sz="4" w:space="0" w:color="000000"/>
              <w:bottom w:val="single" w:sz="4" w:space="0" w:color="000000"/>
              <w:right w:val="single" w:sz="4" w:space="0" w:color="000000"/>
            </w:tcBorders>
            <w:shd w:val="clear" w:color="auto" w:fill="auto"/>
          </w:tcPr>
          <w:p w:rsidR="002E5476" w:rsidRDefault="00423E71">
            <w:pPr>
              <w:widowControl/>
              <w:jc w:val="left"/>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ACEI</w:t>
            </w: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color w:val="000000" w:themeColor="text1"/>
                <w:kern w:val="0"/>
                <w:szCs w:val="21"/>
              </w:rPr>
              <w:t>ARB</w:t>
            </w: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color w:val="000000" w:themeColor="text1"/>
                <w:kern w:val="0"/>
                <w:szCs w:val="21"/>
              </w:rPr>
              <w:t>CCB</w:t>
            </w:r>
            <w:r>
              <w:rPr>
                <w:rFonts w:ascii="Times New Roman" w:eastAsia="宋体" w:hAnsi="Times New Roman" w:cs="Times New Roman" w:hint="eastAsia"/>
                <w:color w:val="000000" w:themeColor="text1"/>
                <w:kern w:val="0"/>
                <w:szCs w:val="21"/>
              </w:rPr>
              <w:t>、利尿剂</w:t>
            </w:r>
          </w:p>
        </w:tc>
      </w:tr>
      <w:tr w:rsidR="002E5476">
        <w:trPr>
          <w:trHeight w:val="468"/>
        </w:trPr>
        <w:tc>
          <w:tcPr>
            <w:tcW w:w="563" w:type="pct"/>
            <w:vMerge/>
            <w:tcBorders>
              <w:left w:val="single" w:sz="4" w:space="0" w:color="000000"/>
              <w:bottom w:val="single" w:sz="4" w:space="0" w:color="auto"/>
              <w:right w:val="single" w:sz="4" w:space="0" w:color="000000"/>
            </w:tcBorders>
            <w:shd w:val="clear" w:color="auto" w:fill="auto"/>
          </w:tcPr>
          <w:p w:rsidR="002E5476" w:rsidRDefault="002E5476">
            <w:pPr>
              <w:widowControl/>
              <w:jc w:val="left"/>
              <w:textAlignment w:val="center"/>
              <w:rPr>
                <w:rFonts w:ascii="Times New Roman" w:eastAsia="宋体" w:hAnsi="Times New Roman" w:cs="Times New Roman"/>
                <w:color w:val="000000" w:themeColor="text1"/>
                <w:kern w:val="0"/>
                <w:szCs w:val="21"/>
              </w:rPr>
            </w:pPr>
          </w:p>
        </w:tc>
        <w:tc>
          <w:tcPr>
            <w:tcW w:w="1210" w:type="pct"/>
            <w:tcBorders>
              <w:top w:val="single" w:sz="4" w:space="0" w:color="000000"/>
              <w:left w:val="single" w:sz="4" w:space="0" w:color="000000"/>
              <w:bottom w:val="single" w:sz="4" w:space="0" w:color="auto"/>
              <w:right w:val="single" w:sz="4" w:space="0" w:color="000000"/>
            </w:tcBorders>
            <w:shd w:val="clear" w:color="auto" w:fill="auto"/>
          </w:tcPr>
          <w:p w:rsidR="002E5476" w:rsidRDefault="00423E71">
            <w:pPr>
              <w:widowControl/>
              <w:jc w:val="left"/>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CKD</w:t>
            </w: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color w:val="000000" w:themeColor="text1"/>
                <w:kern w:val="0"/>
                <w:szCs w:val="21"/>
              </w:rPr>
              <w:t>30-300mg/d</w:t>
            </w:r>
            <w:r>
              <w:rPr>
                <w:rFonts w:ascii="Times New Roman" w:eastAsia="宋体" w:hAnsi="Times New Roman" w:cs="Times New Roman" w:hint="eastAsia"/>
                <w:color w:val="000000" w:themeColor="text1"/>
                <w:kern w:val="0"/>
                <w:szCs w:val="21"/>
              </w:rPr>
              <w:t>）</w:t>
            </w:r>
          </w:p>
        </w:tc>
        <w:tc>
          <w:tcPr>
            <w:tcW w:w="790" w:type="pct"/>
            <w:tcBorders>
              <w:top w:val="single" w:sz="4" w:space="0" w:color="000000"/>
              <w:left w:val="single" w:sz="4" w:space="0" w:color="000000"/>
              <w:bottom w:val="single" w:sz="4" w:space="0" w:color="auto"/>
              <w:right w:val="single" w:sz="4" w:space="0" w:color="000000"/>
            </w:tcBorders>
            <w:shd w:val="clear" w:color="auto" w:fill="auto"/>
          </w:tcPr>
          <w:p w:rsidR="002E5476" w:rsidRDefault="00423E71">
            <w:pPr>
              <w:widowControl/>
              <w:jc w:val="left"/>
              <w:textAlignment w:val="center"/>
              <w:rPr>
                <w:rFonts w:ascii="Times New Roman" w:eastAsia="宋体" w:hAnsi="Times New Roman" w:cs="Times New Roman"/>
                <w:bCs/>
                <w:color w:val="000000" w:themeColor="text1"/>
                <w:kern w:val="0"/>
                <w:szCs w:val="21"/>
              </w:rPr>
            </w:pPr>
            <w:r>
              <w:rPr>
                <w:rFonts w:ascii="Times New Roman" w:eastAsia="宋体" w:hAnsi="Times New Roman" w:cs="Times New Roman"/>
                <w:bCs/>
                <w:color w:val="000000" w:themeColor="text1"/>
                <w:kern w:val="0"/>
                <w:szCs w:val="21"/>
              </w:rPr>
              <w:t>&lt;130/80 mmHg</w:t>
            </w:r>
          </w:p>
        </w:tc>
        <w:tc>
          <w:tcPr>
            <w:tcW w:w="2438" w:type="pct"/>
            <w:tcBorders>
              <w:top w:val="single" w:sz="4" w:space="0" w:color="000000"/>
              <w:left w:val="single" w:sz="4" w:space="0" w:color="000000"/>
              <w:bottom w:val="single" w:sz="4" w:space="0" w:color="auto"/>
              <w:right w:val="single" w:sz="4" w:space="0" w:color="000000"/>
            </w:tcBorders>
            <w:shd w:val="clear" w:color="auto" w:fill="auto"/>
          </w:tcPr>
          <w:p w:rsidR="002E5476" w:rsidRDefault="00423E71">
            <w:pPr>
              <w:widowControl/>
              <w:jc w:val="left"/>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ACEI</w:t>
            </w:r>
            <w:r>
              <w:rPr>
                <w:rFonts w:ascii="Times New Roman" w:eastAsia="宋体" w:hAnsi="Times New Roman" w:cs="Times New Roman" w:hint="eastAsia"/>
                <w:color w:val="000000" w:themeColor="text1"/>
                <w:kern w:val="0"/>
                <w:szCs w:val="21"/>
              </w:rPr>
              <w:t>或</w:t>
            </w:r>
            <w:r>
              <w:rPr>
                <w:rFonts w:ascii="Times New Roman" w:eastAsia="宋体" w:hAnsi="Times New Roman" w:cs="Times New Roman"/>
                <w:color w:val="000000" w:themeColor="text1"/>
                <w:kern w:val="0"/>
                <w:szCs w:val="21"/>
              </w:rPr>
              <w:t>ARB</w:t>
            </w:r>
          </w:p>
        </w:tc>
      </w:tr>
      <w:tr w:rsidR="002E5476">
        <w:trPr>
          <w:trHeight w:val="468"/>
        </w:trPr>
        <w:tc>
          <w:tcPr>
            <w:tcW w:w="563" w:type="pct"/>
            <w:tcBorders>
              <w:top w:val="single" w:sz="4" w:space="0" w:color="auto"/>
              <w:left w:val="single" w:sz="4" w:space="0" w:color="auto"/>
              <w:bottom w:val="single" w:sz="4" w:space="0" w:color="auto"/>
              <w:right w:val="single" w:sz="4" w:space="0" w:color="auto"/>
            </w:tcBorders>
            <w:shd w:val="clear" w:color="auto" w:fill="auto"/>
          </w:tcPr>
          <w:p w:rsidR="002E5476" w:rsidRDefault="00423E71">
            <w:pPr>
              <w:widowControl/>
              <w:jc w:val="left"/>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2021</w:t>
            </w:r>
            <w:r>
              <w:rPr>
                <w:rFonts w:ascii="Times New Roman" w:eastAsia="宋体" w:hAnsi="Times New Roman" w:cs="Times New Roman" w:hint="eastAsia"/>
                <w:color w:val="000000" w:themeColor="text1"/>
                <w:kern w:val="0"/>
                <w:szCs w:val="21"/>
              </w:rPr>
              <w:t>年</w:t>
            </w:r>
            <w:r>
              <w:rPr>
                <w:rFonts w:ascii="Times New Roman" w:eastAsia="宋体" w:hAnsi="Times New Roman" w:cs="Times New Roman"/>
                <w:color w:val="000000" w:themeColor="text1"/>
                <w:kern w:val="0"/>
                <w:szCs w:val="21"/>
              </w:rPr>
              <w:t>KDIGO CKD</w:t>
            </w:r>
            <w:r>
              <w:rPr>
                <w:rFonts w:ascii="Times New Roman" w:eastAsia="宋体" w:hAnsi="Times New Roman" w:cs="Times New Roman" w:hint="eastAsia"/>
                <w:color w:val="000000" w:themeColor="text1"/>
                <w:kern w:val="0"/>
                <w:szCs w:val="21"/>
              </w:rPr>
              <w:t>高血压指南</w:t>
            </w:r>
            <w:r w:rsidR="00B411DC">
              <w:rPr>
                <w:rFonts w:ascii="Times New Roman" w:eastAsia="宋体" w:hAnsi="Times New Roman" w:cs="Times New Roman" w:hint="eastAsia"/>
                <w:color w:val="000000" w:themeColor="text1"/>
                <w:szCs w:val="21"/>
              </w:rPr>
              <w:fldChar w:fldCharType="begin"/>
            </w:r>
            <w:r>
              <w:rPr>
                <w:rFonts w:ascii="Times New Roman" w:eastAsia="宋体" w:hAnsi="Times New Roman" w:cs="Times New Roman"/>
                <w:color w:val="000000" w:themeColor="text1"/>
                <w:szCs w:val="21"/>
              </w:rPr>
              <w:instrText xml:space="preserve"> ADDIN NE.Ref.{71AA3F09-2233-4E21-B04E-91DF2D94E118}</w:instrText>
            </w:r>
            <w:r w:rsidR="00B411DC">
              <w:rPr>
                <w:rFonts w:ascii="Times New Roman" w:eastAsia="宋体" w:hAnsi="Times New Roman" w:cs="Times New Roman" w:hint="eastAsia"/>
                <w:color w:val="000000" w:themeColor="text1"/>
                <w:szCs w:val="21"/>
              </w:rPr>
              <w:fldChar w:fldCharType="separate"/>
            </w:r>
            <w:r>
              <w:rPr>
                <w:rFonts w:ascii="Times New Roman" w:eastAsia="宋体" w:hAnsi="Times New Roman" w:cs="Times New Roman"/>
                <w:color w:val="000000" w:themeColor="text1"/>
                <w:kern w:val="0"/>
                <w:szCs w:val="21"/>
                <w:vertAlign w:val="superscript"/>
              </w:rPr>
              <w:t>[15]</w:t>
            </w:r>
            <w:r w:rsidR="00B411DC">
              <w:rPr>
                <w:rFonts w:ascii="Times New Roman" w:eastAsia="宋体" w:hAnsi="Times New Roman" w:cs="Times New Roman" w:hint="eastAsia"/>
                <w:color w:val="000000" w:themeColor="text1"/>
                <w:szCs w:val="21"/>
              </w:rPr>
              <w:fldChar w:fldCharType="end"/>
            </w:r>
          </w:p>
        </w:tc>
        <w:tc>
          <w:tcPr>
            <w:tcW w:w="1210" w:type="pct"/>
            <w:tcBorders>
              <w:top w:val="single" w:sz="4" w:space="0" w:color="auto"/>
              <w:left w:val="single" w:sz="4" w:space="0" w:color="auto"/>
              <w:bottom w:val="single" w:sz="4" w:space="0" w:color="auto"/>
              <w:right w:val="single" w:sz="4" w:space="0" w:color="auto"/>
            </w:tcBorders>
            <w:shd w:val="clear" w:color="auto" w:fill="auto"/>
          </w:tcPr>
          <w:p w:rsidR="002E5476" w:rsidRDefault="00423E71">
            <w:pPr>
              <w:widowControl/>
              <w:jc w:val="left"/>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CKD</w:t>
            </w:r>
          </w:p>
        </w:tc>
        <w:tc>
          <w:tcPr>
            <w:tcW w:w="790" w:type="pct"/>
            <w:tcBorders>
              <w:top w:val="single" w:sz="4" w:space="0" w:color="auto"/>
              <w:left w:val="single" w:sz="4" w:space="0" w:color="auto"/>
              <w:bottom w:val="single" w:sz="4" w:space="0" w:color="auto"/>
              <w:right w:val="single" w:sz="4" w:space="0" w:color="auto"/>
            </w:tcBorders>
            <w:shd w:val="clear" w:color="auto" w:fill="auto"/>
          </w:tcPr>
          <w:p w:rsidR="002E5476" w:rsidRDefault="00423E71">
            <w:pPr>
              <w:widowControl/>
              <w:jc w:val="left"/>
              <w:textAlignment w:val="center"/>
              <w:rPr>
                <w:rFonts w:ascii="Times New Roman" w:eastAsia="宋体" w:hAnsi="Times New Roman" w:cs="Times New Roman"/>
                <w:bCs/>
                <w:color w:val="000000" w:themeColor="text1"/>
                <w:kern w:val="0"/>
                <w:szCs w:val="21"/>
              </w:rPr>
            </w:pPr>
            <w:r>
              <w:rPr>
                <w:rFonts w:ascii="Times New Roman" w:eastAsia="宋体" w:hAnsi="Times New Roman" w:cs="Times New Roman"/>
                <w:bCs/>
                <w:color w:val="000000" w:themeColor="text1"/>
                <w:kern w:val="0"/>
                <w:szCs w:val="21"/>
              </w:rPr>
              <w:t>SBP</w:t>
            </w:r>
            <w:r>
              <w:rPr>
                <w:rFonts w:ascii="Times New Roman" w:eastAsia="宋体" w:hAnsi="Times New Roman" w:cs="Times New Roman" w:hint="eastAsia"/>
                <w:bCs/>
                <w:color w:val="000000" w:themeColor="text1"/>
                <w:kern w:val="0"/>
                <w:szCs w:val="21"/>
              </w:rPr>
              <w:t>＜</w:t>
            </w:r>
            <w:r>
              <w:rPr>
                <w:rFonts w:ascii="Times New Roman" w:eastAsia="宋体" w:hAnsi="Times New Roman" w:cs="Times New Roman"/>
                <w:bCs/>
                <w:color w:val="000000" w:themeColor="text1"/>
                <w:kern w:val="0"/>
                <w:szCs w:val="21"/>
              </w:rPr>
              <w:t>120 mmHg</w:t>
            </w:r>
          </w:p>
        </w:tc>
        <w:tc>
          <w:tcPr>
            <w:tcW w:w="2438" w:type="pct"/>
            <w:tcBorders>
              <w:top w:val="single" w:sz="4" w:space="0" w:color="auto"/>
              <w:left w:val="single" w:sz="4" w:space="0" w:color="auto"/>
              <w:bottom w:val="single" w:sz="4" w:space="0" w:color="auto"/>
              <w:right w:val="single" w:sz="4" w:space="0" w:color="auto"/>
            </w:tcBorders>
            <w:shd w:val="clear" w:color="auto" w:fill="auto"/>
          </w:tcPr>
          <w:p w:rsidR="002E5476" w:rsidRDefault="00423E71">
            <w:pPr>
              <w:widowControl/>
              <w:jc w:val="left"/>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糖尿病、蛋白尿、</w:t>
            </w:r>
            <w:r>
              <w:rPr>
                <w:rFonts w:ascii="Times New Roman" w:eastAsia="宋体" w:hAnsi="Times New Roman" w:cs="Times New Roman"/>
                <w:color w:val="000000" w:themeColor="text1"/>
                <w:kern w:val="0"/>
                <w:szCs w:val="21"/>
              </w:rPr>
              <w:t>eGFR</w:t>
            </w:r>
            <w:r>
              <w:rPr>
                <w:rFonts w:ascii="Times New Roman" w:eastAsia="宋体" w:hAnsi="Times New Roman" w:cs="Times New Roman" w:hint="eastAsia"/>
                <w:color w:val="000000" w:themeColor="text1"/>
                <w:kern w:val="0"/>
                <w:szCs w:val="21"/>
              </w:rPr>
              <w:t>下降这三者中满足两个，即应使用</w:t>
            </w:r>
            <w:r>
              <w:rPr>
                <w:rFonts w:ascii="Times New Roman" w:eastAsia="宋体" w:hAnsi="Times New Roman" w:cs="Times New Roman"/>
                <w:color w:val="000000" w:themeColor="text1"/>
                <w:kern w:val="0"/>
                <w:szCs w:val="21"/>
              </w:rPr>
              <w:t>ACEI</w:t>
            </w:r>
            <w:r>
              <w:rPr>
                <w:rFonts w:ascii="Times New Roman" w:eastAsia="宋体" w:hAnsi="Times New Roman" w:cs="Times New Roman" w:hint="eastAsia"/>
                <w:color w:val="000000" w:themeColor="text1"/>
                <w:kern w:val="0"/>
                <w:szCs w:val="21"/>
              </w:rPr>
              <w:t>或</w:t>
            </w:r>
            <w:r>
              <w:rPr>
                <w:rFonts w:ascii="Times New Roman" w:eastAsia="宋体" w:hAnsi="Times New Roman" w:cs="Times New Roman"/>
                <w:color w:val="000000" w:themeColor="text1"/>
                <w:kern w:val="0"/>
                <w:szCs w:val="21"/>
              </w:rPr>
              <w:t>ARB</w:t>
            </w:r>
          </w:p>
        </w:tc>
      </w:tr>
    </w:tbl>
    <w:p w:rsidR="00423E71" w:rsidRDefault="00423E71">
      <w:pPr>
        <w:spacing w:line="360" w:lineRule="auto"/>
        <w:jc w:val="left"/>
        <w:outlineLvl w:val="1"/>
        <w:rPr>
          <w:rStyle w:val="af0"/>
          <w:rFonts w:ascii="Times New Roman" w:eastAsia="宋体" w:hAnsi="Times New Roman" w:cs="Times New Roman"/>
          <w:i w:val="0"/>
          <w:iCs w:val="0"/>
          <w:color w:val="000000" w:themeColor="text1"/>
          <w:sz w:val="18"/>
          <w:szCs w:val="18"/>
          <w:shd w:val="clear" w:color="auto" w:fill="FFFFFF"/>
        </w:rPr>
      </w:pPr>
      <w:r>
        <w:rPr>
          <w:rFonts w:ascii="Times New Roman" w:eastAsia="宋体" w:hAnsi="Times New Roman" w:cs="Times New Roman" w:hint="eastAsia"/>
          <w:color w:val="000000" w:themeColor="text1"/>
          <w:sz w:val="18"/>
          <w:szCs w:val="18"/>
        </w:rPr>
        <w:t>注：</w:t>
      </w:r>
      <w:r>
        <w:rPr>
          <w:rFonts w:ascii="Times New Roman" w:eastAsia="宋体" w:hAnsi="Times New Roman" w:cs="Times New Roman"/>
          <w:color w:val="000000" w:themeColor="text1"/>
          <w:sz w:val="18"/>
          <w:szCs w:val="18"/>
        </w:rPr>
        <w:t>CKD</w:t>
      </w:r>
      <w:r>
        <w:rPr>
          <w:rFonts w:ascii="Times New Roman" w:eastAsia="宋体" w:hAnsi="Times New Roman" w:cs="Times New Roman" w:hint="eastAsia"/>
          <w:color w:val="000000" w:themeColor="text1"/>
          <w:sz w:val="18"/>
          <w:szCs w:val="18"/>
        </w:rPr>
        <w:t>：慢性肾脏病（</w:t>
      </w:r>
      <w:r>
        <w:rPr>
          <w:rFonts w:ascii="Times New Roman" w:eastAsia="宋体" w:hAnsi="Times New Roman" w:cs="Times New Roman"/>
          <w:color w:val="000000" w:themeColor="text1"/>
          <w:sz w:val="18"/>
          <w:szCs w:val="18"/>
        </w:rPr>
        <w:t>chronic kidney disease</w:t>
      </w:r>
      <w:r>
        <w:rPr>
          <w:rFonts w:ascii="Times New Roman" w:eastAsia="宋体" w:hAnsi="Times New Roman" w:cs="Times New Roman" w:hint="eastAsia"/>
          <w:color w:val="000000" w:themeColor="text1"/>
          <w:sz w:val="18"/>
          <w:szCs w:val="18"/>
        </w:rPr>
        <w:t>）；</w:t>
      </w:r>
      <w:r>
        <w:rPr>
          <w:rFonts w:ascii="Times New Roman" w:eastAsia="宋体" w:hAnsi="Times New Roman" w:cs="Times New Roman"/>
          <w:color w:val="000000" w:themeColor="text1"/>
          <w:sz w:val="18"/>
          <w:szCs w:val="18"/>
        </w:rPr>
        <w:t>CCB</w:t>
      </w:r>
      <w:r>
        <w:rPr>
          <w:rFonts w:ascii="Times New Roman" w:eastAsia="宋体" w:hAnsi="Times New Roman" w:cs="Times New Roman" w:hint="eastAsia"/>
          <w:color w:val="000000" w:themeColor="text1"/>
          <w:sz w:val="18"/>
          <w:szCs w:val="18"/>
        </w:rPr>
        <w:t>：钙通道阻滞剂（</w:t>
      </w:r>
      <w:r>
        <w:rPr>
          <w:rFonts w:ascii="Times New Roman" w:eastAsia="宋体" w:hAnsi="Times New Roman" w:cs="Times New Roman"/>
          <w:color w:val="000000" w:themeColor="text1"/>
          <w:sz w:val="18"/>
          <w:szCs w:val="18"/>
        </w:rPr>
        <w:t>calcium channel blocker</w:t>
      </w:r>
      <w:r>
        <w:rPr>
          <w:rFonts w:ascii="Times New Roman" w:eastAsia="宋体" w:hAnsi="Times New Roman" w:cs="Times New Roman" w:hint="eastAsia"/>
          <w:color w:val="000000" w:themeColor="text1"/>
          <w:sz w:val="18"/>
          <w:szCs w:val="18"/>
        </w:rPr>
        <w:t>）；</w:t>
      </w:r>
      <w:r>
        <w:rPr>
          <w:rFonts w:ascii="Times New Roman" w:eastAsia="宋体" w:hAnsi="Times New Roman" w:cs="Times New Roman"/>
          <w:color w:val="000000" w:themeColor="text1"/>
          <w:sz w:val="18"/>
          <w:szCs w:val="18"/>
        </w:rPr>
        <w:t>ACEI</w:t>
      </w:r>
      <w:r>
        <w:rPr>
          <w:rFonts w:ascii="Times New Roman" w:eastAsia="宋体" w:hAnsi="Times New Roman" w:cs="Times New Roman" w:hint="eastAsia"/>
          <w:color w:val="000000" w:themeColor="text1"/>
          <w:sz w:val="18"/>
          <w:szCs w:val="18"/>
        </w:rPr>
        <w:t>：血管紧张素转化酶抑制剂（</w:t>
      </w:r>
      <w:r>
        <w:rPr>
          <w:rFonts w:ascii="Times New Roman" w:eastAsia="宋体" w:hAnsi="Times New Roman" w:cs="Times New Roman"/>
          <w:color w:val="000000" w:themeColor="text1"/>
          <w:sz w:val="18"/>
          <w:szCs w:val="18"/>
        </w:rPr>
        <w:t>angiotensin converting enzyme inhibitor</w:t>
      </w:r>
      <w:r>
        <w:rPr>
          <w:rFonts w:ascii="Times New Roman" w:eastAsia="宋体" w:hAnsi="Times New Roman" w:cs="Times New Roman" w:hint="eastAsia"/>
          <w:color w:val="000000" w:themeColor="text1"/>
          <w:sz w:val="18"/>
          <w:szCs w:val="18"/>
        </w:rPr>
        <w:t>）；</w:t>
      </w:r>
      <w:r>
        <w:rPr>
          <w:rFonts w:ascii="Times New Roman" w:eastAsia="宋体" w:hAnsi="Times New Roman" w:cs="Times New Roman"/>
          <w:color w:val="000000" w:themeColor="text1"/>
          <w:sz w:val="18"/>
          <w:szCs w:val="18"/>
        </w:rPr>
        <w:t>ARB</w:t>
      </w:r>
      <w:r>
        <w:rPr>
          <w:rFonts w:ascii="Times New Roman" w:eastAsia="宋体" w:hAnsi="Times New Roman" w:cs="Times New Roman" w:hint="eastAsia"/>
          <w:color w:val="000000" w:themeColor="text1"/>
          <w:sz w:val="18"/>
          <w:szCs w:val="18"/>
        </w:rPr>
        <w:t>：血管紧张素Ⅱ受体阻滞剂（</w:t>
      </w:r>
      <w:r>
        <w:rPr>
          <w:rFonts w:ascii="Times New Roman" w:eastAsia="宋体" w:hAnsi="Times New Roman" w:cs="Times New Roman"/>
          <w:color w:val="000000" w:themeColor="text1"/>
          <w:sz w:val="18"/>
          <w:szCs w:val="18"/>
        </w:rPr>
        <w:t>angiotensin</w:t>
      </w:r>
      <w:r>
        <w:rPr>
          <w:rFonts w:ascii="Times New Roman" w:eastAsia="宋体" w:hAnsi="Times New Roman" w:cs="Times New Roman" w:hint="eastAsia"/>
          <w:color w:val="000000" w:themeColor="text1"/>
          <w:sz w:val="18"/>
          <w:szCs w:val="18"/>
        </w:rPr>
        <w:t>Ⅱ</w:t>
      </w:r>
      <w:r>
        <w:rPr>
          <w:rFonts w:ascii="Times New Roman" w:eastAsia="宋体" w:hAnsi="Times New Roman" w:cs="Times New Roman"/>
          <w:color w:val="000000" w:themeColor="text1"/>
          <w:sz w:val="18"/>
          <w:szCs w:val="18"/>
        </w:rPr>
        <w:t>receptor blocker</w:t>
      </w:r>
      <w:r>
        <w:rPr>
          <w:rFonts w:ascii="Times New Roman" w:eastAsia="宋体" w:hAnsi="Times New Roman" w:cs="Times New Roman" w:hint="eastAsia"/>
          <w:color w:val="000000" w:themeColor="text1"/>
          <w:sz w:val="18"/>
          <w:szCs w:val="18"/>
        </w:rPr>
        <w:t>）；</w:t>
      </w:r>
      <w:r>
        <w:rPr>
          <w:rFonts w:ascii="Times New Roman" w:eastAsia="宋体" w:hAnsi="Times New Roman" w:cs="Times New Roman"/>
          <w:color w:val="000000" w:themeColor="text1"/>
          <w:sz w:val="18"/>
          <w:szCs w:val="18"/>
        </w:rPr>
        <w:t>eGFR</w:t>
      </w:r>
      <w:r>
        <w:rPr>
          <w:rFonts w:ascii="Times New Roman" w:eastAsia="宋体" w:hAnsi="Times New Roman" w:cs="Times New Roman" w:hint="eastAsia"/>
          <w:color w:val="000000" w:themeColor="text1"/>
          <w:sz w:val="18"/>
          <w:szCs w:val="18"/>
        </w:rPr>
        <w:t>：估算的肾小球滤过率；</w:t>
      </w:r>
      <w:r>
        <w:rPr>
          <w:rFonts w:ascii="Times New Roman" w:eastAsia="宋体" w:hAnsi="Times New Roman" w:cs="Times New Roman"/>
          <w:color w:val="000000" w:themeColor="text1"/>
          <w:kern w:val="0"/>
          <w:sz w:val="18"/>
          <w:szCs w:val="18"/>
        </w:rPr>
        <w:t>A+C</w:t>
      </w:r>
      <w:r>
        <w:rPr>
          <w:rFonts w:ascii="Times New Roman" w:eastAsia="宋体" w:hAnsi="Times New Roman" w:cs="Times New Roman" w:hint="eastAsia"/>
          <w:color w:val="000000" w:themeColor="text1"/>
          <w:kern w:val="0"/>
          <w:sz w:val="18"/>
          <w:szCs w:val="18"/>
        </w:rPr>
        <w:t>：</w:t>
      </w:r>
      <w:r>
        <w:rPr>
          <w:rFonts w:ascii="Times New Roman" w:eastAsia="宋体" w:hAnsi="Times New Roman" w:cs="Times New Roman"/>
          <w:color w:val="000000" w:themeColor="text1"/>
          <w:kern w:val="0"/>
          <w:sz w:val="18"/>
          <w:szCs w:val="18"/>
        </w:rPr>
        <w:t>A</w:t>
      </w:r>
      <w:r>
        <w:rPr>
          <w:rFonts w:ascii="Times New Roman" w:eastAsia="宋体" w:hAnsi="Times New Roman" w:cs="Times New Roman" w:hint="eastAsia"/>
          <w:color w:val="000000" w:themeColor="text1"/>
          <w:kern w:val="0"/>
          <w:sz w:val="18"/>
          <w:szCs w:val="18"/>
        </w:rPr>
        <w:t>为</w:t>
      </w:r>
      <w:r>
        <w:rPr>
          <w:rFonts w:ascii="Times New Roman" w:eastAsia="宋体" w:hAnsi="Times New Roman" w:cs="Times New Roman"/>
          <w:color w:val="000000" w:themeColor="text1"/>
          <w:kern w:val="0"/>
          <w:sz w:val="18"/>
          <w:szCs w:val="18"/>
        </w:rPr>
        <w:t>ACEI</w:t>
      </w:r>
      <w:r>
        <w:rPr>
          <w:rFonts w:ascii="Times New Roman" w:eastAsia="宋体" w:hAnsi="Times New Roman" w:cs="Times New Roman" w:hint="eastAsia"/>
          <w:color w:val="000000" w:themeColor="text1"/>
          <w:kern w:val="0"/>
          <w:sz w:val="18"/>
          <w:szCs w:val="18"/>
        </w:rPr>
        <w:t>或</w:t>
      </w:r>
      <w:r>
        <w:rPr>
          <w:rFonts w:ascii="Times New Roman" w:eastAsia="宋体" w:hAnsi="Times New Roman" w:cs="Times New Roman"/>
          <w:color w:val="000000" w:themeColor="text1"/>
          <w:kern w:val="0"/>
          <w:sz w:val="18"/>
          <w:szCs w:val="18"/>
        </w:rPr>
        <w:t>ARB</w:t>
      </w:r>
      <w:r>
        <w:rPr>
          <w:rFonts w:ascii="Times New Roman" w:eastAsia="宋体" w:hAnsi="Times New Roman" w:cs="Times New Roman" w:hint="eastAsia"/>
          <w:color w:val="000000" w:themeColor="text1"/>
          <w:kern w:val="0"/>
          <w:sz w:val="18"/>
          <w:szCs w:val="18"/>
        </w:rPr>
        <w:t>，</w:t>
      </w:r>
      <w:r>
        <w:rPr>
          <w:rFonts w:ascii="Times New Roman" w:eastAsia="宋体" w:hAnsi="Times New Roman" w:cs="Times New Roman"/>
          <w:color w:val="000000" w:themeColor="text1"/>
          <w:kern w:val="0"/>
          <w:sz w:val="18"/>
          <w:szCs w:val="18"/>
        </w:rPr>
        <w:t>C</w:t>
      </w:r>
      <w:r>
        <w:rPr>
          <w:rFonts w:ascii="Times New Roman" w:eastAsia="宋体" w:hAnsi="Times New Roman" w:cs="Times New Roman" w:hint="eastAsia"/>
          <w:color w:val="000000" w:themeColor="text1"/>
          <w:kern w:val="0"/>
          <w:sz w:val="18"/>
          <w:szCs w:val="18"/>
        </w:rPr>
        <w:t>为</w:t>
      </w:r>
      <w:r>
        <w:rPr>
          <w:rStyle w:val="af0"/>
          <w:rFonts w:ascii="Times New Roman" w:eastAsia="宋体" w:hAnsi="Times New Roman" w:cs="Times New Roman" w:hint="eastAsia"/>
          <w:i w:val="0"/>
          <w:iCs w:val="0"/>
          <w:color w:val="000000" w:themeColor="text1"/>
          <w:sz w:val="18"/>
          <w:szCs w:val="18"/>
          <w:shd w:val="clear" w:color="auto" w:fill="FFFFFF"/>
        </w:rPr>
        <w:t>二氢吡啶类</w:t>
      </w:r>
      <w:r>
        <w:rPr>
          <w:rStyle w:val="af0"/>
          <w:rFonts w:ascii="Times New Roman" w:eastAsia="宋体" w:hAnsi="Times New Roman" w:cs="Times New Roman"/>
          <w:i w:val="0"/>
          <w:iCs w:val="0"/>
          <w:color w:val="000000" w:themeColor="text1"/>
          <w:sz w:val="18"/>
          <w:szCs w:val="18"/>
          <w:shd w:val="clear" w:color="auto" w:fill="FFFFFF"/>
        </w:rPr>
        <w:t>CCB</w:t>
      </w:r>
      <w:r>
        <w:rPr>
          <w:rStyle w:val="af0"/>
          <w:rFonts w:ascii="Times New Roman" w:eastAsia="宋体" w:hAnsi="Times New Roman" w:cs="Times New Roman" w:hint="eastAsia"/>
          <w:i w:val="0"/>
          <w:iCs w:val="0"/>
          <w:color w:val="000000" w:themeColor="text1"/>
          <w:sz w:val="18"/>
          <w:szCs w:val="18"/>
          <w:shd w:val="clear" w:color="auto" w:fill="FFFFFF"/>
        </w:rPr>
        <w:t>；</w:t>
      </w:r>
      <w:r>
        <w:rPr>
          <w:rStyle w:val="af0"/>
          <w:rFonts w:ascii="Times New Roman" w:eastAsia="宋体" w:hAnsi="Times New Roman" w:cs="Times New Roman"/>
          <w:i w:val="0"/>
          <w:iCs w:val="0"/>
          <w:color w:val="000000" w:themeColor="text1"/>
          <w:sz w:val="18"/>
          <w:szCs w:val="18"/>
          <w:shd w:val="clear" w:color="auto" w:fill="FFFFFF"/>
        </w:rPr>
        <w:t>SBP</w:t>
      </w:r>
      <w:r>
        <w:rPr>
          <w:rStyle w:val="af0"/>
          <w:rFonts w:ascii="Times New Roman" w:eastAsia="宋体" w:hAnsi="Times New Roman" w:cs="Times New Roman" w:hint="eastAsia"/>
          <w:i w:val="0"/>
          <w:iCs w:val="0"/>
          <w:color w:val="000000" w:themeColor="text1"/>
          <w:sz w:val="18"/>
          <w:szCs w:val="18"/>
          <w:shd w:val="clear" w:color="auto" w:fill="FFFFFF"/>
        </w:rPr>
        <w:t>：收缩压（</w:t>
      </w:r>
      <w:r>
        <w:rPr>
          <w:rStyle w:val="af0"/>
          <w:rFonts w:ascii="Times New Roman" w:eastAsia="宋体" w:hAnsi="Times New Roman" w:cs="Times New Roman"/>
          <w:i w:val="0"/>
          <w:iCs w:val="0"/>
          <w:color w:val="000000" w:themeColor="text1"/>
          <w:sz w:val="18"/>
          <w:szCs w:val="18"/>
          <w:shd w:val="clear" w:color="auto" w:fill="FFFFFF"/>
        </w:rPr>
        <w:t>systolic blood pressure</w:t>
      </w:r>
      <w:r>
        <w:rPr>
          <w:rStyle w:val="af0"/>
          <w:rFonts w:ascii="Times New Roman" w:eastAsia="宋体" w:hAnsi="Times New Roman" w:cs="Times New Roman" w:hint="eastAsia"/>
          <w:i w:val="0"/>
          <w:iCs w:val="0"/>
          <w:color w:val="000000" w:themeColor="text1"/>
          <w:sz w:val="18"/>
          <w:szCs w:val="18"/>
          <w:shd w:val="clear" w:color="auto" w:fill="FFFFFF"/>
        </w:rPr>
        <w:t>）；</w:t>
      </w:r>
      <w:r>
        <w:rPr>
          <w:rStyle w:val="af0"/>
          <w:rFonts w:ascii="Times New Roman" w:eastAsia="宋体" w:hAnsi="Times New Roman" w:cs="Times New Roman"/>
          <w:i w:val="0"/>
          <w:iCs w:val="0"/>
          <w:color w:val="000000" w:themeColor="text1"/>
          <w:sz w:val="18"/>
          <w:szCs w:val="18"/>
          <w:shd w:val="clear" w:color="auto" w:fill="FFFFFF"/>
        </w:rPr>
        <w:t>DBP</w:t>
      </w:r>
      <w:r>
        <w:rPr>
          <w:rStyle w:val="af0"/>
          <w:rFonts w:ascii="Times New Roman" w:eastAsia="宋体" w:hAnsi="Times New Roman" w:cs="Times New Roman" w:hint="eastAsia"/>
          <w:i w:val="0"/>
          <w:iCs w:val="0"/>
          <w:color w:val="000000" w:themeColor="text1"/>
          <w:sz w:val="18"/>
          <w:szCs w:val="18"/>
          <w:shd w:val="clear" w:color="auto" w:fill="FFFFFF"/>
        </w:rPr>
        <w:t>：舒张压（</w:t>
      </w:r>
      <w:r>
        <w:rPr>
          <w:rStyle w:val="af0"/>
          <w:rFonts w:ascii="Times New Roman" w:eastAsia="宋体" w:hAnsi="Times New Roman" w:cs="Times New Roman"/>
          <w:i w:val="0"/>
          <w:iCs w:val="0"/>
          <w:color w:val="000000" w:themeColor="text1"/>
          <w:sz w:val="18"/>
          <w:szCs w:val="18"/>
          <w:shd w:val="clear" w:color="auto" w:fill="FFFFFF"/>
        </w:rPr>
        <w:t>diastolic blood pressure</w:t>
      </w:r>
      <w:r>
        <w:rPr>
          <w:rStyle w:val="af0"/>
          <w:rFonts w:ascii="Times New Roman" w:eastAsia="宋体" w:hAnsi="Times New Roman" w:cs="Times New Roman" w:hint="eastAsia"/>
          <w:i w:val="0"/>
          <w:iCs w:val="0"/>
          <w:color w:val="000000" w:themeColor="text1"/>
          <w:sz w:val="18"/>
          <w:szCs w:val="18"/>
          <w:shd w:val="clear" w:color="auto" w:fill="FFFFFF"/>
        </w:rPr>
        <w:t>）</w:t>
      </w:r>
      <w:r>
        <w:rPr>
          <w:rStyle w:val="af0"/>
          <w:rFonts w:ascii="Times New Roman" w:eastAsia="宋体" w:hAnsi="Times New Roman" w:cs="Times New Roman"/>
          <w:i w:val="0"/>
          <w:iCs w:val="0"/>
          <w:color w:val="000000" w:themeColor="text1"/>
          <w:sz w:val="18"/>
          <w:szCs w:val="18"/>
          <w:shd w:val="clear" w:color="auto" w:fill="FFFFFF"/>
        </w:rPr>
        <w:t>; AER</w:t>
      </w:r>
      <w:r>
        <w:rPr>
          <w:rStyle w:val="af0"/>
          <w:rFonts w:ascii="Times New Roman" w:eastAsia="宋体" w:hAnsi="Times New Roman" w:cs="Times New Roman" w:hint="eastAsia"/>
          <w:i w:val="0"/>
          <w:iCs w:val="0"/>
          <w:color w:val="000000" w:themeColor="text1"/>
          <w:sz w:val="18"/>
          <w:szCs w:val="18"/>
          <w:shd w:val="clear" w:color="auto" w:fill="FFFFFF"/>
        </w:rPr>
        <w:t>：白蛋白排泄率（</w:t>
      </w:r>
      <w:r>
        <w:rPr>
          <w:rStyle w:val="af0"/>
          <w:rFonts w:ascii="Times New Roman" w:eastAsia="宋体" w:hAnsi="Times New Roman" w:cs="Times New Roman"/>
          <w:i w:val="0"/>
          <w:iCs w:val="0"/>
          <w:color w:val="000000" w:themeColor="text1"/>
          <w:sz w:val="18"/>
          <w:szCs w:val="18"/>
          <w:shd w:val="clear" w:color="auto" w:fill="FFFFFF"/>
        </w:rPr>
        <w:t>albumin excretion rate</w:t>
      </w:r>
      <w:r>
        <w:rPr>
          <w:rStyle w:val="af0"/>
          <w:rFonts w:ascii="Times New Roman" w:eastAsia="宋体" w:hAnsi="Times New Roman" w:cs="Times New Roman" w:hint="eastAsia"/>
          <w:i w:val="0"/>
          <w:iCs w:val="0"/>
          <w:color w:val="000000" w:themeColor="text1"/>
          <w:sz w:val="18"/>
          <w:szCs w:val="18"/>
          <w:shd w:val="clear" w:color="auto" w:fill="FFFFFF"/>
        </w:rPr>
        <w:t>）</w:t>
      </w:r>
    </w:p>
    <w:p w:rsidR="002E5476" w:rsidRDefault="00423E71">
      <w:pPr>
        <w:pStyle w:val="6"/>
        <w:numPr>
          <w:ilvl w:val="255"/>
          <w:numId w:val="0"/>
        </w:numPr>
        <w:spacing w:line="360" w:lineRule="auto"/>
        <w:rPr>
          <w:rFonts w:ascii="Times New Roman" w:eastAsia="宋体" w:hAnsi="Times New Roman" w:cs="Times New Roman"/>
          <w:b/>
          <w:bCs/>
          <w:color w:val="000000" w:themeColor="text1"/>
          <w:sz w:val="24"/>
          <w:szCs w:val="24"/>
        </w:rPr>
      </w:pPr>
      <w:bookmarkStart w:id="20" w:name="_Toc1648627986_WPSOffice_Level2"/>
      <w:r>
        <w:rPr>
          <w:rFonts w:ascii="Times New Roman" w:eastAsia="宋体" w:hAnsi="Times New Roman" w:cs="Times New Roman"/>
          <w:b/>
          <w:bCs/>
          <w:color w:val="000000" w:themeColor="text1"/>
          <w:sz w:val="24"/>
          <w:szCs w:val="24"/>
        </w:rPr>
        <w:lastRenderedPageBreak/>
        <w:t>2.2 CKD</w:t>
      </w:r>
      <w:r>
        <w:rPr>
          <w:rFonts w:ascii="Times New Roman" w:eastAsia="宋体" w:hAnsi="Times New Roman" w:cs="Times New Roman" w:hint="eastAsia"/>
          <w:b/>
          <w:bCs/>
          <w:color w:val="000000" w:themeColor="text1"/>
          <w:sz w:val="24"/>
          <w:szCs w:val="24"/>
        </w:rPr>
        <w:t>非透析人群降压药物的选择</w:t>
      </w:r>
      <w:bookmarkEnd w:id="20"/>
      <w:r>
        <w:rPr>
          <w:rFonts w:ascii="Times New Roman" w:eastAsia="宋体" w:hAnsi="Times New Roman" w:cs="Times New Roman" w:hint="eastAsia"/>
          <w:b/>
          <w:bCs/>
          <w:color w:val="000000" w:themeColor="text1"/>
          <w:sz w:val="24"/>
          <w:szCs w:val="24"/>
        </w:rPr>
        <w:t>原则</w:t>
      </w:r>
    </w:p>
    <w:p w:rsidR="002E5476" w:rsidRDefault="00B411DC">
      <w:pPr>
        <w:pStyle w:val="6"/>
        <w:numPr>
          <w:ilvl w:val="255"/>
          <w:numId w:val="0"/>
        </w:numPr>
        <w:spacing w:line="360" w:lineRule="auto"/>
        <w:rPr>
          <w:rFonts w:ascii="Times New Roman" w:eastAsia="宋体" w:hAnsi="Times New Roman" w:cs="Times New Roman"/>
          <w:b/>
          <w:bCs/>
          <w:color w:val="000000" w:themeColor="text1"/>
          <w:sz w:val="24"/>
          <w:szCs w:val="24"/>
        </w:rPr>
      </w:pPr>
      <w:r w:rsidRPr="00B411DC">
        <w:rPr>
          <w:rFonts w:ascii="Times New Roman" w:eastAsia="宋体" w:hAnsi="Times New Roman" w:cs="Times New Roman"/>
          <w:color w:val="000000" w:themeColor="text1"/>
          <w:sz w:val="24"/>
        </w:rPr>
        <w:pict>
          <v:roundrect id="_x0000_s2053" style="position:absolute;left:0;text-align:left;margin-left:19.6pt;margin-top:8.1pt;width:472.85pt;height:34.9pt;z-index:251661312;v-text-anchor:middle" arcsize="10923f" filled="f" strokecolor="#f79646" strokeweight="2pt">
            <v:textbox>
              <w:txbxContent>
                <w:p w:rsidR="00F47729" w:rsidRDefault="00F47729">
                  <w:pPr>
                    <w:jc w:val="left"/>
                  </w:pPr>
                  <w:r>
                    <w:rPr>
                      <w:rFonts w:asciiTheme="minorEastAsia" w:hAnsiTheme="minorEastAsia"/>
                      <w:b/>
                      <w:bCs/>
                      <w:sz w:val="24"/>
                      <w:szCs w:val="24"/>
                    </w:rPr>
                    <w:t>在</w:t>
                  </w:r>
                  <w:r>
                    <w:rPr>
                      <w:rFonts w:asciiTheme="minorEastAsia" w:hAnsiTheme="minorEastAsia" w:hint="eastAsia"/>
                      <w:b/>
                      <w:bCs/>
                      <w:sz w:val="24"/>
                      <w:szCs w:val="24"/>
                    </w:rPr>
                    <w:t>没有用药禁忌的前提下，</w:t>
                  </w:r>
                  <w:r>
                    <w:rPr>
                      <w:rFonts w:asciiTheme="minorEastAsia" w:hAnsiTheme="minorEastAsia"/>
                      <w:b/>
                      <w:bCs/>
                      <w:sz w:val="24"/>
                      <w:szCs w:val="24"/>
                    </w:rPr>
                    <w:t>ACEI/ARB</w:t>
                  </w:r>
                  <w:r>
                    <w:rPr>
                      <w:rFonts w:asciiTheme="minorEastAsia" w:hAnsiTheme="minorEastAsia" w:hint="eastAsia"/>
                      <w:b/>
                      <w:bCs/>
                      <w:sz w:val="24"/>
                      <w:szCs w:val="24"/>
                    </w:rPr>
                    <w:t>是</w:t>
                  </w:r>
                  <w:r>
                    <w:rPr>
                      <w:rFonts w:asciiTheme="minorEastAsia" w:hAnsiTheme="minorEastAsia"/>
                      <w:b/>
                      <w:bCs/>
                      <w:sz w:val="24"/>
                      <w:szCs w:val="24"/>
                    </w:rPr>
                    <w:t>CKD</w:t>
                  </w:r>
                  <w:r>
                    <w:rPr>
                      <w:rFonts w:asciiTheme="minorEastAsia" w:hAnsiTheme="minorEastAsia" w:hint="eastAsia"/>
                      <w:b/>
                      <w:bCs/>
                      <w:sz w:val="24"/>
                      <w:szCs w:val="24"/>
                    </w:rPr>
                    <w:t>人群降压治疗的基础用药。</w:t>
                  </w:r>
                </w:p>
              </w:txbxContent>
            </v:textbox>
          </v:roundrect>
        </w:pict>
      </w:r>
      <w:r w:rsidR="00423E71">
        <w:rPr>
          <w:rFonts w:ascii="Times New Roman" w:eastAsia="宋体" w:hAnsi="Times New Roman" w:cs="Times New Roman"/>
          <w:b/>
          <w:bCs/>
          <w:color w:val="000000" w:themeColor="text1"/>
          <w:sz w:val="24"/>
          <w:szCs w:val="24"/>
        </w:rPr>
        <w:t xml:space="preserve">    </w:t>
      </w:r>
    </w:p>
    <w:p w:rsidR="002E5476" w:rsidRDefault="002E5476">
      <w:pPr>
        <w:pStyle w:val="6"/>
        <w:numPr>
          <w:ilvl w:val="255"/>
          <w:numId w:val="0"/>
        </w:numPr>
        <w:spacing w:line="360" w:lineRule="auto"/>
        <w:rPr>
          <w:rFonts w:ascii="Times New Roman" w:eastAsia="宋体" w:hAnsi="Times New Roman" w:cs="Times New Roman"/>
          <w:b/>
          <w:bCs/>
          <w:color w:val="000000" w:themeColor="text1"/>
          <w:sz w:val="24"/>
          <w:szCs w:val="24"/>
        </w:rPr>
      </w:pPr>
    </w:p>
    <w:p w:rsidR="002E5476" w:rsidRDefault="00423E71">
      <w:pPr>
        <w:spacing w:line="360" w:lineRule="auto"/>
        <w:ind w:firstLineChars="200" w:firstLine="480"/>
        <w:jc w:val="left"/>
        <w:outlineLvl w:val="1"/>
        <w:rPr>
          <w:rFonts w:ascii="Times New Roman" w:eastAsia="宋体" w:hAnsi="Times New Roman" w:cs="Times New Roman"/>
          <w:bCs/>
          <w:color w:val="000000" w:themeColor="text1"/>
          <w:sz w:val="24"/>
          <w:szCs w:val="24"/>
        </w:rPr>
      </w:pPr>
      <w:r>
        <w:rPr>
          <w:rFonts w:ascii="Times New Roman" w:eastAsia="宋体" w:hAnsi="Times New Roman" w:cs="Times New Roman" w:hint="eastAsia"/>
          <w:bCs/>
          <w:color w:val="000000" w:themeColor="text1"/>
          <w:sz w:val="24"/>
          <w:szCs w:val="24"/>
        </w:rPr>
        <w:t>根据《中国高血压防治指南</w:t>
      </w:r>
      <w:r>
        <w:rPr>
          <w:rFonts w:ascii="Times New Roman" w:eastAsia="宋体" w:hAnsi="Times New Roman" w:cs="Times New Roman"/>
          <w:bCs/>
          <w:color w:val="000000" w:themeColor="text1"/>
          <w:sz w:val="24"/>
          <w:szCs w:val="24"/>
        </w:rPr>
        <w:t>2018</w:t>
      </w:r>
      <w:r>
        <w:rPr>
          <w:rFonts w:ascii="Times New Roman" w:eastAsia="宋体" w:hAnsi="Times New Roman" w:cs="Times New Roman" w:hint="eastAsia"/>
          <w:bCs/>
          <w:color w:val="000000" w:themeColor="text1"/>
          <w:sz w:val="24"/>
          <w:szCs w:val="24"/>
        </w:rPr>
        <w:t>年修订版》</w:t>
      </w:r>
      <w:r w:rsidR="00B411DC">
        <w:rPr>
          <w:rFonts w:ascii="Times New Roman" w:eastAsia="宋体" w:hAnsi="Times New Roman" w:cs="Times New Roman"/>
          <w:bCs/>
          <w:color w:val="000000" w:themeColor="text1"/>
          <w:sz w:val="24"/>
          <w:szCs w:val="24"/>
        </w:rPr>
        <w:fldChar w:fldCharType="begin"/>
      </w:r>
      <w:r>
        <w:rPr>
          <w:rFonts w:ascii="Times New Roman" w:eastAsia="宋体" w:hAnsi="Times New Roman" w:cs="Times New Roman"/>
          <w:bCs/>
          <w:color w:val="000000" w:themeColor="text1"/>
          <w:sz w:val="24"/>
          <w:szCs w:val="24"/>
        </w:rPr>
        <w:instrText xml:space="preserve"> ADDIN NE.Ref.{6273B0AD-CFF0-4C45-9882-CD4F0B90B2E8}</w:instrText>
      </w:r>
      <w:r w:rsidR="00B411DC">
        <w:rPr>
          <w:rFonts w:ascii="Times New Roman" w:eastAsia="宋体" w:hAnsi="Times New Roman" w:cs="Times New Roman"/>
          <w:bCs/>
          <w:color w:val="000000" w:themeColor="text1"/>
          <w:sz w:val="24"/>
          <w:szCs w:val="24"/>
        </w:rPr>
        <w:fldChar w:fldCharType="separate"/>
      </w:r>
      <w:r>
        <w:rPr>
          <w:rFonts w:ascii="Times New Roman" w:eastAsia="宋体" w:hAnsi="Times New Roman" w:cs="Times New Roman"/>
          <w:color w:val="000000" w:themeColor="text1"/>
          <w:kern w:val="0"/>
          <w:sz w:val="24"/>
          <w:szCs w:val="24"/>
          <w:vertAlign w:val="superscript"/>
        </w:rPr>
        <w:t>[12]</w:t>
      </w:r>
      <w:r w:rsidR="00B411DC">
        <w:rPr>
          <w:rFonts w:ascii="Times New Roman" w:eastAsia="宋体" w:hAnsi="Times New Roman" w:cs="Times New Roman"/>
          <w:bCs/>
          <w:color w:val="000000" w:themeColor="text1"/>
          <w:sz w:val="24"/>
          <w:szCs w:val="24"/>
        </w:rPr>
        <w:fldChar w:fldCharType="end"/>
      </w:r>
      <w:r>
        <w:rPr>
          <w:rFonts w:ascii="Times New Roman" w:eastAsia="宋体" w:hAnsi="Times New Roman" w:cs="Times New Roman" w:hint="eastAsia"/>
          <w:bCs/>
          <w:color w:val="000000" w:themeColor="text1"/>
          <w:sz w:val="24"/>
          <w:szCs w:val="24"/>
        </w:rPr>
        <w:t>推荐，依据血压分级和心血管危险因素分层决定单药或联合药物起始，优先选择长效制剂，个体化用药。在起始治疗的药物选择方面，钙离子通道阻滞剂（</w:t>
      </w:r>
      <w:r>
        <w:rPr>
          <w:rFonts w:ascii="Times New Roman" w:eastAsia="宋体" w:hAnsi="Times New Roman" w:cs="Times New Roman"/>
          <w:bCs/>
          <w:color w:val="000000" w:themeColor="text1"/>
          <w:sz w:val="24"/>
          <w:szCs w:val="24"/>
        </w:rPr>
        <w:t>calcium channel blocker, CCB</w:t>
      </w:r>
      <w:r>
        <w:rPr>
          <w:rFonts w:ascii="Times New Roman" w:eastAsia="宋体" w:hAnsi="Times New Roman" w:cs="Times New Roman" w:hint="eastAsia"/>
          <w:bCs/>
          <w:color w:val="000000" w:themeColor="text1"/>
          <w:sz w:val="24"/>
          <w:szCs w:val="24"/>
        </w:rPr>
        <w:t>）、血管紧张素转化酶抑制剂（</w:t>
      </w:r>
      <w:r>
        <w:rPr>
          <w:rFonts w:ascii="Times New Roman" w:eastAsia="宋体" w:hAnsi="Times New Roman" w:cs="Times New Roman"/>
          <w:bCs/>
          <w:color w:val="000000" w:themeColor="text1"/>
          <w:sz w:val="24"/>
          <w:szCs w:val="24"/>
        </w:rPr>
        <w:t>angiotensin converting enzyme inhibitor, ACEI</w:t>
      </w:r>
      <w:r>
        <w:rPr>
          <w:rFonts w:ascii="Times New Roman" w:eastAsia="宋体" w:hAnsi="Times New Roman" w:cs="Times New Roman" w:hint="eastAsia"/>
          <w:bCs/>
          <w:color w:val="000000" w:themeColor="text1"/>
          <w:sz w:val="24"/>
          <w:szCs w:val="24"/>
        </w:rPr>
        <w:t>）、血管紧张素Ⅱ受体阻滞剂（</w:t>
      </w:r>
      <w:r>
        <w:rPr>
          <w:rFonts w:ascii="Times New Roman" w:eastAsia="宋体" w:hAnsi="Times New Roman" w:cs="Times New Roman"/>
          <w:bCs/>
          <w:color w:val="000000" w:themeColor="text1"/>
          <w:sz w:val="24"/>
          <w:szCs w:val="24"/>
        </w:rPr>
        <w:t>angiotensin</w:t>
      </w:r>
      <w:r>
        <w:rPr>
          <w:rFonts w:ascii="Times New Roman" w:eastAsia="宋体" w:hAnsi="Times New Roman" w:cs="Times New Roman" w:hint="eastAsia"/>
          <w:bCs/>
          <w:color w:val="000000" w:themeColor="text1"/>
          <w:sz w:val="24"/>
          <w:szCs w:val="24"/>
        </w:rPr>
        <w:t>Ⅱ</w:t>
      </w:r>
      <w:r>
        <w:rPr>
          <w:rFonts w:ascii="Times New Roman" w:eastAsia="宋体" w:hAnsi="Times New Roman" w:cs="Times New Roman"/>
          <w:bCs/>
          <w:color w:val="000000" w:themeColor="text1"/>
          <w:sz w:val="24"/>
          <w:szCs w:val="24"/>
        </w:rPr>
        <w:t>receptor blocker, ARB )</w:t>
      </w:r>
      <w:r>
        <w:rPr>
          <w:rFonts w:ascii="Times New Roman" w:eastAsia="宋体" w:hAnsi="Times New Roman" w:cs="Times New Roman" w:hint="eastAsia"/>
          <w:bCs/>
          <w:color w:val="000000" w:themeColor="text1"/>
          <w:sz w:val="24"/>
          <w:szCs w:val="24"/>
        </w:rPr>
        <w:t>、利尿剂、β受体阻滞剂以及固定配比的复方制剂均可。对血压≥</w:t>
      </w:r>
      <w:r>
        <w:rPr>
          <w:rFonts w:ascii="Times New Roman" w:eastAsia="宋体" w:hAnsi="Times New Roman" w:cs="Times New Roman"/>
          <w:bCs/>
          <w:color w:val="000000" w:themeColor="text1"/>
          <w:sz w:val="24"/>
          <w:szCs w:val="24"/>
        </w:rPr>
        <w:t>160/100 mmHg</w:t>
      </w:r>
      <w:r>
        <w:rPr>
          <w:rFonts w:ascii="Times New Roman" w:eastAsia="宋体" w:hAnsi="Times New Roman" w:cs="Times New Roman" w:hint="eastAsia"/>
          <w:bCs/>
          <w:color w:val="000000" w:themeColor="text1"/>
          <w:sz w:val="24"/>
          <w:szCs w:val="24"/>
        </w:rPr>
        <w:t>、高于目标血压</w:t>
      </w:r>
      <w:r>
        <w:rPr>
          <w:rFonts w:ascii="Times New Roman" w:eastAsia="宋体" w:hAnsi="Times New Roman" w:cs="Times New Roman"/>
          <w:bCs/>
          <w:color w:val="000000" w:themeColor="text1"/>
          <w:sz w:val="24"/>
          <w:szCs w:val="24"/>
        </w:rPr>
        <w:t>20/10 mmHg</w:t>
      </w:r>
      <w:r>
        <w:rPr>
          <w:rFonts w:ascii="Times New Roman" w:eastAsia="宋体" w:hAnsi="Times New Roman" w:cs="Times New Roman" w:hint="eastAsia"/>
          <w:bCs/>
          <w:color w:val="000000" w:themeColor="text1"/>
          <w:sz w:val="24"/>
          <w:szCs w:val="24"/>
        </w:rPr>
        <w:t>的高危患者或单药治疗未达标的高血压患者，应进行联合降压治疗，包括自由联合或单片复方制剂；对血压≥</w:t>
      </w:r>
      <w:r>
        <w:rPr>
          <w:rFonts w:ascii="Times New Roman" w:eastAsia="宋体" w:hAnsi="Times New Roman" w:cs="Times New Roman"/>
          <w:bCs/>
          <w:color w:val="000000" w:themeColor="text1"/>
          <w:sz w:val="24"/>
          <w:szCs w:val="24"/>
        </w:rPr>
        <w:t>140/90 mmHg</w:t>
      </w:r>
      <w:r>
        <w:rPr>
          <w:rFonts w:ascii="Times New Roman" w:eastAsia="宋体" w:hAnsi="Times New Roman" w:cs="Times New Roman" w:hint="eastAsia"/>
          <w:bCs/>
          <w:color w:val="000000" w:themeColor="text1"/>
          <w:sz w:val="24"/>
          <w:szCs w:val="24"/>
        </w:rPr>
        <w:t>的患者，也可起始小剂量联合治疗。我国指南对于单药、自由联合用药还是单片复方制剂之间究竟选择哪一种更优并没有明确的推荐，均可作为选择。</w:t>
      </w:r>
    </w:p>
    <w:p w:rsidR="002E5476" w:rsidRDefault="00423E71">
      <w:pPr>
        <w:spacing w:line="360" w:lineRule="auto"/>
        <w:ind w:firstLineChars="200" w:firstLine="480"/>
        <w:jc w:val="left"/>
        <w:outlineLvl w:val="1"/>
        <w:rPr>
          <w:rFonts w:ascii="Times New Roman" w:eastAsia="宋体" w:hAnsi="Times New Roman" w:cs="Times New Roman"/>
          <w:bCs/>
          <w:color w:val="000000" w:themeColor="text1"/>
          <w:sz w:val="24"/>
          <w:szCs w:val="24"/>
        </w:rPr>
      </w:pPr>
      <w:r>
        <w:rPr>
          <w:rFonts w:ascii="Times New Roman" w:eastAsia="宋体" w:hAnsi="Times New Roman" w:cs="Times New Roman" w:hint="eastAsia"/>
          <w:bCs/>
          <w:color w:val="000000" w:themeColor="text1"/>
          <w:sz w:val="24"/>
          <w:szCs w:val="24"/>
        </w:rPr>
        <w:t>高血压合并</w:t>
      </w:r>
      <w:r>
        <w:rPr>
          <w:rFonts w:ascii="Times New Roman" w:eastAsia="宋体" w:hAnsi="Times New Roman" w:cs="Times New Roman"/>
          <w:bCs/>
          <w:color w:val="000000" w:themeColor="text1"/>
          <w:sz w:val="24"/>
          <w:szCs w:val="24"/>
        </w:rPr>
        <w:t>CKD</w:t>
      </w:r>
      <w:r>
        <w:rPr>
          <w:rFonts w:ascii="Times New Roman" w:eastAsia="宋体" w:hAnsi="Times New Roman" w:cs="Times New Roman" w:hint="eastAsia"/>
          <w:bCs/>
          <w:color w:val="000000" w:themeColor="text1"/>
          <w:sz w:val="24"/>
          <w:szCs w:val="24"/>
        </w:rPr>
        <w:t>患者降压药物的选择除了需要注意普遍适用的降压疗效、安全性及依从性外，还需要综合考虑是否合并糖尿病、蛋白尿、心肾保护作用，以及对特殊人群如血液透析、肾移植、妊娠、老年等药物选择方面的注意事项。选择的药物主要包括</w:t>
      </w:r>
      <w:r>
        <w:rPr>
          <w:rFonts w:ascii="Times New Roman" w:eastAsia="宋体" w:hAnsi="Times New Roman" w:cs="Times New Roman"/>
          <w:bCs/>
          <w:color w:val="000000" w:themeColor="text1"/>
          <w:sz w:val="24"/>
          <w:szCs w:val="24"/>
        </w:rPr>
        <w:t>ACEI</w:t>
      </w:r>
      <w:r>
        <w:rPr>
          <w:rFonts w:ascii="Times New Roman" w:eastAsia="宋体" w:hAnsi="Times New Roman" w:cs="Times New Roman" w:hint="eastAsia"/>
          <w:bCs/>
          <w:color w:val="000000" w:themeColor="text1"/>
          <w:sz w:val="24"/>
          <w:szCs w:val="24"/>
        </w:rPr>
        <w:t>、</w:t>
      </w:r>
      <w:r>
        <w:rPr>
          <w:rFonts w:ascii="Times New Roman" w:eastAsia="宋体" w:hAnsi="Times New Roman" w:cs="Times New Roman"/>
          <w:bCs/>
          <w:color w:val="000000" w:themeColor="text1"/>
          <w:sz w:val="24"/>
          <w:szCs w:val="24"/>
        </w:rPr>
        <w:t>ARB</w:t>
      </w:r>
      <w:r>
        <w:rPr>
          <w:rFonts w:ascii="Times New Roman" w:eastAsia="宋体" w:hAnsi="Times New Roman" w:cs="Times New Roman" w:hint="eastAsia"/>
          <w:bCs/>
          <w:color w:val="000000" w:themeColor="text1"/>
          <w:sz w:val="24"/>
          <w:szCs w:val="24"/>
        </w:rPr>
        <w:t>、</w:t>
      </w:r>
      <w:r>
        <w:rPr>
          <w:rFonts w:ascii="Times New Roman" w:eastAsia="宋体" w:hAnsi="Times New Roman" w:cs="Times New Roman"/>
          <w:bCs/>
          <w:color w:val="000000" w:themeColor="text1"/>
          <w:sz w:val="24"/>
          <w:szCs w:val="24"/>
        </w:rPr>
        <w:t>CCB</w:t>
      </w:r>
      <w:r>
        <w:rPr>
          <w:rFonts w:ascii="Times New Roman" w:eastAsia="宋体" w:hAnsi="Times New Roman" w:cs="Times New Roman" w:hint="eastAsia"/>
          <w:bCs/>
          <w:color w:val="000000" w:themeColor="text1"/>
          <w:sz w:val="24"/>
          <w:szCs w:val="24"/>
        </w:rPr>
        <w:t>、噻嗪类利尿剂、袢利尿剂、α</w:t>
      </w:r>
      <w:r>
        <w:rPr>
          <w:rFonts w:ascii="Times New Roman" w:eastAsia="宋体" w:hAnsi="Times New Roman" w:cs="Times New Roman"/>
          <w:bCs/>
          <w:color w:val="000000" w:themeColor="text1"/>
          <w:sz w:val="24"/>
          <w:szCs w:val="24"/>
        </w:rPr>
        <w:t>/</w:t>
      </w:r>
      <w:r>
        <w:rPr>
          <w:rFonts w:ascii="Times New Roman" w:eastAsia="宋体" w:hAnsi="Times New Roman" w:cs="Times New Roman" w:hint="eastAsia"/>
          <w:bCs/>
          <w:color w:val="000000" w:themeColor="text1"/>
          <w:sz w:val="24"/>
          <w:szCs w:val="24"/>
        </w:rPr>
        <w:t>β受体阻滞剂等，其中</w:t>
      </w:r>
      <w:r>
        <w:rPr>
          <w:rFonts w:ascii="Times New Roman" w:eastAsia="宋体" w:hAnsi="Times New Roman" w:cs="Times New Roman"/>
          <w:bCs/>
          <w:color w:val="000000" w:themeColor="text1"/>
          <w:sz w:val="24"/>
          <w:szCs w:val="24"/>
        </w:rPr>
        <w:t>ACEI</w:t>
      </w:r>
      <w:r>
        <w:rPr>
          <w:rFonts w:ascii="Times New Roman" w:eastAsia="宋体" w:hAnsi="Times New Roman" w:cs="Times New Roman" w:hint="eastAsia"/>
          <w:bCs/>
          <w:color w:val="000000" w:themeColor="text1"/>
          <w:sz w:val="24"/>
          <w:szCs w:val="24"/>
        </w:rPr>
        <w:t>或</w:t>
      </w:r>
      <w:r>
        <w:rPr>
          <w:rFonts w:ascii="Times New Roman" w:eastAsia="宋体" w:hAnsi="Times New Roman" w:cs="Times New Roman"/>
          <w:bCs/>
          <w:color w:val="000000" w:themeColor="text1"/>
          <w:sz w:val="24"/>
          <w:szCs w:val="24"/>
        </w:rPr>
        <w:t>ARB</w:t>
      </w:r>
      <w:r>
        <w:rPr>
          <w:rFonts w:ascii="Times New Roman" w:eastAsia="宋体" w:hAnsi="Times New Roman" w:cs="Times New Roman" w:hint="eastAsia"/>
          <w:bCs/>
          <w:color w:val="000000" w:themeColor="text1"/>
          <w:sz w:val="24"/>
          <w:szCs w:val="24"/>
        </w:rPr>
        <w:t>为首选药物。</w:t>
      </w:r>
    </w:p>
    <w:p w:rsidR="002E5476" w:rsidRDefault="00423E71">
      <w:pPr>
        <w:pStyle w:val="6"/>
        <w:numPr>
          <w:ilvl w:val="255"/>
          <w:numId w:val="0"/>
        </w:numPr>
        <w:rPr>
          <w:rFonts w:ascii="Times New Roman" w:eastAsia="宋体" w:hAnsi="Times New Roman" w:cs="Times New Roman"/>
          <w:b/>
          <w:bCs/>
          <w:color w:val="000000" w:themeColor="text1"/>
          <w:sz w:val="24"/>
          <w:szCs w:val="24"/>
        </w:rPr>
      </w:pPr>
      <w:bookmarkStart w:id="21" w:name="_Toc1648627986_WPSOffice_Level3"/>
      <w:r>
        <w:rPr>
          <w:rFonts w:ascii="Times New Roman" w:eastAsia="宋体" w:hAnsi="Times New Roman" w:cs="Times New Roman"/>
          <w:b/>
          <w:bCs/>
          <w:color w:val="000000" w:themeColor="text1"/>
          <w:sz w:val="24"/>
          <w:szCs w:val="24"/>
        </w:rPr>
        <w:t>2.2.1</w:t>
      </w:r>
      <w:r>
        <w:rPr>
          <w:rFonts w:ascii="Times New Roman" w:eastAsia="宋体" w:hAnsi="Times New Roman" w:cs="Times New Roman" w:hint="eastAsia"/>
          <w:b/>
          <w:bCs/>
          <w:color w:val="000000" w:themeColor="text1"/>
          <w:sz w:val="24"/>
          <w:szCs w:val="24"/>
        </w:rPr>
        <w:t xml:space="preserve"> </w:t>
      </w:r>
      <w:r>
        <w:rPr>
          <w:rFonts w:ascii="Times New Roman" w:eastAsia="宋体" w:hAnsi="Times New Roman" w:cs="Times New Roman" w:hint="eastAsia"/>
          <w:b/>
          <w:bCs/>
          <w:color w:val="000000" w:themeColor="text1"/>
          <w:sz w:val="24"/>
          <w:szCs w:val="24"/>
        </w:rPr>
        <w:t>不同类型降压药物的特点</w:t>
      </w:r>
      <w:bookmarkEnd w:id="21"/>
    </w:p>
    <w:p w:rsidR="00423E71" w:rsidRDefault="00423E71" w:rsidP="00423E71">
      <w:pPr>
        <w:spacing w:line="360" w:lineRule="auto"/>
        <w:ind w:firstLineChars="200" w:firstLine="480"/>
        <w:jc w:val="left"/>
        <w:outlineLvl w:val="1"/>
        <w:rPr>
          <w:rFonts w:ascii="Times New Roman" w:eastAsia="宋体" w:hAnsi="Times New Roman" w:cs="Times New Roman"/>
          <w:color w:val="000000" w:themeColor="text1"/>
          <w:sz w:val="24"/>
          <w:szCs w:val="24"/>
        </w:rPr>
      </w:pPr>
      <w:r>
        <w:rPr>
          <w:rFonts w:ascii="Times New Roman" w:eastAsia="宋体" w:hAnsi="Times New Roman" w:cs="Times New Roman"/>
          <w:bCs/>
          <w:color w:val="000000" w:themeColor="text1"/>
          <w:sz w:val="24"/>
          <w:szCs w:val="24"/>
        </w:rPr>
        <w:t>CKD</w:t>
      </w:r>
      <w:r>
        <w:rPr>
          <w:rFonts w:ascii="Times New Roman" w:eastAsia="宋体" w:hAnsi="Times New Roman" w:cs="Times New Roman" w:hint="eastAsia"/>
          <w:bCs/>
          <w:color w:val="000000" w:themeColor="text1"/>
          <w:sz w:val="24"/>
          <w:szCs w:val="24"/>
        </w:rPr>
        <w:t>患者的降压药物按作用机制可分为以下几大类</w:t>
      </w:r>
      <w:r>
        <w:rPr>
          <w:rFonts w:ascii="Times New Roman" w:eastAsia="宋体" w:hAnsi="Times New Roman" w:cs="Times New Roman" w:hint="eastAsia"/>
          <w:color w:val="000000" w:themeColor="text1"/>
          <w:sz w:val="24"/>
          <w:szCs w:val="24"/>
        </w:rPr>
        <w:t>：</w:t>
      </w:r>
      <w:r>
        <w:rPr>
          <w:rFonts w:ascii="Times New Roman" w:eastAsia="宋体" w:hAnsi="Times New Roman" w:cs="Times New Roman"/>
          <w:color w:val="000000" w:themeColor="text1"/>
          <w:sz w:val="24"/>
          <w:szCs w:val="24"/>
        </w:rPr>
        <w:t>ACEI/ARB</w:t>
      </w:r>
      <w:r>
        <w:rPr>
          <w:rFonts w:ascii="Times New Roman" w:eastAsia="宋体" w:hAnsi="Times New Roman" w:cs="Times New Roman" w:hint="eastAsia"/>
          <w:color w:val="000000" w:themeColor="text1"/>
          <w:sz w:val="24"/>
          <w:szCs w:val="24"/>
        </w:rPr>
        <w:t>、</w:t>
      </w:r>
      <w:r>
        <w:rPr>
          <w:rFonts w:ascii="Times New Roman" w:eastAsia="宋体" w:hAnsi="Times New Roman" w:cs="Times New Roman"/>
          <w:color w:val="000000" w:themeColor="text1"/>
          <w:sz w:val="24"/>
          <w:szCs w:val="24"/>
        </w:rPr>
        <w:t>CCB</w:t>
      </w:r>
      <w:r>
        <w:rPr>
          <w:rFonts w:ascii="Times New Roman" w:eastAsia="宋体" w:hAnsi="Times New Roman" w:cs="Times New Roman" w:hint="eastAsia"/>
          <w:color w:val="000000" w:themeColor="text1"/>
          <w:sz w:val="24"/>
          <w:szCs w:val="24"/>
        </w:rPr>
        <w:t>、</w:t>
      </w:r>
      <w:r>
        <w:rPr>
          <w:rFonts w:ascii="Times New Roman" w:eastAsia="宋体" w:hAnsi="Times New Roman" w:cs="Times New Roman"/>
          <w:color w:val="000000" w:themeColor="text1"/>
          <w:sz w:val="24"/>
          <w:szCs w:val="24"/>
        </w:rPr>
        <w:t>α</w:t>
      </w:r>
      <w:r>
        <w:rPr>
          <w:rFonts w:ascii="Times New Roman" w:eastAsia="宋体" w:hAnsi="Times New Roman" w:cs="Times New Roman" w:hint="eastAsia"/>
          <w:color w:val="000000" w:themeColor="text1"/>
          <w:sz w:val="24"/>
          <w:szCs w:val="24"/>
        </w:rPr>
        <w:t>受体阻滞剂、</w:t>
      </w:r>
      <w:r>
        <w:rPr>
          <w:rFonts w:ascii="Times New Roman" w:eastAsia="宋体" w:hAnsi="Times New Roman" w:cs="Times New Roman"/>
          <w:color w:val="000000" w:themeColor="text1"/>
          <w:sz w:val="24"/>
          <w:szCs w:val="24"/>
        </w:rPr>
        <w:t>β</w:t>
      </w:r>
      <w:r>
        <w:rPr>
          <w:rFonts w:ascii="Times New Roman" w:eastAsia="宋体" w:hAnsi="Times New Roman" w:cs="Times New Roman" w:hint="eastAsia"/>
          <w:color w:val="000000" w:themeColor="text1"/>
          <w:sz w:val="24"/>
          <w:szCs w:val="24"/>
        </w:rPr>
        <w:t>受体阻滞剂、利尿剂和其他类</w:t>
      </w:r>
      <w:r w:rsidR="00B411DC">
        <w:rPr>
          <w:rFonts w:ascii="Times New Roman" w:eastAsia="宋体" w:hAnsi="Times New Roman" w:cs="Times New Roman"/>
          <w:color w:val="000000" w:themeColor="text1"/>
          <w:sz w:val="24"/>
          <w:szCs w:val="24"/>
        </w:rPr>
        <w:fldChar w:fldCharType="begin"/>
      </w:r>
      <w:r>
        <w:rPr>
          <w:rFonts w:ascii="Times New Roman" w:eastAsia="宋体" w:hAnsi="Times New Roman" w:cs="Times New Roman"/>
          <w:color w:val="000000" w:themeColor="text1"/>
          <w:sz w:val="24"/>
          <w:szCs w:val="24"/>
        </w:rPr>
        <w:instrText xml:space="preserve"> ADDIN NE.Ref.{5879880A-49D9-4A8B-9635-D063C882407E}</w:instrText>
      </w:r>
      <w:r w:rsidR="00B411DC">
        <w:rPr>
          <w:rFonts w:ascii="Times New Roman" w:eastAsia="宋体" w:hAnsi="Times New Roman" w:cs="Times New Roman"/>
          <w:color w:val="000000" w:themeColor="text1"/>
          <w:sz w:val="24"/>
          <w:szCs w:val="24"/>
        </w:rPr>
        <w:fldChar w:fldCharType="end"/>
      </w:r>
      <w:r>
        <w:rPr>
          <w:rFonts w:ascii="Times New Roman" w:eastAsia="宋体" w:hAnsi="Times New Roman" w:cs="Times New Roman" w:hint="eastAsia"/>
          <w:color w:val="000000" w:themeColor="text1"/>
          <w:sz w:val="24"/>
          <w:szCs w:val="24"/>
        </w:rPr>
        <w:t>。（不同降压药物的药代动力学特点详见文末附表</w:t>
      </w:r>
      <w:r>
        <w:rPr>
          <w:rFonts w:ascii="Times New Roman" w:eastAsia="宋体" w:hAnsi="Times New Roman" w:cs="Times New Roman"/>
          <w:color w:val="000000" w:themeColor="text1"/>
          <w:sz w:val="24"/>
          <w:szCs w:val="24"/>
        </w:rPr>
        <w:t>3</w:t>
      </w:r>
      <w:r>
        <w:rPr>
          <w:rFonts w:ascii="Times New Roman" w:eastAsia="宋体" w:hAnsi="Times New Roman" w:cs="Times New Roman" w:hint="eastAsia"/>
          <w:color w:val="000000" w:themeColor="text1"/>
          <w:sz w:val="24"/>
          <w:szCs w:val="24"/>
        </w:rPr>
        <w:t>）</w:t>
      </w:r>
    </w:p>
    <w:p w:rsidR="002E5476" w:rsidRDefault="00423E71" w:rsidP="00423E71">
      <w:pPr>
        <w:spacing w:line="360" w:lineRule="auto"/>
        <w:ind w:firstLineChars="200" w:firstLine="482"/>
        <w:jc w:val="left"/>
        <w:outlineLvl w:val="1"/>
        <w:rPr>
          <w:rFonts w:ascii="Times New Roman" w:eastAsia="宋体" w:hAnsi="Times New Roman" w:cs="Times New Roman"/>
          <w:color w:val="000000" w:themeColor="text1"/>
          <w:sz w:val="24"/>
          <w:szCs w:val="24"/>
        </w:rPr>
      </w:pPr>
      <w:r>
        <w:rPr>
          <w:rFonts w:ascii="Times New Roman" w:eastAsia="宋体" w:hAnsi="Times New Roman" w:cs="Times New Roman"/>
          <w:b/>
          <w:bCs/>
          <w:color w:val="000000" w:themeColor="text1"/>
          <w:sz w:val="24"/>
          <w:szCs w:val="24"/>
        </w:rPr>
        <w:t>2.2.1.1 ACEI</w:t>
      </w:r>
      <w:r>
        <w:rPr>
          <w:rFonts w:ascii="Times New Roman" w:eastAsia="宋体" w:hAnsi="Times New Roman" w:cs="Times New Roman" w:hint="eastAsia"/>
          <w:b/>
          <w:bCs/>
          <w:color w:val="000000" w:themeColor="text1"/>
          <w:sz w:val="24"/>
          <w:szCs w:val="24"/>
        </w:rPr>
        <w:t>和</w:t>
      </w:r>
      <w:r>
        <w:rPr>
          <w:rFonts w:ascii="Times New Roman" w:eastAsia="宋体" w:hAnsi="Times New Roman" w:cs="Times New Roman"/>
          <w:b/>
          <w:bCs/>
          <w:color w:val="000000" w:themeColor="text1"/>
          <w:sz w:val="24"/>
          <w:szCs w:val="24"/>
        </w:rPr>
        <w:t>ARB</w:t>
      </w:r>
      <w:r>
        <w:rPr>
          <w:rFonts w:ascii="Times New Roman" w:eastAsia="宋体" w:hAnsi="Times New Roman" w:cs="Times New Roman" w:hint="eastAsia"/>
          <w:color w:val="000000" w:themeColor="text1"/>
          <w:sz w:val="24"/>
          <w:szCs w:val="24"/>
        </w:rPr>
        <w:t>：</w:t>
      </w:r>
      <w:r>
        <w:rPr>
          <w:rFonts w:ascii="Times New Roman" w:eastAsia="宋体" w:hAnsi="Times New Roman" w:cs="Times New Roman" w:hint="eastAsia"/>
          <w:color w:val="000000" w:themeColor="text1"/>
          <w:sz w:val="24"/>
          <w:szCs w:val="24"/>
        </w:rPr>
        <w:t xml:space="preserve"> </w:t>
      </w:r>
      <w:r>
        <w:rPr>
          <w:rFonts w:ascii="Times New Roman" w:eastAsia="宋体" w:hAnsi="Times New Roman" w:cs="Times New Roman"/>
          <w:color w:val="000000" w:themeColor="text1"/>
          <w:sz w:val="24"/>
          <w:szCs w:val="24"/>
        </w:rPr>
        <w:t>ACEI</w:t>
      </w:r>
      <w:r>
        <w:rPr>
          <w:rFonts w:ascii="Times New Roman" w:eastAsia="宋体" w:hAnsi="Times New Roman" w:cs="Times New Roman" w:hint="eastAsia"/>
          <w:color w:val="000000" w:themeColor="text1"/>
          <w:sz w:val="24"/>
          <w:szCs w:val="24"/>
        </w:rPr>
        <w:t>类药物通过抑制血管紧张素转化酶，阻断肾素血管紧张素Ⅱ的生成，抑制激肽酶的降解而发挥降压作用，而</w:t>
      </w:r>
      <w:r>
        <w:rPr>
          <w:rFonts w:ascii="Times New Roman" w:eastAsia="宋体" w:hAnsi="Times New Roman" w:cs="Times New Roman"/>
          <w:color w:val="000000" w:themeColor="text1"/>
          <w:sz w:val="24"/>
          <w:szCs w:val="24"/>
        </w:rPr>
        <w:t>ARB</w:t>
      </w:r>
      <w:r>
        <w:rPr>
          <w:rFonts w:ascii="Times New Roman" w:eastAsia="宋体" w:hAnsi="Times New Roman" w:cs="Times New Roman" w:hint="eastAsia"/>
          <w:color w:val="000000" w:themeColor="text1"/>
          <w:sz w:val="24"/>
          <w:szCs w:val="24"/>
        </w:rPr>
        <w:t>类药物通过阻断血管紧张素Ⅱ</w:t>
      </w:r>
      <w:r>
        <w:rPr>
          <w:rFonts w:ascii="Times New Roman" w:eastAsia="宋体" w:hAnsi="Times New Roman" w:cs="Times New Roman"/>
          <w:color w:val="000000" w:themeColor="text1"/>
          <w:sz w:val="24"/>
          <w:szCs w:val="24"/>
        </w:rPr>
        <w:t>1</w:t>
      </w:r>
      <w:r>
        <w:rPr>
          <w:rFonts w:ascii="Times New Roman" w:eastAsia="宋体" w:hAnsi="Times New Roman" w:cs="Times New Roman" w:hint="eastAsia"/>
          <w:color w:val="000000" w:themeColor="text1"/>
          <w:sz w:val="24"/>
          <w:szCs w:val="24"/>
        </w:rPr>
        <w:t>型受体而发挥降压作用。与</w:t>
      </w:r>
      <w:r>
        <w:rPr>
          <w:rFonts w:ascii="Times New Roman" w:eastAsia="宋体" w:hAnsi="Times New Roman" w:cs="Times New Roman"/>
          <w:color w:val="000000" w:themeColor="text1"/>
          <w:sz w:val="24"/>
          <w:szCs w:val="24"/>
        </w:rPr>
        <w:t>ARB</w:t>
      </w:r>
      <w:r>
        <w:rPr>
          <w:rFonts w:ascii="Times New Roman" w:eastAsia="宋体" w:hAnsi="Times New Roman" w:cs="Times New Roman" w:hint="eastAsia"/>
          <w:color w:val="000000" w:themeColor="text1"/>
          <w:sz w:val="24"/>
          <w:szCs w:val="24"/>
        </w:rPr>
        <w:t>类药物相比，</w:t>
      </w:r>
      <w:r>
        <w:rPr>
          <w:rFonts w:ascii="Times New Roman" w:eastAsia="宋体" w:hAnsi="Times New Roman" w:cs="Times New Roman"/>
          <w:color w:val="000000" w:themeColor="text1"/>
          <w:sz w:val="24"/>
          <w:szCs w:val="24"/>
        </w:rPr>
        <w:t>ACEI</w:t>
      </w:r>
      <w:r>
        <w:rPr>
          <w:rFonts w:ascii="Times New Roman" w:eastAsia="宋体" w:hAnsi="Times New Roman" w:cs="Times New Roman" w:hint="eastAsia"/>
          <w:color w:val="000000" w:themeColor="text1"/>
          <w:sz w:val="24"/>
          <w:szCs w:val="24"/>
        </w:rPr>
        <w:t>类药物易发生干咳、血管性水肿等不良反应，其中卡托普利发生刺激性干咳的发生率较高，同时因其结构中含有巯基，还可引起细胞减少、皮疹和味觉异常。而</w:t>
      </w:r>
      <w:r>
        <w:rPr>
          <w:rFonts w:ascii="Times New Roman" w:eastAsia="宋体" w:hAnsi="Times New Roman" w:cs="Times New Roman"/>
          <w:color w:val="000000" w:themeColor="text1"/>
          <w:sz w:val="24"/>
          <w:szCs w:val="24"/>
        </w:rPr>
        <w:t>ARB</w:t>
      </w:r>
      <w:r>
        <w:rPr>
          <w:rFonts w:ascii="Times New Roman" w:eastAsia="宋体" w:hAnsi="Times New Roman" w:cs="Times New Roman" w:hint="eastAsia"/>
          <w:color w:val="000000" w:themeColor="text1"/>
          <w:sz w:val="24"/>
          <w:szCs w:val="24"/>
        </w:rPr>
        <w:t>类药物则较少发生此类不良反应，其中氯沙坦还有降尿酸的作用。</w:t>
      </w:r>
    </w:p>
    <w:p w:rsidR="002E5476" w:rsidRDefault="00423E71">
      <w:pPr>
        <w:spacing w:line="360" w:lineRule="auto"/>
        <w:ind w:firstLineChars="200" w:firstLine="480"/>
        <w:jc w:val="left"/>
        <w:outlineLvl w:val="1"/>
        <w:rPr>
          <w:rFonts w:ascii="Times New Roman" w:eastAsia="宋体" w:hAnsi="Times New Roman" w:cs="Times New Roman"/>
          <w:color w:val="000000" w:themeColor="text1"/>
          <w:sz w:val="24"/>
          <w:szCs w:val="24"/>
        </w:rPr>
      </w:pPr>
      <w:r>
        <w:rPr>
          <w:rFonts w:ascii="Times New Roman" w:eastAsia="宋体" w:hAnsi="Times New Roman" w:cs="Times New Roman"/>
          <w:color w:val="000000" w:themeColor="text1"/>
          <w:sz w:val="24"/>
          <w:szCs w:val="24"/>
        </w:rPr>
        <w:t>CKD</w:t>
      </w:r>
      <w:r>
        <w:rPr>
          <w:rFonts w:ascii="Times New Roman" w:eastAsia="宋体" w:hAnsi="Times New Roman" w:cs="Times New Roman" w:hint="eastAsia"/>
          <w:color w:val="000000" w:themeColor="text1"/>
          <w:sz w:val="24"/>
          <w:szCs w:val="24"/>
        </w:rPr>
        <w:t>患者无论是否合并糖尿病，推荐</w:t>
      </w:r>
      <w:r>
        <w:rPr>
          <w:rFonts w:ascii="Times New Roman" w:eastAsia="宋体" w:hAnsi="Times New Roman" w:cs="Times New Roman"/>
          <w:color w:val="000000" w:themeColor="text1"/>
          <w:sz w:val="24"/>
          <w:szCs w:val="24"/>
        </w:rPr>
        <w:t>ACEI</w:t>
      </w:r>
      <w:r>
        <w:rPr>
          <w:rFonts w:ascii="Times New Roman" w:eastAsia="宋体" w:hAnsi="Times New Roman" w:cs="Times New Roman" w:hint="eastAsia"/>
          <w:color w:val="000000" w:themeColor="text1"/>
          <w:sz w:val="24"/>
          <w:szCs w:val="24"/>
        </w:rPr>
        <w:t>或</w:t>
      </w:r>
      <w:r>
        <w:rPr>
          <w:rFonts w:ascii="Times New Roman" w:eastAsia="宋体" w:hAnsi="Times New Roman" w:cs="Times New Roman"/>
          <w:color w:val="000000" w:themeColor="text1"/>
          <w:sz w:val="24"/>
          <w:szCs w:val="24"/>
        </w:rPr>
        <w:t>ARB</w:t>
      </w:r>
      <w:r>
        <w:rPr>
          <w:rFonts w:ascii="Times New Roman" w:eastAsia="宋体" w:hAnsi="Times New Roman" w:cs="Times New Roman" w:hint="eastAsia"/>
          <w:color w:val="000000" w:themeColor="text1"/>
          <w:sz w:val="24"/>
          <w:szCs w:val="24"/>
        </w:rPr>
        <w:t>作为首选降压药物，尤其是蛋白尿患者。</w:t>
      </w:r>
      <w:r>
        <w:rPr>
          <w:rFonts w:ascii="Times New Roman" w:eastAsia="宋体" w:hAnsi="Times New Roman" w:cs="Times New Roman"/>
          <w:color w:val="000000" w:themeColor="text1"/>
          <w:sz w:val="24"/>
          <w:szCs w:val="24"/>
        </w:rPr>
        <w:t>ACEI/ARB</w:t>
      </w:r>
      <w:r>
        <w:rPr>
          <w:rFonts w:ascii="Times New Roman" w:eastAsia="宋体" w:hAnsi="Times New Roman" w:cs="Times New Roman" w:hint="eastAsia"/>
          <w:color w:val="000000" w:themeColor="text1"/>
          <w:sz w:val="24"/>
          <w:szCs w:val="24"/>
        </w:rPr>
        <w:t>对心肾有保护作用，还能降低尿蛋白，改善</w:t>
      </w:r>
      <w:r>
        <w:rPr>
          <w:rFonts w:ascii="Times New Roman" w:eastAsia="宋体" w:hAnsi="Times New Roman" w:cs="Times New Roman"/>
          <w:color w:val="000000" w:themeColor="text1"/>
          <w:sz w:val="24"/>
          <w:szCs w:val="24"/>
        </w:rPr>
        <w:t>CKD</w:t>
      </w:r>
      <w:r>
        <w:rPr>
          <w:rFonts w:ascii="Times New Roman" w:eastAsia="宋体" w:hAnsi="Times New Roman" w:cs="Times New Roman" w:hint="eastAsia"/>
          <w:color w:val="000000" w:themeColor="text1"/>
          <w:sz w:val="24"/>
          <w:szCs w:val="24"/>
        </w:rPr>
        <w:t>患者的肾脏预后</w:t>
      </w:r>
      <w:r w:rsidR="00B411DC">
        <w:rPr>
          <w:rFonts w:ascii="Times New Roman" w:eastAsia="宋体" w:hAnsi="Times New Roman" w:cs="Times New Roman"/>
          <w:color w:val="000000" w:themeColor="text1"/>
          <w:sz w:val="24"/>
          <w:szCs w:val="24"/>
        </w:rPr>
        <w:fldChar w:fldCharType="begin"/>
      </w:r>
      <w:r>
        <w:rPr>
          <w:rFonts w:ascii="Times New Roman" w:eastAsia="宋体" w:hAnsi="Times New Roman" w:cs="Times New Roman"/>
          <w:color w:val="000000" w:themeColor="text1"/>
          <w:sz w:val="24"/>
          <w:szCs w:val="24"/>
        </w:rPr>
        <w:instrText xml:space="preserve"> ADDIN NE.Ref.{420EA76A-1956-4AD8-B197-EBDB1CD1B5AA}</w:instrText>
      </w:r>
      <w:r w:rsidR="00B411DC">
        <w:rPr>
          <w:rFonts w:ascii="Times New Roman" w:eastAsia="宋体" w:hAnsi="Times New Roman" w:cs="Times New Roman"/>
          <w:color w:val="000000" w:themeColor="text1"/>
          <w:sz w:val="24"/>
          <w:szCs w:val="24"/>
        </w:rPr>
        <w:fldChar w:fldCharType="separate"/>
      </w:r>
      <w:r>
        <w:rPr>
          <w:rFonts w:ascii="Times New Roman" w:eastAsia="宋体" w:hAnsi="Times New Roman" w:cs="Times New Roman"/>
          <w:color w:val="000000" w:themeColor="text1"/>
          <w:kern w:val="0"/>
          <w:sz w:val="24"/>
          <w:szCs w:val="24"/>
          <w:vertAlign w:val="superscript"/>
        </w:rPr>
        <w:t>[19-20]</w:t>
      </w:r>
      <w:r w:rsidR="00B411DC">
        <w:rPr>
          <w:rFonts w:ascii="Times New Roman" w:eastAsia="宋体" w:hAnsi="Times New Roman" w:cs="Times New Roman"/>
          <w:color w:val="000000" w:themeColor="text1"/>
          <w:sz w:val="24"/>
          <w:szCs w:val="24"/>
        </w:rPr>
        <w:fldChar w:fldCharType="end"/>
      </w:r>
      <w:r>
        <w:rPr>
          <w:rFonts w:ascii="Times New Roman" w:eastAsia="宋体" w:hAnsi="Times New Roman" w:cs="Times New Roman" w:hint="eastAsia"/>
          <w:color w:val="000000" w:themeColor="text1"/>
          <w:sz w:val="24"/>
          <w:szCs w:val="24"/>
        </w:rPr>
        <w:t>。联合使用</w:t>
      </w:r>
      <w:r>
        <w:rPr>
          <w:rFonts w:ascii="Times New Roman" w:eastAsia="宋体" w:hAnsi="Times New Roman" w:cs="Times New Roman"/>
          <w:color w:val="000000" w:themeColor="text1"/>
          <w:sz w:val="24"/>
          <w:szCs w:val="24"/>
        </w:rPr>
        <w:t>ACEI</w:t>
      </w:r>
      <w:r>
        <w:rPr>
          <w:rFonts w:ascii="Times New Roman" w:eastAsia="宋体" w:hAnsi="Times New Roman" w:cs="Times New Roman" w:hint="eastAsia"/>
          <w:color w:val="000000" w:themeColor="text1"/>
          <w:sz w:val="24"/>
          <w:szCs w:val="24"/>
        </w:rPr>
        <w:t>和</w:t>
      </w:r>
      <w:r>
        <w:rPr>
          <w:rFonts w:ascii="Times New Roman" w:eastAsia="宋体" w:hAnsi="Times New Roman" w:cs="Times New Roman"/>
          <w:color w:val="000000" w:themeColor="text1"/>
          <w:sz w:val="24"/>
          <w:szCs w:val="24"/>
        </w:rPr>
        <w:t>ARB</w:t>
      </w:r>
      <w:r>
        <w:rPr>
          <w:rFonts w:ascii="Times New Roman" w:eastAsia="宋体" w:hAnsi="Times New Roman" w:cs="Times New Roman" w:hint="eastAsia"/>
          <w:color w:val="000000" w:themeColor="text1"/>
          <w:sz w:val="24"/>
          <w:szCs w:val="24"/>
        </w:rPr>
        <w:t>可使低血压、高钾血症以及肾脏不良事件风险增高，因此不推荐两者联用</w:t>
      </w:r>
      <w:r w:rsidR="00B411DC">
        <w:rPr>
          <w:rFonts w:ascii="Times New Roman" w:eastAsia="宋体" w:hAnsi="Times New Roman" w:cs="Times New Roman"/>
          <w:color w:val="000000" w:themeColor="text1"/>
          <w:sz w:val="24"/>
          <w:szCs w:val="24"/>
        </w:rPr>
        <w:fldChar w:fldCharType="begin"/>
      </w:r>
      <w:r>
        <w:rPr>
          <w:rFonts w:ascii="Times New Roman" w:eastAsia="宋体" w:hAnsi="Times New Roman" w:cs="Times New Roman"/>
          <w:color w:val="000000" w:themeColor="text1"/>
          <w:sz w:val="24"/>
          <w:szCs w:val="24"/>
        </w:rPr>
        <w:instrText xml:space="preserve"> ADDIN NE.Ref.{5D1D5AB7-4432-42DA-A0DD-045A2BE81F0E}</w:instrText>
      </w:r>
      <w:r w:rsidR="00B411DC">
        <w:rPr>
          <w:rFonts w:ascii="Times New Roman" w:eastAsia="宋体" w:hAnsi="Times New Roman" w:cs="Times New Roman"/>
          <w:color w:val="000000" w:themeColor="text1"/>
          <w:sz w:val="24"/>
          <w:szCs w:val="24"/>
        </w:rPr>
        <w:fldChar w:fldCharType="separate"/>
      </w:r>
      <w:r>
        <w:rPr>
          <w:rFonts w:ascii="Times New Roman" w:eastAsia="宋体" w:hAnsi="Times New Roman" w:cs="Times New Roman"/>
          <w:color w:val="000000" w:themeColor="text1"/>
          <w:kern w:val="0"/>
          <w:sz w:val="24"/>
          <w:szCs w:val="24"/>
          <w:vertAlign w:val="superscript"/>
        </w:rPr>
        <w:t>[21]</w:t>
      </w:r>
      <w:r w:rsidR="00B411DC">
        <w:rPr>
          <w:rFonts w:ascii="Times New Roman" w:eastAsia="宋体" w:hAnsi="Times New Roman" w:cs="Times New Roman"/>
          <w:color w:val="000000" w:themeColor="text1"/>
          <w:sz w:val="24"/>
          <w:szCs w:val="24"/>
        </w:rPr>
        <w:fldChar w:fldCharType="end"/>
      </w:r>
      <w:r>
        <w:rPr>
          <w:rFonts w:ascii="Times New Roman" w:eastAsia="宋体" w:hAnsi="Times New Roman" w:cs="Times New Roman" w:hint="eastAsia"/>
          <w:color w:val="000000" w:themeColor="text1"/>
          <w:sz w:val="24"/>
          <w:szCs w:val="24"/>
        </w:rPr>
        <w:t>。</w:t>
      </w:r>
      <w:r>
        <w:rPr>
          <w:rFonts w:ascii="Times New Roman" w:eastAsia="宋体" w:hAnsi="Times New Roman" w:cs="Times New Roman"/>
          <w:color w:val="000000" w:themeColor="text1"/>
          <w:sz w:val="24"/>
          <w:szCs w:val="24"/>
        </w:rPr>
        <w:t>ACEI/ARB</w:t>
      </w:r>
      <w:r>
        <w:rPr>
          <w:rFonts w:ascii="Times New Roman" w:eastAsia="宋体" w:hAnsi="Times New Roman" w:cs="Times New Roman" w:hint="eastAsia"/>
          <w:color w:val="000000" w:themeColor="text1"/>
          <w:sz w:val="24"/>
          <w:szCs w:val="24"/>
        </w:rPr>
        <w:t>早期可导致肾小球滤过率下降，增加高钾血症的风险，因此在</w:t>
      </w:r>
      <w:r>
        <w:rPr>
          <w:rFonts w:ascii="Times New Roman" w:eastAsia="宋体" w:hAnsi="Times New Roman" w:cs="Times New Roman"/>
          <w:color w:val="000000" w:themeColor="text1"/>
          <w:sz w:val="24"/>
          <w:szCs w:val="24"/>
        </w:rPr>
        <w:t>CKD 3~4</w:t>
      </w:r>
      <w:r>
        <w:rPr>
          <w:rFonts w:ascii="Times New Roman" w:eastAsia="宋体" w:hAnsi="Times New Roman" w:cs="Times New Roman" w:hint="eastAsia"/>
          <w:color w:val="000000" w:themeColor="text1"/>
          <w:sz w:val="24"/>
          <w:szCs w:val="24"/>
        </w:rPr>
        <w:t>期患者使用</w:t>
      </w:r>
      <w:r>
        <w:rPr>
          <w:rFonts w:ascii="Times New Roman" w:eastAsia="宋体" w:hAnsi="Times New Roman" w:cs="Times New Roman"/>
          <w:color w:val="000000" w:themeColor="text1"/>
          <w:sz w:val="24"/>
          <w:szCs w:val="24"/>
        </w:rPr>
        <w:t>ACEI</w:t>
      </w:r>
      <w:r>
        <w:rPr>
          <w:rFonts w:ascii="Times New Roman" w:eastAsia="宋体" w:hAnsi="Times New Roman" w:cs="Times New Roman" w:hint="eastAsia"/>
          <w:color w:val="000000" w:themeColor="text1"/>
          <w:sz w:val="24"/>
          <w:szCs w:val="24"/>
        </w:rPr>
        <w:t>或</w:t>
      </w:r>
      <w:r>
        <w:rPr>
          <w:rFonts w:ascii="Times New Roman" w:eastAsia="宋体" w:hAnsi="Times New Roman" w:cs="Times New Roman"/>
          <w:color w:val="000000" w:themeColor="text1"/>
          <w:sz w:val="24"/>
          <w:szCs w:val="24"/>
        </w:rPr>
        <w:t>ARB</w:t>
      </w:r>
      <w:r>
        <w:rPr>
          <w:rFonts w:ascii="Times New Roman" w:eastAsia="宋体" w:hAnsi="Times New Roman" w:cs="Times New Roman" w:hint="eastAsia"/>
          <w:color w:val="000000" w:themeColor="text1"/>
          <w:sz w:val="24"/>
          <w:szCs w:val="24"/>
        </w:rPr>
        <w:t>时建议初始小剂量，在开始或增加药物剂量后的</w:t>
      </w:r>
      <w:r>
        <w:rPr>
          <w:rFonts w:ascii="Times New Roman" w:eastAsia="宋体" w:hAnsi="Times New Roman" w:cs="Times New Roman"/>
          <w:color w:val="000000" w:themeColor="text1"/>
          <w:sz w:val="24"/>
          <w:szCs w:val="24"/>
        </w:rPr>
        <w:t>2~4</w:t>
      </w:r>
      <w:r>
        <w:rPr>
          <w:rFonts w:ascii="Times New Roman" w:eastAsia="宋体" w:hAnsi="Times New Roman" w:cs="Times New Roman" w:hint="eastAsia"/>
          <w:color w:val="000000" w:themeColor="text1"/>
          <w:sz w:val="24"/>
          <w:szCs w:val="24"/>
        </w:rPr>
        <w:t>周内严密监测血压、血钾及血肌酐的变化，及时调整药物剂量。一般用药后血肌酐较基础值升高</w:t>
      </w:r>
      <w:r>
        <w:rPr>
          <w:rFonts w:ascii="Times New Roman" w:eastAsia="宋体" w:hAnsi="Times New Roman" w:cs="Times New Roman"/>
          <w:color w:val="000000" w:themeColor="text1"/>
          <w:sz w:val="24"/>
          <w:szCs w:val="24"/>
        </w:rPr>
        <w:t>30%</w:t>
      </w:r>
      <w:r>
        <w:rPr>
          <w:rFonts w:ascii="Times New Roman" w:eastAsia="宋体" w:hAnsi="Times New Roman" w:cs="Times New Roman" w:hint="eastAsia"/>
          <w:color w:val="000000" w:themeColor="text1"/>
          <w:sz w:val="24"/>
          <w:szCs w:val="24"/>
        </w:rPr>
        <w:t>以内时仍可谨慎使用，超过</w:t>
      </w:r>
      <w:r>
        <w:rPr>
          <w:rFonts w:ascii="Times New Roman" w:eastAsia="宋体" w:hAnsi="Times New Roman" w:cs="Times New Roman"/>
          <w:color w:val="000000" w:themeColor="text1"/>
          <w:sz w:val="24"/>
          <w:szCs w:val="24"/>
        </w:rPr>
        <w:t>30%</w:t>
      </w:r>
      <w:r>
        <w:rPr>
          <w:rFonts w:ascii="Times New Roman" w:eastAsia="宋体" w:hAnsi="Times New Roman" w:cs="Times New Roman" w:hint="eastAsia"/>
          <w:color w:val="000000" w:themeColor="text1"/>
          <w:sz w:val="24"/>
          <w:szCs w:val="24"/>
        </w:rPr>
        <w:t>时需要仔细分析合并用药等原因，可考虑减量或停药。单侧肾动脉狭窄可使用</w:t>
      </w:r>
      <w:r>
        <w:rPr>
          <w:rFonts w:ascii="Times New Roman" w:eastAsia="宋体" w:hAnsi="Times New Roman" w:cs="Times New Roman"/>
          <w:color w:val="000000" w:themeColor="text1"/>
          <w:sz w:val="24"/>
          <w:szCs w:val="24"/>
        </w:rPr>
        <w:t>ACEI</w:t>
      </w:r>
      <w:r>
        <w:rPr>
          <w:rFonts w:ascii="Times New Roman" w:eastAsia="宋体" w:hAnsi="Times New Roman" w:cs="Times New Roman" w:hint="eastAsia"/>
          <w:color w:val="000000" w:themeColor="text1"/>
          <w:sz w:val="24"/>
          <w:szCs w:val="24"/>
        </w:rPr>
        <w:t>或</w:t>
      </w:r>
      <w:r>
        <w:rPr>
          <w:rFonts w:ascii="Times New Roman" w:eastAsia="宋体" w:hAnsi="Times New Roman" w:cs="Times New Roman"/>
          <w:color w:val="000000" w:themeColor="text1"/>
          <w:sz w:val="24"/>
          <w:szCs w:val="24"/>
        </w:rPr>
        <w:t>ARB</w:t>
      </w:r>
      <w:r>
        <w:rPr>
          <w:rFonts w:ascii="Times New Roman" w:eastAsia="宋体" w:hAnsi="Times New Roman" w:cs="Times New Roman" w:hint="eastAsia"/>
          <w:color w:val="000000" w:themeColor="text1"/>
          <w:sz w:val="24"/>
          <w:szCs w:val="24"/>
        </w:rPr>
        <w:t>治疗，但双侧肾动脉狭窄禁用</w:t>
      </w:r>
      <w:r>
        <w:rPr>
          <w:rFonts w:ascii="Times New Roman" w:eastAsia="宋体" w:hAnsi="Times New Roman" w:cs="Times New Roman"/>
          <w:color w:val="000000" w:themeColor="text1"/>
          <w:sz w:val="24"/>
          <w:szCs w:val="24"/>
        </w:rPr>
        <w:t>ACEI</w:t>
      </w:r>
      <w:r>
        <w:rPr>
          <w:rFonts w:ascii="Times New Roman" w:eastAsia="宋体" w:hAnsi="Times New Roman" w:cs="Times New Roman" w:hint="eastAsia"/>
          <w:color w:val="000000" w:themeColor="text1"/>
          <w:sz w:val="24"/>
          <w:szCs w:val="24"/>
        </w:rPr>
        <w:t>或</w:t>
      </w:r>
      <w:r>
        <w:rPr>
          <w:rFonts w:ascii="Times New Roman" w:eastAsia="宋体" w:hAnsi="Times New Roman" w:cs="Times New Roman"/>
          <w:color w:val="000000" w:themeColor="text1"/>
          <w:sz w:val="24"/>
          <w:szCs w:val="24"/>
        </w:rPr>
        <w:t>ARB</w:t>
      </w:r>
      <w:r>
        <w:rPr>
          <w:rFonts w:ascii="Times New Roman" w:eastAsia="宋体" w:hAnsi="Times New Roman" w:cs="Times New Roman" w:hint="eastAsia"/>
          <w:color w:val="000000" w:themeColor="text1"/>
          <w:sz w:val="24"/>
          <w:szCs w:val="24"/>
        </w:rPr>
        <w:t>类药物。</w:t>
      </w:r>
    </w:p>
    <w:p w:rsidR="002E5476" w:rsidRDefault="00423E71">
      <w:pPr>
        <w:spacing w:line="360" w:lineRule="auto"/>
        <w:ind w:firstLineChars="200" w:firstLine="482"/>
        <w:jc w:val="left"/>
        <w:outlineLvl w:val="1"/>
        <w:rPr>
          <w:rFonts w:ascii="Times New Roman" w:eastAsia="宋体" w:hAnsi="Times New Roman" w:cs="Times New Roman"/>
          <w:color w:val="000000" w:themeColor="text1"/>
          <w:sz w:val="24"/>
          <w:szCs w:val="24"/>
        </w:rPr>
      </w:pPr>
      <w:r>
        <w:rPr>
          <w:rFonts w:ascii="Times New Roman" w:eastAsia="宋体" w:hAnsi="Times New Roman" w:cs="Times New Roman"/>
          <w:b/>
          <w:bCs/>
          <w:color w:val="000000" w:themeColor="text1"/>
          <w:sz w:val="24"/>
          <w:szCs w:val="24"/>
        </w:rPr>
        <w:lastRenderedPageBreak/>
        <w:t>2.2.1.2</w:t>
      </w:r>
      <w:r>
        <w:rPr>
          <w:rFonts w:ascii="Times New Roman" w:eastAsia="宋体" w:hAnsi="Times New Roman" w:cs="Times New Roman"/>
          <w:color w:val="000000" w:themeColor="text1"/>
          <w:sz w:val="24"/>
          <w:szCs w:val="24"/>
        </w:rPr>
        <w:t xml:space="preserve"> </w:t>
      </w:r>
      <w:r>
        <w:rPr>
          <w:rFonts w:ascii="Times New Roman" w:eastAsia="宋体" w:hAnsi="Times New Roman" w:cs="Times New Roman"/>
          <w:b/>
          <w:bCs/>
          <w:color w:val="000000" w:themeColor="text1"/>
          <w:sz w:val="24"/>
          <w:szCs w:val="24"/>
        </w:rPr>
        <w:t>CCB</w:t>
      </w:r>
      <w:r>
        <w:rPr>
          <w:rFonts w:ascii="Times New Roman" w:eastAsia="宋体" w:hAnsi="Times New Roman" w:cs="Times New Roman" w:hint="eastAsia"/>
          <w:color w:val="000000" w:themeColor="text1"/>
          <w:sz w:val="24"/>
          <w:szCs w:val="24"/>
        </w:rPr>
        <w:t>：</w:t>
      </w:r>
      <w:r>
        <w:rPr>
          <w:rFonts w:ascii="Times New Roman" w:eastAsia="宋体" w:hAnsi="Times New Roman" w:cs="Times New Roman" w:hint="eastAsia"/>
          <w:color w:val="000000" w:themeColor="text1"/>
          <w:sz w:val="24"/>
          <w:szCs w:val="24"/>
        </w:rPr>
        <w:t xml:space="preserve"> </w:t>
      </w:r>
      <w:r>
        <w:rPr>
          <w:rFonts w:ascii="Times New Roman" w:eastAsia="宋体" w:hAnsi="Times New Roman" w:cs="Times New Roman"/>
          <w:color w:val="000000" w:themeColor="text1"/>
          <w:sz w:val="24"/>
          <w:szCs w:val="24"/>
        </w:rPr>
        <w:t xml:space="preserve">CCB </w:t>
      </w:r>
      <w:r>
        <w:rPr>
          <w:rFonts w:ascii="Times New Roman" w:eastAsia="宋体" w:hAnsi="Times New Roman" w:cs="Times New Roman" w:hint="eastAsia"/>
          <w:color w:val="000000" w:themeColor="text1"/>
          <w:sz w:val="24"/>
          <w:szCs w:val="24"/>
        </w:rPr>
        <w:t>分为二氢吡啶类和非二氢吡啶类，该类药物在</w:t>
      </w:r>
      <w:r>
        <w:rPr>
          <w:rFonts w:ascii="Times New Roman" w:eastAsia="宋体" w:hAnsi="Times New Roman" w:cs="Times New Roman"/>
          <w:color w:val="000000" w:themeColor="text1"/>
          <w:sz w:val="24"/>
          <w:szCs w:val="24"/>
        </w:rPr>
        <w:t>CKD</w:t>
      </w:r>
      <w:r>
        <w:rPr>
          <w:rFonts w:ascii="Times New Roman" w:eastAsia="宋体" w:hAnsi="Times New Roman" w:cs="Times New Roman" w:hint="eastAsia"/>
          <w:color w:val="000000" w:themeColor="text1"/>
          <w:sz w:val="24"/>
          <w:szCs w:val="24"/>
        </w:rPr>
        <w:t>患者中应用广泛，其肾脏保护作用主要依赖降压作用。二氢吡啶类</w:t>
      </w:r>
      <w:r>
        <w:rPr>
          <w:rFonts w:ascii="Times New Roman" w:eastAsia="宋体" w:hAnsi="Times New Roman" w:cs="Times New Roman"/>
          <w:color w:val="000000" w:themeColor="text1"/>
          <w:sz w:val="24"/>
          <w:szCs w:val="24"/>
        </w:rPr>
        <w:t>CCB</w:t>
      </w:r>
      <w:r>
        <w:rPr>
          <w:rFonts w:ascii="Times New Roman" w:eastAsia="宋体" w:hAnsi="Times New Roman" w:cs="Times New Roman" w:hint="eastAsia"/>
          <w:color w:val="000000" w:themeColor="text1"/>
          <w:sz w:val="24"/>
          <w:szCs w:val="24"/>
        </w:rPr>
        <w:t>根据药代动力学和药效学特点，可分为</w:t>
      </w:r>
      <w:r>
        <w:rPr>
          <w:rFonts w:ascii="Times New Roman" w:eastAsia="宋体" w:hAnsi="Times New Roman" w:cs="Times New Roman"/>
          <w:color w:val="000000" w:themeColor="text1"/>
          <w:sz w:val="24"/>
          <w:szCs w:val="24"/>
        </w:rPr>
        <w:t>1~3</w:t>
      </w:r>
      <w:r>
        <w:rPr>
          <w:rFonts w:ascii="Times New Roman" w:eastAsia="宋体" w:hAnsi="Times New Roman" w:cs="Times New Roman" w:hint="eastAsia"/>
          <w:color w:val="000000" w:themeColor="text1"/>
          <w:sz w:val="24"/>
          <w:szCs w:val="24"/>
        </w:rPr>
        <w:t>代。第</w:t>
      </w:r>
      <w:r>
        <w:rPr>
          <w:rFonts w:ascii="Times New Roman" w:eastAsia="宋体" w:hAnsi="Times New Roman" w:cs="Times New Roman"/>
          <w:color w:val="000000" w:themeColor="text1"/>
          <w:sz w:val="24"/>
          <w:szCs w:val="24"/>
        </w:rPr>
        <w:t>1</w:t>
      </w:r>
      <w:r>
        <w:rPr>
          <w:rFonts w:ascii="Times New Roman" w:eastAsia="宋体" w:hAnsi="Times New Roman" w:cs="Times New Roman" w:hint="eastAsia"/>
          <w:color w:val="000000" w:themeColor="text1"/>
          <w:sz w:val="24"/>
          <w:szCs w:val="24"/>
        </w:rPr>
        <w:t>代以硝苯地平片为代表药物，该类药物半衰期较短、生物利用度低、血药浓度波动较大，因此作用持续时间较短，对血压的控制时间短，难以实现</w:t>
      </w:r>
      <w:r>
        <w:rPr>
          <w:rFonts w:ascii="Times New Roman" w:eastAsia="宋体" w:hAnsi="Times New Roman" w:cs="Times New Roman"/>
          <w:color w:val="000000" w:themeColor="text1"/>
          <w:sz w:val="24"/>
          <w:szCs w:val="24"/>
        </w:rPr>
        <w:t>24 h</w:t>
      </w:r>
      <w:r>
        <w:rPr>
          <w:rFonts w:ascii="Times New Roman" w:eastAsia="宋体" w:hAnsi="Times New Roman" w:cs="Times New Roman" w:hint="eastAsia"/>
          <w:color w:val="000000" w:themeColor="text1"/>
          <w:sz w:val="24"/>
          <w:szCs w:val="24"/>
        </w:rPr>
        <w:t>有效覆盖。此外，用药后可快速致血管扩张、交感神经系统激活，易引起反射性心动过速、心悸、头痛等不良反应。舌下含服硝苯地平，药物吸收迅速，可导致全身血管扩张，外周血管血流量增加，心脏与脑血流量反而减少，引起不良反应增加，临床应当避免。第</w:t>
      </w:r>
      <w:r>
        <w:rPr>
          <w:rFonts w:ascii="Times New Roman" w:eastAsia="宋体" w:hAnsi="Times New Roman" w:cs="Times New Roman"/>
          <w:color w:val="000000" w:themeColor="text1"/>
          <w:sz w:val="24"/>
          <w:szCs w:val="24"/>
        </w:rPr>
        <w:t>2</w:t>
      </w:r>
      <w:r>
        <w:rPr>
          <w:rFonts w:ascii="Times New Roman" w:eastAsia="宋体" w:hAnsi="Times New Roman" w:cs="Times New Roman" w:hint="eastAsia"/>
          <w:color w:val="000000" w:themeColor="text1"/>
          <w:sz w:val="24"/>
          <w:szCs w:val="24"/>
        </w:rPr>
        <w:t>代以硝苯地平缓控释制剂为代表药物，该类药物通过改良为缓控释剂型而使药代动力学特性有了明显改善。控释片以在胃肠道独特的膜控释技术</w:t>
      </w:r>
      <w:r>
        <w:rPr>
          <w:rFonts w:ascii="Times New Roman" w:eastAsia="宋体" w:hAnsi="Times New Roman" w:cs="Times New Roman"/>
          <w:color w:val="000000" w:themeColor="text1"/>
          <w:sz w:val="24"/>
          <w:szCs w:val="24"/>
        </w:rPr>
        <w:t>24 h</w:t>
      </w:r>
      <w:r>
        <w:rPr>
          <w:rFonts w:ascii="Times New Roman" w:eastAsia="宋体" w:hAnsi="Times New Roman" w:cs="Times New Roman" w:hint="eastAsia"/>
          <w:color w:val="000000" w:themeColor="text1"/>
          <w:sz w:val="24"/>
          <w:szCs w:val="24"/>
        </w:rPr>
        <w:t>均匀释放，保证了药物治疗的长效性和平稳性，一天一次给药即可。第</w:t>
      </w:r>
      <w:r>
        <w:rPr>
          <w:rFonts w:ascii="Times New Roman" w:eastAsia="宋体" w:hAnsi="Times New Roman" w:cs="Times New Roman"/>
          <w:color w:val="000000" w:themeColor="text1"/>
          <w:sz w:val="24"/>
          <w:szCs w:val="24"/>
        </w:rPr>
        <w:t>3</w:t>
      </w:r>
      <w:r>
        <w:rPr>
          <w:rFonts w:ascii="Times New Roman" w:eastAsia="宋体" w:hAnsi="Times New Roman" w:cs="Times New Roman" w:hint="eastAsia"/>
          <w:color w:val="000000" w:themeColor="text1"/>
          <w:sz w:val="24"/>
          <w:szCs w:val="24"/>
        </w:rPr>
        <w:t>代以氨氯地平、左旋氨氯地平、非洛地平等为代表药物，该类药物起效平缓、作用平稳、半衰期长，抗高血压谷峰比高、血压波动小，其中，氨氯地平的左旋体降压作用是右旋体的</w:t>
      </w:r>
      <w:r>
        <w:rPr>
          <w:rFonts w:ascii="Times New Roman" w:eastAsia="宋体" w:hAnsi="Times New Roman" w:cs="Times New Roman"/>
          <w:color w:val="000000" w:themeColor="text1"/>
          <w:sz w:val="24"/>
          <w:szCs w:val="24"/>
        </w:rPr>
        <w:t>1 000</w:t>
      </w:r>
      <w:r>
        <w:rPr>
          <w:rFonts w:ascii="Times New Roman" w:eastAsia="宋体" w:hAnsi="Times New Roman" w:cs="Times New Roman" w:hint="eastAsia"/>
          <w:color w:val="000000" w:themeColor="text1"/>
          <w:sz w:val="24"/>
          <w:szCs w:val="24"/>
        </w:rPr>
        <w:t>倍，</w:t>
      </w:r>
      <w:r>
        <w:rPr>
          <w:rFonts w:ascii="Times New Roman" w:eastAsia="宋体" w:hAnsi="Times New Roman" w:cs="Times New Roman"/>
          <w:color w:val="000000" w:themeColor="text1"/>
          <w:sz w:val="24"/>
          <w:szCs w:val="24"/>
        </w:rPr>
        <w:t>2.5 mg</w:t>
      </w:r>
      <w:r>
        <w:rPr>
          <w:rFonts w:ascii="Times New Roman" w:eastAsia="宋体" w:hAnsi="Times New Roman" w:cs="Times New Roman" w:hint="eastAsia"/>
          <w:color w:val="000000" w:themeColor="text1"/>
          <w:sz w:val="24"/>
          <w:szCs w:val="24"/>
        </w:rPr>
        <w:t>左旋氨氯地平的降压作用与</w:t>
      </w:r>
      <w:r>
        <w:rPr>
          <w:rFonts w:ascii="Times New Roman" w:eastAsia="宋体" w:hAnsi="Times New Roman" w:cs="Times New Roman"/>
          <w:color w:val="000000" w:themeColor="text1"/>
          <w:sz w:val="24"/>
          <w:szCs w:val="24"/>
        </w:rPr>
        <w:t>5 mg</w:t>
      </w:r>
      <w:r>
        <w:rPr>
          <w:rFonts w:ascii="Times New Roman" w:eastAsia="宋体" w:hAnsi="Times New Roman" w:cs="Times New Roman" w:hint="eastAsia"/>
          <w:color w:val="000000" w:themeColor="text1"/>
          <w:sz w:val="24"/>
          <w:szCs w:val="24"/>
        </w:rPr>
        <w:t>氨氯地平相似（氨氯地平中含有左旋氨氯地平和右旋氨氯地平各半，起降压作用的主要为左旋氨氯地平）。由于左旋氨氯地平服药剂量减少了</w:t>
      </w:r>
      <w:r>
        <w:rPr>
          <w:rFonts w:ascii="Times New Roman" w:eastAsia="宋体" w:hAnsi="Times New Roman" w:cs="Times New Roman"/>
          <w:color w:val="000000" w:themeColor="text1"/>
          <w:sz w:val="24"/>
          <w:szCs w:val="24"/>
        </w:rPr>
        <w:t>50%</w:t>
      </w:r>
      <w:r>
        <w:rPr>
          <w:rFonts w:ascii="Times New Roman" w:eastAsia="宋体" w:hAnsi="Times New Roman" w:cs="Times New Roman" w:hint="eastAsia"/>
          <w:color w:val="000000" w:themeColor="text1"/>
          <w:sz w:val="24"/>
          <w:szCs w:val="24"/>
        </w:rPr>
        <w:t>，因此不良反应发生率较低，若是因外周水肿不能耐受氨氯地平者，可考虑使用左旋氨氯地平。</w:t>
      </w:r>
    </w:p>
    <w:p w:rsidR="002E5476" w:rsidRDefault="00423E71">
      <w:pPr>
        <w:spacing w:line="360" w:lineRule="auto"/>
        <w:ind w:firstLineChars="200" w:firstLine="480"/>
        <w:jc w:val="left"/>
        <w:outlineLvl w:val="1"/>
        <w:rPr>
          <w:rFonts w:ascii="Times New Roman" w:eastAsia="宋体" w:hAnsi="Times New Roman" w:cs="Times New Roman"/>
          <w:color w:val="000000" w:themeColor="text1"/>
          <w:sz w:val="24"/>
          <w:szCs w:val="24"/>
        </w:rPr>
      </w:pPr>
      <w:r>
        <w:rPr>
          <w:rFonts w:ascii="Times New Roman" w:eastAsia="宋体" w:hAnsi="Times New Roman" w:cs="Times New Roman" w:hint="eastAsia"/>
          <w:color w:val="000000" w:themeColor="text1"/>
          <w:sz w:val="24"/>
          <w:szCs w:val="24"/>
        </w:rPr>
        <w:t>二氢吡啶类</w:t>
      </w:r>
      <w:r>
        <w:rPr>
          <w:rFonts w:ascii="Times New Roman" w:eastAsia="宋体" w:hAnsi="Times New Roman" w:cs="Times New Roman"/>
          <w:color w:val="000000" w:themeColor="text1"/>
          <w:sz w:val="24"/>
          <w:szCs w:val="24"/>
        </w:rPr>
        <w:t>CCB</w:t>
      </w:r>
      <w:r>
        <w:rPr>
          <w:rFonts w:ascii="Times New Roman" w:eastAsia="宋体" w:hAnsi="Times New Roman" w:cs="Times New Roman" w:hint="eastAsia"/>
          <w:color w:val="000000" w:themeColor="text1"/>
          <w:sz w:val="24"/>
          <w:szCs w:val="24"/>
        </w:rPr>
        <w:t>主要作用于动脉，降压作用强，对机体的糖脂代谢无不良影响，因此临床上常用于降压治疗。二氢吡啶类</w:t>
      </w:r>
      <w:r>
        <w:rPr>
          <w:rFonts w:ascii="Times New Roman" w:eastAsia="宋体" w:hAnsi="Times New Roman" w:cs="Times New Roman"/>
          <w:color w:val="000000" w:themeColor="text1"/>
          <w:sz w:val="24"/>
          <w:szCs w:val="24"/>
        </w:rPr>
        <w:t>CCB</w:t>
      </w:r>
      <w:r>
        <w:rPr>
          <w:rFonts w:ascii="Times New Roman" w:eastAsia="宋体" w:hAnsi="Times New Roman" w:cs="Times New Roman" w:hint="eastAsia"/>
          <w:color w:val="000000" w:themeColor="text1"/>
          <w:sz w:val="24"/>
          <w:szCs w:val="24"/>
        </w:rPr>
        <w:t>主要由肝脏排泄，不为血液透析所清除</w:t>
      </w:r>
      <w:r w:rsidR="00B411DC">
        <w:rPr>
          <w:rFonts w:ascii="Times New Roman" w:eastAsia="宋体" w:hAnsi="Times New Roman" w:cs="Times New Roman"/>
          <w:color w:val="000000" w:themeColor="text1"/>
          <w:sz w:val="24"/>
          <w:szCs w:val="24"/>
        </w:rPr>
        <w:fldChar w:fldCharType="begin"/>
      </w:r>
      <w:r>
        <w:rPr>
          <w:rFonts w:ascii="Times New Roman" w:eastAsia="宋体" w:hAnsi="Times New Roman" w:cs="Times New Roman"/>
          <w:color w:val="000000" w:themeColor="text1"/>
          <w:sz w:val="24"/>
          <w:szCs w:val="24"/>
        </w:rPr>
        <w:instrText xml:space="preserve"> ADDIN NE.Ref.{68EC422F-4EE7-49EB-B1CA-661C6C64240C}</w:instrText>
      </w:r>
      <w:r w:rsidR="00B411DC">
        <w:rPr>
          <w:rFonts w:ascii="Times New Roman" w:eastAsia="宋体" w:hAnsi="Times New Roman" w:cs="Times New Roman"/>
          <w:color w:val="000000" w:themeColor="text1"/>
          <w:sz w:val="24"/>
          <w:szCs w:val="24"/>
        </w:rPr>
        <w:fldChar w:fldCharType="separate"/>
      </w:r>
      <w:r>
        <w:rPr>
          <w:rFonts w:ascii="Times New Roman" w:eastAsia="宋体" w:hAnsi="Times New Roman" w:cs="Times New Roman"/>
          <w:color w:val="000000" w:themeColor="text1"/>
          <w:kern w:val="0"/>
          <w:sz w:val="24"/>
          <w:szCs w:val="24"/>
          <w:vertAlign w:val="superscript"/>
        </w:rPr>
        <w:t>[22]</w:t>
      </w:r>
      <w:r w:rsidR="00B411DC">
        <w:rPr>
          <w:rFonts w:ascii="Times New Roman" w:eastAsia="宋体" w:hAnsi="Times New Roman" w:cs="Times New Roman"/>
          <w:color w:val="000000" w:themeColor="text1"/>
          <w:sz w:val="24"/>
          <w:szCs w:val="24"/>
        </w:rPr>
        <w:fldChar w:fldCharType="end"/>
      </w:r>
      <w:r>
        <w:rPr>
          <w:rFonts w:ascii="Times New Roman" w:eastAsia="宋体" w:hAnsi="Times New Roman" w:cs="Times New Roman" w:hint="eastAsia"/>
          <w:color w:val="000000" w:themeColor="text1"/>
          <w:sz w:val="24"/>
          <w:szCs w:val="24"/>
        </w:rPr>
        <w:t>，但需警惕与影响肝药酶活性药物之间的相互作用。硝苯地平、氨氯地平、非洛地平主要经肝脏</w:t>
      </w:r>
      <w:r>
        <w:rPr>
          <w:rFonts w:ascii="Times New Roman" w:eastAsia="宋体" w:hAnsi="Times New Roman" w:cs="Times New Roman"/>
          <w:color w:val="000000" w:themeColor="text1"/>
          <w:sz w:val="24"/>
          <w:szCs w:val="24"/>
        </w:rPr>
        <w:t>CYP3A4</w:t>
      </w:r>
      <w:r>
        <w:rPr>
          <w:rFonts w:ascii="Times New Roman" w:eastAsia="宋体" w:hAnsi="Times New Roman" w:cs="Times New Roman" w:hint="eastAsia"/>
          <w:color w:val="000000" w:themeColor="text1"/>
          <w:sz w:val="24"/>
          <w:szCs w:val="24"/>
        </w:rPr>
        <w:t>代谢，</w:t>
      </w:r>
      <w:r>
        <w:rPr>
          <w:rFonts w:ascii="Times New Roman" w:eastAsia="宋体" w:hAnsi="Times New Roman" w:cs="Times New Roman"/>
          <w:color w:val="000000" w:themeColor="text1"/>
          <w:sz w:val="24"/>
          <w:szCs w:val="24"/>
        </w:rPr>
        <w:t>CYP3A4</w:t>
      </w:r>
      <w:r>
        <w:rPr>
          <w:rFonts w:ascii="Times New Roman" w:eastAsia="宋体" w:hAnsi="Times New Roman" w:cs="Times New Roman" w:hint="eastAsia"/>
          <w:color w:val="000000" w:themeColor="text1"/>
          <w:sz w:val="24"/>
          <w:szCs w:val="24"/>
        </w:rPr>
        <w:t>强抑制剂如伊曲康唑、氟康唑、克拉霉素等能显著减慢其代谢，而增强降压效果。与</w:t>
      </w:r>
      <w:r>
        <w:rPr>
          <w:rFonts w:ascii="Times New Roman" w:eastAsia="宋体" w:hAnsi="Times New Roman" w:cs="Times New Roman"/>
          <w:color w:val="000000" w:themeColor="text1"/>
          <w:sz w:val="24"/>
          <w:szCs w:val="24"/>
        </w:rPr>
        <w:t>ACEI/ARB</w:t>
      </w:r>
      <w:r>
        <w:rPr>
          <w:rFonts w:ascii="Times New Roman" w:eastAsia="宋体" w:hAnsi="Times New Roman" w:cs="Times New Roman" w:hint="eastAsia"/>
          <w:color w:val="000000" w:themeColor="text1"/>
          <w:sz w:val="24"/>
          <w:szCs w:val="24"/>
        </w:rPr>
        <w:t>相比，</w:t>
      </w:r>
      <w:r>
        <w:rPr>
          <w:rFonts w:ascii="Times New Roman" w:eastAsia="宋体" w:hAnsi="Times New Roman" w:cs="Times New Roman"/>
          <w:color w:val="000000" w:themeColor="text1"/>
          <w:sz w:val="24"/>
          <w:szCs w:val="24"/>
        </w:rPr>
        <w:t>CCB</w:t>
      </w:r>
      <w:r>
        <w:rPr>
          <w:rFonts w:ascii="Times New Roman" w:eastAsia="宋体" w:hAnsi="Times New Roman" w:cs="Times New Roman" w:hint="eastAsia"/>
          <w:color w:val="000000" w:themeColor="text1"/>
          <w:sz w:val="24"/>
          <w:szCs w:val="24"/>
        </w:rPr>
        <w:t>在双侧肾动脉狭窄患者中使用较为安全。二氢吡啶类</w:t>
      </w:r>
      <w:r>
        <w:rPr>
          <w:rFonts w:ascii="Times New Roman" w:eastAsia="宋体" w:hAnsi="Times New Roman" w:cs="Times New Roman"/>
          <w:color w:val="000000" w:themeColor="text1"/>
          <w:sz w:val="24"/>
          <w:szCs w:val="24"/>
        </w:rPr>
        <w:t>CCB</w:t>
      </w:r>
      <w:r>
        <w:rPr>
          <w:rFonts w:ascii="Times New Roman" w:eastAsia="宋体" w:hAnsi="Times New Roman" w:cs="Times New Roman" w:hint="eastAsia"/>
          <w:color w:val="000000" w:themeColor="text1"/>
          <w:sz w:val="24"/>
          <w:szCs w:val="24"/>
        </w:rPr>
        <w:t>适用于大多数类型的高血压，尤对老年高血压、单纯收缩期高血压、稳定性心绞痛、冠状动脉或颈动脉粥样硬化、周围血管病患者适用。此外，二氢吡啶类</w:t>
      </w:r>
      <w:r>
        <w:rPr>
          <w:rFonts w:ascii="Times New Roman" w:eastAsia="宋体" w:hAnsi="Times New Roman" w:cs="Times New Roman"/>
          <w:color w:val="000000" w:themeColor="text1"/>
          <w:sz w:val="24"/>
          <w:szCs w:val="24"/>
        </w:rPr>
        <w:t>CCB</w:t>
      </w:r>
      <w:r>
        <w:rPr>
          <w:rFonts w:ascii="Times New Roman" w:eastAsia="宋体" w:hAnsi="Times New Roman" w:cs="Times New Roman" w:hint="eastAsia"/>
          <w:color w:val="000000" w:themeColor="text1"/>
          <w:sz w:val="24"/>
          <w:szCs w:val="24"/>
        </w:rPr>
        <w:t>降压作用不受高盐饮食影响，亦适用于盐敏感性高血压患者。</w:t>
      </w:r>
    </w:p>
    <w:p w:rsidR="002E5476" w:rsidRDefault="00423E71">
      <w:pPr>
        <w:spacing w:line="360" w:lineRule="auto"/>
        <w:ind w:firstLineChars="200" w:firstLine="480"/>
        <w:jc w:val="left"/>
        <w:outlineLvl w:val="1"/>
        <w:rPr>
          <w:rFonts w:ascii="Times New Roman" w:eastAsia="宋体" w:hAnsi="Times New Roman" w:cs="Times New Roman"/>
          <w:color w:val="000000" w:themeColor="text1"/>
          <w:sz w:val="24"/>
          <w:szCs w:val="24"/>
        </w:rPr>
      </w:pPr>
      <w:r>
        <w:rPr>
          <w:rFonts w:ascii="Times New Roman" w:eastAsia="宋体" w:hAnsi="Times New Roman" w:cs="Times New Roman" w:hint="eastAsia"/>
          <w:color w:val="000000" w:themeColor="text1"/>
          <w:sz w:val="24"/>
          <w:szCs w:val="24"/>
        </w:rPr>
        <w:t>大多数</w:t>
      </w:r>
      <w:r>
        <w:rPr>
          <w:rFonts w:ascii="Times New Roman" w:eastAsia="宋体" w:hAnsi="Times New Roman" w:cs="Times New Roman"/>
          <w:color w:val="000000" w:themeColor="text1"/>
          <w:sz w:val="24"/>
          <w:szCs w:val="24"/>
        </w:rPr>
        <w:t>CCB</w:t>
      </w:r>
      <w:r>
        <w:rPr>
          <w:rFonts w:ascii="Times New Roman" w:eastAsia="宋体" w:hAnsi="Times New Roman" w:cs="Times New Roman" w:hint="eastAsia"/>
          <w:color w:val="000000" w:themeColor="text1"/>
          <w:sz w:val="24"/>
          <w:szCs w:val="24"/>
        </w:rPr>
        <w:t>有负性肌力作用，对伴有心力衰竭或心动过速者，应尽量避免使用二氢吡啶类</w:t>
      </w:r>
      <w:r>
        <w:rPr>
          <w:rFonts w:ascii="Times New Roman" w:eastAsia="宋体" w:hAnsi="Times New Roman" w:cs="Times New Roman"/>
          <w:color w:val="000000" w:themeColor="text1"/>
          <w:sz w:val="24"/>
          <w:szCs w:val="24"/>
        </w:rPr>
        <w:t>CCB</w:t>
      </w:r>
      <w:r>
        <w:rPr>
          <w:rFonts w:ascii="Times New Roman" w:eastAsia="宋体" w:hAnsi="Times New Roman" w:cs="Times New Roman" w:hint="eastAsia"/>
          <w:color w:val="000000" w:themeColor="text1"/>
          <w:sz w:val="24"/>
          <w:szCs w:val="24"/>
        </w:rPr>
        <w:t>。当心力衰竭者合并严重高血压或心绞痛时，其他药物不能控制而需使用</w:t>
      </w:r>
      <w:r>
        <w:rPr>
          <w:rFonts w:ascii="Times New Roman" w:eastAsia="宋体" w:hAnsi="Times New Roman" w:cs="Times New Roman"/>
          <w:color w:val="000000" w:themeColor="text1"/>
          <w:sz w:val="24"/>
          <w:szCs w:val="24"/>
        </w:rPr>
        <w:t>CCB</w:t>
      </w:r>
      <w:r>
        <w:rPr>
          <w:rFonts w:ascii="Times New Roman" w:eastAsia="宋体" w:hAnsi="Times New Roman" w:cs="Times New Roman" w:hint="eastAsia"/>
          <w:color w:val="000000" w:themeColor="text1"/>
          <w:sz w:val="24"/>
          <w:szCs w:val="24"/>
        </w:rPr>
        <w:t>时，可选择安全性较好的氨氯地平或非洛地平。此外，使用</w:t>
      </w:r>
      <w:r>
        <w:rPr>
          <w:rFonts w:ascii="Times New Roman" w:eastAsia="宋体" w:hAnsi="Times New Roman" w:cs="Times New Roman"/>
          <w:color w:val="000000" w:themeColor="text1"/>
          <w:sz w:val="24"/>
          <w:szCs w:val="24"/>
        </w:rPr>
        <w:t>CCB</w:t>
      </w:r>
      <w:r>
        <w:rPr>
          <w:rFonts w:ascii="Times New Roman" w:eastAsia="宋体" w:hAnsi="Times New Roman" w:cs="Times New Roman" w:hint="eastAsia"/>
          <w:color w:val="000000" w:themeColor="text1"/>
          <w:sz w:val="24"/>
          <w:szCs w:val="24"/>
        </w:rPr>
        <w:t>的患者，少数可有头痛、踝部水肿、牙龈增生等不良反应。</w:t>
      </w:r>
    </w:p>
    <w:p w:rsidR="002E5476" w:rsidRDefault="00423E71">
      <w:pPr>
        <w:spacing w:line="360" w:lineRule="auto"/>
        <w:ind w:firstLineChars="200" w:firstLine="482"/>
        <w:jc w:val="left"/>
        <w:outlineLvl w:val="1"/>
        <w:rPr>
          <w:rFonts w:ascii="Times New Roman" w:eastAsia="宋体" w:hAnsi="Times New Roman" w:cs="Times New Roman"/>
          <w:color w:val="000000" w:themeColor="text1"/>
          <w:sz w:val="24"/>
          <w:szCs w:val="24"/>
        </w:rPr>
      </w:pPr>
      <w:r>
        <w:rPr>
          <w:rFonts w:ascii="Times New Roman" w:eastAsia="宋体" w:hAnsi="Times New Roman" w:cs="Times New Roman"/>
          <w:b/>
          <w:bCs/>
          <w:color w:val="000000" w:themeColor="text1"/>
          <w:sz w:val="24"/>
          <w:szCs w:val="24"/>
        </w:rPr>
        <w:t xml:space="preserve">2.2.1.3 </w:t>
      </w:r>
      <w:r>
        <w:rPr>
          <w:rFonts w:ascii="Times New Roman" w:eastAsia="宋体" w:hAnsi="Times New Roman" w:cs="Times New Roman" w:hint="eastAsia"/>
          <w:b/>
          <w:bCs/>
          <w:color w:val="000000" w:themeColor="text1"/>
          <w:sz w:val="24"/>
          <w:szCs w:val="24"/>
        </w:rPr>
        <w:t>利尿剂</w:t>
      </w:r>
      <w:r>
        <w:rPr>
          <w:rFonts w:ascii="Times New Roman" w:eastAsia="宋体" w:hAnsi="Times New Roman" w:cs="Times New Roman" w:hint="eastAsia"/>
          <w:color w:val="000000" w:themeColor="text1"/>
          <w:sz w:val="24"/>
          <w:szCs w:val="24"/>
        </w:rPr>
        <w:t>：</w:t>
      </w:r>
      <w:r>
        <w:rPr>
          <w:rFonts w:ascii="Times New Roman" w:eastAsia="宋体" w:hAnsi="Times New Roman" w:cs="Times New Roman" w:hint="eastAsia"/>
          <w:color w:val="000000" w:themeColor="text1"/>
          <w:sz w:val="24"/>
          <w:szCs w:val="24"/>
        </w:rPr>
        <w:t xml:space="preserve"> </w:t>
      </w:r>
      <w:r>
        <w:rPr>
          <w:rFonts w:ascii="Times New Roman" w:eastAsia="宋体" w:hAnsi="Times New Roman" w:cs="Times New Roman" w:hint="eastAsia"/>
          <w:color w:val="000000" w:themeColor="text1"/>
          <w:sz w:val="24"/>
          <w:szCs w:val="24"/>
        </w:rPr>
        <w:t>根据作用部位，目前常用的利尿剂可分为：</w:t>
      </w:r>
      <w:r w:rsidR="00B411DC">
        <w:rPr>
          <w:rFonts w:ascii="Times New Roman" w:eastAsia="宋体" w:hAnsi="Times New Roman" w:cs="Times New Roman"/>
          <w:color w:val="000000" w:themeColor="text1"/>
          <w:sz w:val="24"/>
          <w:szCs w:val="24"/>
        </w:rPr>
        <w:fldChar w:fldCharType="begin"/>
      </w:r>
      <w:r>
        <w:rPr>
          <w:rFonts w:ascii="Times New Roman" w:eastAsia="宋体" w:hAnsi="Times New Roman" w:cs="Times New Roman"/>
          <w:color w:val="000000" w:themeColor="text1"/>
          <w:sz w:val="24"/>
          <w:szCs w:val="24"/>
        </w:rPr>
        <w:instrText xml:space="preserve"> = 1 \* GB3 </w:instrText>
      </w:r>
      <w:r w:rsidR="00B411DC">
        <w:rPr>
          <w:rFonts w:ascii="Times New Roman" w:eastAsia="宋体" w:hAnsi="Times New Roman" w:cs="Times New Roman"/>
          <w:color w:val="000000" w:themeColor="text1"/>
          <w:sz w:val="24"/>
          <w:szCs w:val="24"/>
        </w:rPr>
        <w:fldChar w:fldCharType="separate"/>
      </w:r>
      <w:r>
        <w:rPr>
          <w:rFonts w:ascii="Cambria Math" w:eastAsia="宋体" w:hAnsi="Cambria Math" w:cs="Cambria Math" w:hint="eastAsia"/>
          <w:color w:val="000000" w:themeColor="text1"/>
          <w:sz w:val="24"/>
          <w:szCs w:val="24"/>
        </w:rPr>
        <w:t>①</w:t>
      </w:r>
      <w:r w:rsidR="00B411DC">
        <w:rPr>
          <w:rFonts w:ascii="Times New Roman" w:eastAsia="宋体" w:hAnsi="Times New Roman" w:cs="Times New Roman"/>
          <w:color w:val="000000" w:themeColor="text1"/>
          <w:sz w:val="24"/>
          <w:szCs w:val="24"/>
        </w:rPr>
        <w:fldChar w:fldCharType="end"/>
      </w:r>
      <w:r>
        <w:rPr>
          <w:rFonts w:ascii="Times New Roman" w:eastAsia="宋体" w:hAnsi="Times New Roman" w:cs="Times New Roman"/>
          <w:color w:val="000000" w:themeColor="text1"/>
          <w:sz w:val="24"/>
          <w:szCs w:val="24"/>
        </w:rPr>
        <w:t xml:space="preserve"> </w:t>
      </w:r>
      <w:r>
        <w:rPr>
          <w:rFonts w:ascii="Times New Roman" w:eastAsia="宋体" w:hAnsi="Times New Roman" w:cs="Times New Roman" w:hint="eastAsia"/>
          <w:color w:val="000000" w:themeColor="text1"/>
          <w:sz w:val="24"/>
          <w:szCs w:val="24"/>
        </w:rPr>
        <w:t>袢利尿剂；</w:t>
      </w:r>
      <w:r w:rsidR="00B411DC">
        <w:rPr>
          <w:rFonts w:ascii="Times New Roman" w:eastAsia="宋体" w:hAnsi="Times New Roman" w:cs="Times New Roman"/>
          <w:color w:val="000000" w:themeColor="text1"/>
          <w:sz w:val="24"/>
          <w:szCs w:val="24"/>
        </w:rPr>
        <w:fldChar w:fldCharType="begin"/>
      </w:r>
      <w:r>
        <w:rPr>
          <w:rFonts w:ascii="Times New Roman" w:eastAsia="宋体" w:hAnsi="Times New Roman" w:cs="Times New Roman"/>
          <w:color w:val="000000" w:themeColor="text1"/>
          <w:sz w:val="24"/>
          <w:szCs w:val="24"/>
        </w:rPr>
        <w:instrText xml:space="preserve"> = 2 \* GB3 </w:instrText>
      </w:r>
      <w:r w:rsidR="00B411DC">
        <w:rPr>
          <w:rFonts w:ascii="Times New Roman" w:eastAsia="宋体" w:hAnsi="Times New Roman" w:cs="Times New Roman"/>
          <w:color w:val="000000" w:themeColor="text1"/>
          <w:sz w:val="24"/>
          <w:szCs w:val="24"/>
        </w:rPr>
        <w:fldChar w:fldCharType="separate"/>
      </w:r>
      <w:r>
        <w:rPr>
          <w:rFonts w:ascii="Cambria Math" w:eastAsia="宋体" w:hAnsi="Cambria Math" w:cs="Cambria Math" w:hint="eastAsia"/>
          <w:color w:val="000000" w:themeColor="text1"/>
          <w:sz w:val="24"/>
          <w:szCs w:val="24"/>
        </w:rPr>
        <w:t>②</w:t>
      </w:r>
      <w:r w:rsidR="00B411DC">
        <w:rPr>
          <w:rFonts w:ascii="Times New Roman" w:eastAsia="宋体" w:hAnsi="Times New Roman" w:cs="Times New Roman"/>
          <w:color w:val="000000" w:themeColor="text1"/>
          <w:sz w:val="24"/>
          <w:szCs w:val="24"/>
        </w:rPr>
        <w:fldChar w:fldCharType="end"/>
      </w:r>
      <w:r>
        <w:rPr>
          <w:rFonts w:ascii="Times New Roman" w:eastAsia="宋体" w:hAnsi="Times New Roman" w:cs="Times New Roman" w:hint="eastAsia"/>
          <w:color w:val="000000" w:themeColor="text1"/>
          <w:sz w:val="24"/>
          <w:szCs w:val="24"/>
        </w:rPr>
        <w:t>噻嗪类利尿剂；</w:t>
      </w:r>
      <w:r w:rsidR="00B411DC">
        <w:rPr>
          <w:rFonts w:ascii="Times New Roman" w:eastAsia="宋体" w:hAnsi="Times New Roman" w:cs="Times New Roman"/>
          <w:color w:val="000000" w:themeColor="text1"/>
          <w:sz w:val="24"/>
          <w:szCs w:val="24"/>
        </w:rPr>
        <w:fldChar w:fldCharType="begin"/>
      </w:r>
      <w:r>
        <w:rPr>
          <w:rFonts w:ascii="Times New Roman" w:eastAsia="宋体" w:hAnsi="Times New Roman" w:cs="Times New Roman"/>
          <w:color w:val="000000" w:themeColor="text1"/>
          <w:sz w:val="24"/>
          <w:szCs w:val="24"/>
        </w:rPr>
        <w:instrText xml:space="preserve"> = 3 \* GB3 </w:instrText>
      </w:r>
      <w:r w:rsidR="00B411DC">
        <w:rPr>
          <w:rFonts w:ascii="Times New Roman" w:eastAsia="宋体" w:hAnsi="Times New Roman" w:cs="Times New Roman"/>
          <w:color w:val="000000" w:themeColor="text1"/>
          <w:sz w:val="24"/>
          <w:szCs w:val="24"/>
        </w:rPr>
        <w:fldChar w:fldCharType="separate"/>
      </w:r>
      <w:r>
        <w:rPr>
          <w:rFonts w:ascii="Cambria Math" w:eastAsia="宋体" w:hAnsi="Cambria Math" w:cs="Cambria Math" w:hint="eastAsia"/>
          <w:color w:val="000000" w:themeColor="text1"/>
          <w:sz w:val="24"/>
          <w:szCs w:val="24"/>
        </w:rPr>
        <w:t>③</w:t>
      </w:r>
      <w:r w:rsidR="00B411DC">
        <w:rPr>
          <w:rFonts w:ascii="Times New Roman" w:eastAsia="宋体" w:hAnsi="Times New Roman" w:cs="Times New Roman"/>
          <w:color w:val="000000" w:themeColor="text1"/>
          <w:sz w:val="24"/>
          <w:szCs w:val="24"/>
        </w:rPr>
        <w:fldChar w:fldCharType="end"/>
      </w:r>
      <w:r>
        <w:rPr>
          <w:rFonts w:ascii="Times New Roman" w:eastAsia="宋体" w:hAnsi="Times New Roman" w:cs="Times New Roman" w:hint="eastAsia"/>
          <w:color w:val="000000" w:themeColor="text1"/>
          <w:sz w:val="24"/>
          <w:szCs w:val="24"/>
        </w:rPr>
        <w:t>保钾利尿药</w:t>
      </w:r>
      <w:r>
        <w:rPr>
          <w:rFonts w:ascii="Times New Roman" w:eastAsia="宋体" w:hAnsi="Times New Roman" w:cs="Times New Roman"/>
          <w:color w:val="000000" w:themeColor="text1"/>
          <w:sz w:val="24"/>
          <w:szCs w:val="24"/>
        </w:rPr>
        <w:t>/</w:t>
      </w:r>
      <w:r>
        <w:rPr>
          <w:rFonts w:ascii="Times New Roman" w:eastAsia="宋体" w:hAnsi="Times New Roman" w:cs="Times New Roman" w:hint="eastAsia"/>
          <w:color w:val="000000" w:themeColor="text1"/>
          <w:sz w:val="24"/>
          <w:szCs w:val="24"/>
        </w:rPr>
        <w:t>醛固酮受体拮抗剂。利尿剂是临床常用的一线降压药物，特别适用于容量过多的</w:t>
      </w:r>
      <w:r>
        <w:rPr>
          <w:rFonts w:ascii="Times New Roman" w:eastAsia="宋体" w:hAnsi="Times New Roman" w:cs="Times New Roman"/>
          <w:color w:val="000000" w:themeColor="text1"/>
          <w:sz w:val="24"/>
          <w:szCs w:val="24"/>
        </w:rPr>
        <w:t>CKD</w:t>
      </w:r>
      <w:r>
        <w:rPr>
          <w:rFonts w:ascii="Times New Roman" w:eastAsia="宋体" w:hAnsi="Times New Roman" w:cs="Times New Roman" w:hint="eastAsia"/>
          <w:color w:val="000000" w:themeColor="text1"/>
          <w:sz w:val="24"/>
          <w:szCs w:val="24"/>
        </w:rPr>
        <w:t>患者。</w:t>
      </w:r>
    </w:p>
    <w:p w:rsidR="002E5476" w:rsidRDefault="00423E71">
      <w:pPr>
        <w:spacing w:line="360" w:lineRule="auto"/>
        <w:ind w:firstLineChars="200" w:firstLine="480"/>
        <w:jc w:val="left"/>
        <w:outlineLvl w:val="1"/>
        <w:rPr>
          <w:rFonts w:ascii="Times New Roman" w:eastAsia="宋体" w:hAnsi="Times New Roman" w:cs="Times New Roman"/>
          <w:color w:val="000000" w:themeColor="text1"/>
          <w:sz w:val="24"/>
          <w:szCs w:val="24"/>
        </w:rPr>
      </w:pPr>
      <w:r>
        <w:rPr>
          <w:rFonts w:ascii="Times New Roman" w:eastAsia="宋体" w:hAnsi="Times New Roman" w:cs="Times New Roman" w:hint="eastAsia"/>
          <w:color w:val="000000" w:themeColor="text1"/>
          <w:sz w:val="24"/>
          <w:szCs w:val="24"/>
        </w:rPr>
        <w:t>袢利尿剂的代表药物为呋塞米，通过作用于髓袢升支粗段，选择性阻断</w:t>
      </w:r>
      <w:r>
        <w:rPr>
          <w:rFonts w:ascii="Times New Roman" w:eastAsia="宋体" w:hAnsi="Times New Roman" w:cs="Times New Roman"/>
          <w:color w:val="000000" w:themeColor="text1"/>
          <w:sz w:val="24"/>
          <w:szCs w:val="24"/>
        </w:rPr>
        <w:t>Na-K-2Cl</w:t>
      </w:r>
      <w:r>
        <w:rPr>
          <w:rFonts w:ascii="Times New Roman" w:eastAsia="宋体" w:hAnsi="Times New Roman" w:cs="Times New Roman" w:hint="eastAsia"/>
          <w:color w:val="000000" w:themeColor="text1"/>
          <w:sz w:val="24"/>
          <w:szCs w:val="24"/>
        </w:rPr>
        <w:t>共转运载体，产生强大的利尿作用，同时也可抑制前列腺素分解酶的活性，使前列腺素</w:t>
      </w:r>
      <w:r>
        <w:rPr>
          <w:rFonts w:ascii="Times New Roman" w:eastAsia="宋体" w:hAnsi="Times New Roman" w:cs="Times New Roman"/>
          <w:color w:val="000000" w:themeColor="text1"/>
          <w:sz w:val="24"/>
          <w:szCs w:val="24"/>
        </w:rPr>
        <w:t>E2</w:t>
      </w:r>
      <w:r>
        <w:rPr>
          <w:rFonts w:ascii="Times New Roman" w:eastAsia="宋体" w:hAnsi="Times New Roman" w:cs="Times New Roman" w:hint="eastAsia"/>
          <w:color w:val="000000" w:themeColor="text1"/>
          <w:sz w:val="24"/>
          <w:szCs w:val="24"/>
        </w:rPr>
        <w:t>的含量升高，有扩张肾血管、降低肾血管阻力、增加肾血流量的作用。慢性肾衰竭时</w:t>
      </w:r>
      <w:r>
        <w:rPr>
          <w:rFonts w:ascii="Times New Roman" w:eastAsia="宋体" w:hAnsi="Times New Roman" w:cs="Times New Roman"/>
          <w:color w:val="000000" w:themeColor="text1"/>
          <w:sz w:val="24"/>
          <w:szCs w:val="24"/>
        </w:rPr>
        <w:t xml:space="preserve">[eGFR&lt;15 </w:t>
      </w:r>
      <w:r>
        <w:rPr>
          <w:rFonts w:ascii="Times New Roman" w:eastAsia="宋体" w:hAnsi="Times New Roman" w:cs="Times New Roman"/>
          <w:color w:val="000000" w:themeColor="text1"/>
          <w:sz w:val="24"/>
        </w:rPr>
        <w:t>ml</w:t>
      </w:r>
      <w:r>
        <w:rPr>
          <w:rFonts w:ascii="Times New Roman" w:eastAsia="宋体" w:hAnsi="Times New Roman" w:cs="Times New Roman" w:hint="eastAsia"/>
          <w:color w:val="000000" w:themeColor="text1"/>
          <w:sz w:val="24"/>
        </w:rPr>
        <w:t>·</w:t>
      </w:r>
      <w:r>
        <w:rPr>
          <w:rFonts w:ascii="Times New Roman" w:eastAsia="宋体" w:hAnsi="Times New Roman" w:cs="Times New Roman"/>
          <w:color w:val="000000" w:themeColor="text1"/>
          <w:sz w:val="24"/>
        </w:rPr>
        <w:t>min</w:t>
      </w:r>
      <w:r>
        <w:rPr>
          <w:rFonts w:ascii="Times New Roman" w:eastAsia="宋体" w:hAnsi="Times New Roman" w:cs="Times New Roman"/>
          <w:color w:val="000000" w:themeColor="text1"/>
          <w:sz w:val="24"/>
          <w:vertAlign w:val="superscript"/>
        </w:rPr>
        <w:t>-1</w:t>
      </w:r>
      <w:r>
        <w:rPr>
          <w:rFonts w:ascii="Times New Roman" w:eastAsia="宋体" w:hAnsi="Times New Roman" w:cs="Times New Roman" w:hint="eastAsia"/>
          <w:color w:val="000000" w:themeColor="text1"/>
          <w:sz w:val="24"/>
        </w:rPr>
        <w:t>·</w:t>
      </w:r>
      <w:r>
        <w:rPr>
          <w:rFonts w:ascii="Times New Roman" w:eastAsia="宋体" w:hAnsi="Times New Roman" w:cs="Times New Roman"/>
          <w:color w:val="000000" w:themeColor="text1"/>
          <w:sz w:val="24"/>
        </w:rPr>
        <w:t>(1.73 m</w:t>
      </w:r>
      <w:r>
        <w:rPr>
          <w:rFonts w:ascii="Times New Roman" w:eastAsia="宋体" w:hAnsi="Times New Roman" w:cs="Times New Roman"/>
          <w:color w:val="000000" w:themeColor="text1"/>
          <w:sz w:val="24"/>
          <w:vertAlign w:val="superscript"/>
        </w:rPr>
        <w:t>2</w:t>
      </w:r>
      <w:r>
        <w:rPr>
          <w:rFonts w:ascii="Times New Roman" w:eastAsia="宋体" w:hAnsi="Times New Roman" w:cs="Times New Roman"/>
          <w:color w:val="000000" w:themeColor="text1"/>
          <w:sz w:val="24"/>
        </w:rPr>
        <w:t>)</w:t>
      </w:r>
      <w:r>
        <w:rPr>
          <w:rFonts w:ascii="Times New Roman" w:eastAsia="宋体" w:hAnsi="Times New Roman" w:cs="Times New Roman"/>
          <w:color w:val="000000" w:themeColor="text1"/>
          <w:sz w:val="24"/>
          <w:vertAlign w:val="superscript"/>
        </w:rPr>
        <w:t>-1</w:t>
      </w:r>
      <w:r>
        <w:rPr>
          <w:rFonts w:ascii="Times New Roman" w:eastAsia="宋体" w:hAnsi="Times New Roman" w:cs="Times New Roman"/>
          <w:color w:val="000000" w:themeColor="text1"/>
          <w:sz w:val="24"/>
          <w:szCs w:val="24"/>
        </w:rPr>
        <w:t>]</w:t>
      </w:r>
      <w:r>
        <w:rPr>
          <w:rFonts w:ascii="Times New Roman" w:eastAsia="宋体" w:hAnsi="Times New Roman" w:cs="Times New Roman" w:hint="eastAsia"/>
          <w:color w:val="000000" w:themeColor="text1"/>
          <w:sz w:val="24"/>
          <w:szCs w:val="24"/>
        </w:rPr>
        <w:t>肾血</w:t>
      </w:r>
      <w:r>
        <w:rPr>
          <w:rFonts w:ascii="Times New Roman" w:eastAsia="宋体" w:hAnsi="Times New Roman" w:cs="Times New Roman" w:hint="eastAsia"/>
          <w:color w:val="000000" w:themeColor="text1"/>
          <w:sz w:val="24"/>
          <w:szCs w:val="24"/>
        </w:rPr>
        <w:lastRenderedPageBreak/>
        <w:t>流量下降，到达髓袢升支粗段作用靶点的呋塞米仅为肾功能正常时的</w:t>
      </w:r>
      <w:r>
        <w:rPr>
          <w:rFonts w:ascii="Times New Roman" w:eastAsia="宋体" w:hAnsi="Times New Roman" w:cs="Times New Roman"/>
          <w:color w:val="000000" w:themeColor="text1"/>
          <w:sz w:val="24"/>
          <w:szCs w:val="24"/>
        </w:rPr>
        <w:t>10%~20%</w:t>
      </w:r>
      <w:r>
        <w:rPr>
          <w:rFonts w:ascii="Times New Roman" w:eastAsia="宋体" w:hAnsi="Times New Roman" w:cs="Times New Roman" w:hint="eastAsia"/>
          <w:color w:val="000000" w:themeColor="text1"/>
          <w:sz w:val="24"/>
          <w:szCs w:val="24"/>
        </w:rPr>
        <w:t>，肾小球滤过液（原尿）中的</w:t>
      </w:r>
      <w:r>
        <w:rPr>
          <w:rFonts w:ascii="Times New Roman" w:eastAsia="宋体" w:hAnsi="Times New Roman" w:cs="Times New Roman"/>
          <w:color w:val="000000" w:themeColor="text1"/>
          <w:sz w:val="24"/>
          <w:szCs w:val="24"/>
        </w:rPr>
        <w:t>Na</w:t>
      </w:r>
      <w:r>
        <w:rPr>
          <w:rFonts w:ascii="Times New Roman" w:eastAsia="宋体" w:hAnsi="Times New Roman" w:cs="Times New Roman"/>
          <w:color w:val="000000" w:themeColor="text1"/>
          <w:sz w:val="24"/>
          <w:szCs w:val="24"/>
          <w:vertAlign w:val="superscript"/>
        </w:rPr>
        <w:t xml:space="preserve">+ </w:t>
      </w:r>
      <w:r>
        <w:rPr>
          <w:rFonts w:ascii="Times New Roman" w:eastAsia="宋体" w:hAnsi="Times New Roman" w:cs="Times New Roman" w:hint="eastAsia"/>
          <w:color w:val="000000" w:themeColor="text1"/>
          <w:sz w:val="24"/>
          <w:szCs w:val="24"/>
        </w:rPr>
        <w:t>减少，而健存肾单位代偿性</w:t>
      </w:r>
      <w:r>
        <w:rPr>
          <w:rFonts w:ascii="Times New Roman" w:eastAsia="宋体" w:hAnsi="Times New Roman" w:cs="Times New Roman"/>
          <w:color w:val="000000" w:themeColor="text1"/>
          <w:sz w:val="24"/>
          <w:szCs w:val="24"/>
        </w:rPr>
        <w:t>Na</w:t>
      </w:r>
      <w:r>
        <w:rPr>
          <w:rFonts w:ascii="Times New Roman" w:eastAsia="宋体" w:hAnsi="Times New Roman" w:cs="Times New Roman"/>
          <w:color w:val="000000" w:themeColor="text1"/>
          <w:sz w:val="24"/>
          <w:szCs w:val="24"/>
          <w:vertAlign w:val="superscript"/>
        </w:rPr>
        <w:t xml:space="preserve">+ </w:t>
      </w:r>
      <w:r>
        <w:rPr>
          <w:rFonts w:ascii="Times New Roman" w:eastAsia="宋体" w:hAnsi="Times New Roman" w:cs="Times New Roman" w:hint="eastAsia"/>
          <w:color w:val="000000" w:themeColor="text1"/>
          <w:sz w:val="24"/>
          <w:szCs w:val="24"/>
        </w:rPr>
        <w:t>重吸收增强，因此需要增加呋塞米的剂量。具体推荐一般为：</w:t>
      </w:r>
      <w:r>
        <w:rPr>
          <w:rFonts w:ascii="Times New Roman" w:eastAsia="宋体" w:hAnsi="Times New Roman" w:cs="Times New Roman"/>
          <w:color w:val="000000" w:themeColor="text1"/>
          <w:sz w:val="24"/>
          <w:szCs w:val="24"/>
        </w:rPr>
        <w:t xml:space="preserve">eGFR 20~50 </w:t>
      </w:r>
      <w:r>
        <w:rPr>
          <w:rFonts w:ascii="Times New Roman" w:eastAsia="宋体" w:hAnsi="Times New Roman" w:cs="Times New Roman"/>
          <w:color w:val="000000" w:themeColor="text1"/>
          <w:sz w:val="24"/>
        </w:rPr>
        <w:t>ml</w:t>
      </w:r>
      <w:r>
        <w:rPr>
          <w:rFonts w:ascii="Times New Roman" w:eastAsia="宋体" w:hAnsi="Times New Roman" w:cs="Times New Roman" w:hint="eastAsia"/>
          <w:color w:val="000000" w:themeColor="text1"/>
          <w:sz w:val="24"/>
        </w:rPr>
        <w:t>·</w:t>
      </w:r>
      <w:r>
        <w:rPr>
          <w:rFonts w:ascii="Times New Roman" w:eastAsia="宋体" w:hAnsi="Times New Roman" w:cs="Times New Roman"/>
          <w:color w:val="000000" w:themeColor="text1"/>
          <w:sz w:val="24"/>
        </w:rPr>
        <w:t>min</w:t>
      </w:r>
      <w:r>
        <w:rPr>
          <w:rFonts w:ascii="Times New Roman" w:eastAsia="宋体" w:hAnsi="Times New Roman" w:cs="Times New Roman"/>
          <w:color w:val="000000" w:themeColor="text1"/>
          <w:sz w:val="24"/>
          <w:vertAlign w:val="superscript"/>
        </w:rPr>
        <w:t>-1</w:t>
      </w:r>
      <w:r>
        <w:rPr>
          <w:rFonts w:ascii="Times New Roman" w:eastAsia="宋体" w:hAnsi="Times New Roman" w:cs="Times New Roman" w:hint="eastAsia"/>
          <w:color w:val="000000" w:themeColor="text1"/>
          <w:sz w:val="24"/>
        </w:rPr>
        <w:t>·</w:t>
      </w:r>
      <w:r>
        <w:rPr>
          <w:rFonts w:ascii="Times New Roman" w:eastAsia="宋体" w:hAnsi="Times New Roman" w:cs="Times New Roman"/>
          <w:color w:val="000000" w:themeColor="text1"/>
          <w:sz w:val="24"/>
        </w:rPr>
        <w:t>(1.73 m</w:t>
      </w:r>
      <w:r>
        <w:rPr>
          <w:rFonts w:ascii="Times New Roman" w:eastAsia="宋体" w:hAnsi="Times New Roman" w:cs="Times New Roman"/>
          <w:color w:val="000000" w:themeColor="text1"/>
          <w:sz w:val="24"/>
          <w:vertAlign w:val="superscript"/>
        </w:rPr>
        <w:t>2</w:t>
      </w:r>
      <w:r>
        <w:rPr>
          <w:rFonts w:ascii="Times New Roman" w:eastAsia="宋体" w:hAnsi="Times New Roman" w:cs="Times New Roman"/>
          <w:color w:val="000000" w:themeColor="text1"/>
          <w:sz w:val="24"/>
        </w:rPr>
        <w:t>)</w:t>
      </w:r>
      <w:r>
        <w:rPr>
          <w:rFonts w:ascii="Times New Roman" w:eastAsia="宋体" w:hAnsi="Times New Roman" w:cs="Times New Roman"/>
          <w:color w:val="000000" w:themeColor="text1"/>
          <w:sz w:val="24"/>
          <w:vertAlign w:val="superscript"/>
        </w:rPr>
        <w:t>-1</w:t>
      </w:r>
      <w:r>
        <w:rPr>
          <w:rFonts w:ascii="Times New Roman" w:eastAsia="宋体" w:hAnsi="Times New Roman" w:cs="Times New Roman" w:hint="eastAsia"/>
          <w:color w:val="000000" w:themeColor="text1"/>
          <w:sz w:val="24"/>
          <w:szCs w:val="24"/>
        </w:rPr>
        <w:t>时呋塞米</w:t>
      </w:r>
      <w:r>
        <w:rPr>
          <w:rFonts w:ascii="Times New Roman" w:eastAsia="宋体" w:hAnsi="Times New Roman" w:cs="Times New Roman"/>
          <w:color w:val="000000" w:themeColor="text1"/>
          <w:sz w:val="24"/>
          <w:szCs w:val="24"/>
        </w:rPr>
        <w:t>80~160 mg/d</w:t>
      </w:r>
      <w:r>
        <w:rPr>
          <w:rFonts w:ascii="Times New Roman" w:eastAsia="宋体" w:hAnsi="Times New Roman" w:cs="Times New Roman" w:hint="eastAsia"/>
          <w:color w:val="000000" w:themeColor="text1"/>
          <w:sz w:val="24"/>
          <w:szCs w:val="24"/>
        </w:rPr>
        <w:t>；</w:t>
      </w:r>
      <w:r>
        <w:rPr>
          <w:rFonts w:ascii="Times New Roman" w:eastAsia="宋体" w:hAnsi="Times New Roman" w:cs="Times New Roman"/>
          <w:color w:val="000000" w:themeColor="text1"/>
          <w:sz w:val="24"/>
          <w:szCs w:val="24"/>
        </w:rPr>
        <w:t>eGFR</w:t>
      </w:r>
      <w:r>
        <w:rPr>
          <w:rFonts w:ascii="Times New Roman" w:eastAsia="宋体" w:hAnsi="Times New Roman" w:cs="Times New Roman" w:hint="eastAsia"/>
          <w:color w:val="000000" w:themeColor="text1"/>
          <w:sz w:val="24"/>
          <w:szCs w:val="24"/>
        </w:rPr>
        <w:t>＜</w:t>
      </w:r>
      <w:r>
        <w:rPr>
          <w:rFonts w:ascii="Times New Roman" w:eastAsia="宋体" w:hAnsi="Times New Roman" w:cs="Times New Roman"/>
          <w:color w:val="000000" w:themeColor="text1"/>
          <w:sz w:val="24"/>
          <w:szCs w:val="24"/>
        </w:rPr>
        <w:t>20 ml</w:t>
      </w:r>
      <w:r>
        <w:rPr>
          <w:rFonts w:ascii="Times New Roman" w:eastAsia="宋体" w:hAnsi="Times New Roman" w:cs="Times New Roman" w:hint="eastAsia"/>
          <w:color w:val="000000" w:themeColor="text1"/>
          <w:sz w:val="24"/>
          <w:szCs w:val="24"/>
        </w:rPr>
        <w:t>·</w:t>
      </w:r>
      <w:r>
        <w:rPr>
          <w:rFonts w:ascii="Times New Roman" w:eastAsia="宋体" w:hAnsi="Times New Roman" w:cs="Times New Roman"/>
          <w:color w:val="000000" w:themeColor="text1"/>
          <w:sz w:val="24"/>
          <w:szCs w:val="24"/>
        </w:rPr>
        <w:t>min</w:t>
      </w:r>
      <w:r>
        <w:rPr>
          <w:rFonts w:ascii="Times New Roman" w:eastAsia="宋体" w:hAnsi="Times New Roman" w:cs="Times New Roman"/>
          <w:color w:val="000000" w:themeColor="text1"/>
          <w:sz w:val="24"/>
          <w:szCs w:val="24"/>
          <w:vertAlign w:val="superscript"/>
        </w:rPr>
        <w:t>-1</w:t>
      </w:r>
      <w:r>
        <w:rPr>
          <w:rFonts w:ascii="Times New Roman" w:eastAsia="宋体" w:hAnsi="Times New Roman" w:cs="Times New Roman" w:hint="eastAsia"/>
          <w:color w:val="000000" w:themeColor="text1"/>
          <w:sz w:val="24"/>
          <w:szCs w:val="24"/>
        </w:rPr>
        <w:t>·</w:t>
      </w:r>
      <w:r>
        <w:rPr>
          <w:rFonts w:ascii="Times New Roman" w:eastAsia="宋体" w:hAnsi="Times New Roman" w:cs="Times New Roman"/>
          <w:color w:val="000000" w:themeColor="text1"/>
          <w:sz w:val="24"/>
          <w:szCs w:val="24"/>
        </w:rPr>
        <w:t>(1.73 m</w:t>
      </w:r>
      <w:r>
        <w:rPr>
          <w:rFonts w:ascii="Times New Roman" w:eastAsia="宋体" w:hAnsi="Times New Roman" w:cs="Times New Roman"/>
          <w:color w:val="000000" w:themeColor="text1"/>
          <w:sz w:val="24"/>
          <w:szCs w:val="24"/>
          <w:vertAlign w:val="superscript"/>
        </w:rPr>
        <w:t>2</w:t>
      </w:r>
      <w:r>
        <w:rPr>
          <w:rFonts w:ascii="Times New Roman" w:eastAsia="宋体" w:hAnsi="Times New Roman" w:cs="Times New Roman"/>
          <w:color w:val="000000" w:themeColor="text1"/>
          <w:sz w:val="24"/>
          <w:szCs w:val="24"/>
        </w:rPr>
        <w:t>)</w:t>
      </w:r>
      <w:r>
        <w:rPr>
          <w:rFonts w:ascii="Times New Roman" w:eastAsia="宋体" w:hAnsi="Times New Roman" w:cs="Times New Roman"/>
          <w:color w:val="000000" w:themeColor="text1"/>
          <w:sz w:val="24"/>
          <w:szCs w:val="24"/>
          <w:vertAlign w:val="superscript"/>
        </w:rPr>
        <w:t>-1</w:t>
      </w:r>
      <w:r>
        <w:rPr>
          <w:rFonts w:ascii="Times New Roman" w:eastAsia="宋体" w:hAnsi="Times New Roman" w:cs="Times New Roman" w:hint="eastAsia"/>
          <w:color w:val="000000" w:themeColor="text1"/>
          <w:sz w:val="24"/>
          <w:szCs w:val="24"/>
        </w:rPr>
        <w:t>时呋塞米剂量可达</w:t>
      </w:r>
      <w:r>
        <w:rPr>
          <w:rFonts w:ascii="Times New Roman" w:eastAsia="宋体" w:hAnsi="Times New Roman" w:cs="Times New Roman"/>
          <w:color w:val="000000" w:themeColor="text1"/>
          <w:sz w:val="24"/>
          <w:szCs w:val="24"/>
        </w:rPr>
        <w:t>200 mg/d</w:t>
      </w:r>
      <w:r w:rsidR="00B411DC">
        <w:rPr>
          <w:rFonts w:ascii="Times New Roman" w:eastAsia="宋体" w:hAnsi="Times New Roman" w:cs="Times New Roman"/>
          <w:color w:val="000000" w:themeColor="text1"/>
          <w:sz w:val="24"/>
          <w:szCs w:val="24"/>
        </w:rPr>
        <w:fldChar w:fldCharType="begin"/>
      </w:r>
      <w:r>
        <w:rPr>
          <w:rFonts w:ascii="Times New Roman" w:eastAsia="宋体" w:hAnsi="Times New Roman" w:cs="Times New Roman"/>
          <w:color w:val="000000" w:themeColor="text1"/>
          <w:sz w:val="24"/>
          <w:szCs w:val="24"/>
        </w:rPr>
        <w:instrText xml:space="preserve"> ADDIN NE.Ref.{94D72BB3-3204-4DFE-96C5-348E2BFB00BA}</w:instrText>
      </w:r>
      <w:r w:rsidR="00B411DC">
        <w:rPr>
          <w:rFonts w:ascii="Times New Roman" w:eastAsia="宋体" w:hAnsi="Times New Roman" w:cs="Times New Roman"/>
          <w:color w:val="000000" w:themeColor="text1"/>
          <w:sz w:val="24"/>
          <w:szCs w:val="24"/>
        </w:rPr>
        <w:fldChar w:fldCharType="separate"/>
      </w:r>
      <w:r>
        <w:rPr>
          <w:rFonts w:ascii="Times New Roman" w:eastAsia="宋体" w:hAnsi="Times New Roman" w:cs="Times New Roman"/>
          <w:color w:val="000000" w:themeColor="text1"/>
          <w:kern w:val="0"/>
          <w:sz w:val="24"/>
          <w:szCs w:val="24"/>
          <w:vertAlign w:val="superscript"/>
        </w:rPr>
        <w:t>[23]</w:t>
      </w:r>
      <w:r w:rsidR="00B411DC">
        <w:rPr>
          <w:rFonts w:ascii="Times New Roman" w:eastAsia="宋体" w:hAnsi="Times New Roman" w:cs="Times New Roman"/>
          <w:color w:val="000000" w:themeColor="text1"/>
          <w:sz w:val="24"/>
          <w:szCs w:val="24"/>
        </w:rPr>
        <w:fldChar w:fldCharType="end"/>
      </w:r>
      <w:r>
        <w:rPr>
          <w:rFonts w:ascii="Times New Roman" w:eastAsia="宋体" w:hAnsi="Times New Roman" w:cs="Times New Roman" w:hint="eastAsia"/>
          <w:color w:val="000000" w:themeColor="text1"/>
          <w:sz w:val="24"/>
          <w:szCs w:val="24"/>
        </w:rPr>
        <w:t>，而在</w:t>
      </w:r>
      <w:r>
        <w:rPr>
          <w:rFonts w:ascii="Times New Roman" w:eastAsia="宋体" w:hAnsi="Times New Roman" w:cs="Times New Roman"/>
          <w:color w:val="000000" w:themeColor="text1"/>
          <w:sz w:val="24"/>
          <w:szCs w:val="24"/>
        </w:rPr>
        <w:t>eGFR</w:t>
      </w:r>
      <w:r>
        <w:rPr>
          <w:rFonts w:ascii="Times New Roman" w:eastAsia="宋体" w:hAnsi="Times New Roman" w:cs="Times New Roman" w:hint="eastAsia"/>
          <w:color w:val="000000" w:themeColor="text1"/>
          <w:sz w:val="24"/>
          <w:szCs w:val="24"/>
        </w:rPr>
        <w:t>极低的情况下利尿剂通常无效</w:t>
      </w:r>
      <w:r w:rsidR="00B411DC">
        <w:rPr>
          <w:rFonts w:ascii="Times New Roman" w:eastAsia="宋体" w:hAnsi="Times New Roman" w:cs="Times New Roman"/>
          <w:color w:val="000000" w:themeColor="text1"/>
          <w:sz w:val="24"/>
          <w:szCs w:val="24"/>
        </w:rPr>
        <w:fldChar w:fldCharType="begin"/>
      </w:r>
      <w:r>
        <w:rPr>
          <w:rFonts w:ascii="Times New Roman" w:eastAsia="宋体" w:hAnsi="Times New Roman" w:cs="Times New Roman"/>
          <w:color w:val="000000" w:themeColor="text1"/>
          <w:sz w:val="24"/>
          <w:szCs w:val="24"/>
        </w:rPr>
        <w:instrText xml:space="preserve"> ADDIN NE.Ref.{654694AA-7427-45B8-96B7-32019865740C}</w:instrText>
      </w:r>
      <w:r w:rsidR="00B411DC">
        <w:rPr>
          <w:rFonts w:ascii="Times New Roman" w:eastAsia="宋体" w:hAnsi="Times New Roman" w:cs="Times New Roman"/>
          <w:color w:val="000000" w:themeColor="text1"/>
          <w:sz w:val="24"/>
          <w:szCs w:val="24"/>
        </w:rPr>
        <w:fldChar w:fldCharType="separate"/>
      </w:r>
      <w:r>
        <w:rPr>
          <w:rFonts w:ascii="Times New Roman" w:eastAsia="宋体" w:hAnsi="Times New Roman" w:cs="Times New Roman"/>
          <w:color w:val="000000" w:themeColor="text1"/>
          <w:kern w:val="0"/>
          <w:sz w:val="24"/>
          <w:szCs w:val="24"/>
          <w:vertAlign w:val="superscript"/>
        </w:rPr>
        <w:t>[24]</w:t>
      </w:r>
      <w:r w:rsidR="00B411DC">
        <w:rPr>
          <w:rFonts w:ascii="Times New Roman" w:eastAsia="宋体" w:hAnsi="Times New Roman" w:cs="Times New Roman"/>
          <w:color w:val="000000" w:themeColor="text1"/>
          <w:sz w:val="24"/>
          <w:szCs w:val="24"/>
        </w:rPr>
        <w:fldChar w:fldCharType="end"/>
      </w:r>
      <w:r>
        <w:rPr>
          <w:rFonts w:ascii="Times New Roman" w:eastAsia="宋体" w:hAnsi="Times New Roman" w:cs="Times New Roman" w:hint="eastAsia"/>
          <w:color w:val="000000" w:themeColor="text1"/>
          <w:sz w:val="24"/>
          <w:szCs w:val="24"/>
        </w:rPr>
        <w:t>。研究显示，给予高剂量袢利尿剂的无尿血液透析患者，心脏的血流动力学并无改变</w:t>
      </w:r>
      <w:r w:rsidR="00B411DC">
        <w:rPr>
          <w:rFonts w:ascii="Times New Roman" w:eastAsia="宋体" w:hAnsi="Times New Roman" w:cs="Times New Roman"/>
          <w:color w:val="000000" w:themeColor="text1"/>
          <w:sz w:val="24"/>
          <w:szCs w:val="24"/>
        </w:rPr>
        <w:fldChar w:fldCharType="begin"/>
      </w:r>
      <w:r>
        <w:rPr>
          <w:rFonts w:ascii="Times New Roman" w:eastAsia="宋体" w:hAnsi="Times New Roman" w:cs="Times New Roman"/>
          <w:color w:val="000000" w:themeColor="text1"/>
          <w:sz w:val="24"/>
          <w:szCs w:val="24"/>
        </w:rPr>
        <w:instrText xml:space="preserve"> ADDIN NE.Ref.{5117C7EE-4162-434C-9548-FB519CC2E8E6}</w:instrText>
      </w:r>
      <w:r w:rsidR="00B411DC">
        <w:rPr>
          <w:rFonts w:ascii="Times New Roman" w:eastAsia="宋体" w:hAnsi="Times New Roman" w:cs="Times New Roman"/>
          <w:color w:val="000000" w:themeColor="text1"/>
          <w:sz w:val="24"/>
          <w:szCs w:val="24"/>
        </w:rPr>
        <w:fldChar w:fldCharType="separate"/>
      </w:r>
      <w:r>
        <w:rPr>
          <w:rFonts w:ascii="Times New Roman" w:eastAsia="宋体" w:hAnsi="Times New Roman" w:cs="Times New Roman"/>
          <w:color w:val="000000" w:themeColor="text1"/>
          <w:kern w:val="0"/>
          <w:sz w:val="24"/>
          <w:szCs w:val="24"/>
          <w:vertAlign w:val="superscript"/>
        </w:rPr>
        <w:t>[25]</w:t>
      </w:r>
      <w:r w:rsidR="00B411DC">
        <w:rPr>
          <w:rFonts w:ascii="Times New Roman" w:eastAsia="宋体" w:hAnsi="Times New Roman" w:cs="Times New Roman"/>
          <w:color w:val="000000" w:themeColor="text1"/>
          <w:sz w:val="24"/>
          <w:szCs w:val="24"/>
        </w:rPr>
        <w:fldChar w:fldCharType="end"/>
      </w:r>
      <w:r>
        <w:rPr>
          <w:rFonts w:ascii="Times New Roman" w:eastAsia="宋体" w:hAnsi="Times New Roman" w:cs="Times New Roman" w:hint="eastAsia"/>
          <w:color w:val="000000" w:themeColor="text1"/>
          <w:sz w:val="24"/>
          <w:szCs w:val="24"/>
        </w:rPr>
        <w:t>，考虑到大剂量利尿剂相关的耳毒性，不建议对这类患者大剂量使用</w:t>
      </w:r>
      <w:r w:rsidR="00B411DC">
        <w:rPr>
          <w:rFonts w:ascii="Times New Roman" w:eastAsia="宋体" w:hAnsi="Times New Roman" w:cs="Times New Roman"/>
          <w:color w:val="000000" w:themeColor="text1"/>
          <w:sz w:val="24"/>
          <w:szCs w:val="24"/>
        </w:rPr>
        <w:fldChar w:fldCharType="begin"/>
      </w:r>
      <w:r>
        <w:rPr>
          <w:rFonts w:ascii="Times New Roman" w:eastAsia="宋体" w:hAnsi="Times New Roman" w:cs="Times New Roman"/>
          <w:color w:val="000000" w:themeColor="text1"/>
          <w:sz w:val="24"/>
          <w:szCs w:val="24"/>
        </w:rPr>
        <w:instrText xml:space="preserve"> ADDIN NE.Ref.{84CB9B6E-35E5-4937-A930-750656238F5C}</w:instrText>
      </w:r>
      <w:r w:rsidR="00B411DC">
        <w:rPr>
          <w:rFonts w:ascii="Times New Roman" w:eastAsia="宋体" w:hAnsi="Times New Roman" w:cs="Times New Roman"/>
          <w:color w:val="000000" w:themeColor="text1"/>
          <w:sz w:val="24"/>
          <w:szCs w:val="24"/>
        </w:rPr>
        <w:fldChar w:fldCharType="separate"/>
      </w:r>
      <w:r>
        <w:rPr>
          <w:rFonts w:ascii="Times New Roman" w:eastAsia="宋体" w:hAnsi="Times New Roman" w:cs="Times New Roman"/>
          <w:color w:val="000000" w:themeColor="text1"/>
          <w:kern w:val="0"/>
          <w:sz w:val="24"/>
          <w:szCs w:val="24"/>
          <w:vertAlign w:val="superscript"/>
        </w:rPr>
        <w:t>[26]</w:t>
      </w:r>
      <w:r w:rsidR="00B411DC">
        <w:rPr>
          <w:rFonts w:ascii="Times New Roman" w:eastAsia="宋体" w:hAnsi="Times New Roman" w:cs="Times New Roman"/>
          <w:color w:val="000000" w:themeColor="text1"/>
          <w:sz w:val="24"/>
          <w:szCs w:val="24"/>
        </w:rPr>
        <w:fldChar w:fldCharType="end"/>
      </w:r>
      <w:r>
        <w:rPr>
          <w:rFonts w:ascii="Times New Roman" w:eastAsia="宋体" w:hAnsi="Times New Roman" w:cs="Times New Roman" w:hint="eastAsia"/>
          <w:color w:val="000000" w:themeColor="text1"/>
          <w:sz w:val="24"/>
          <w:szCs w:val="24"/>
        </w:rPr>
        <w:t>。</w:t>
      </w:r>
    </w:p>
    <w:p w:rsidR="002E5476" w:rsidRDefault="00423E71">
      <w:pPr>
        <w:spacing w:line="360" w:lineRule="auto"/>
        <w:ind w:firstLineChars="200" w:firstLine="480"/>
        <w:jc w:val="left"/>
        <w:outlineLvl w:val="1"/>
        <w:rPr>
          <w:rFonts w:ascii="Times New Roman" w:eastAsia="宋体" w:hAnsi="Times New Roman" w:cs="Times New Roman"/>
          <w:color w:val="000000" w:themeColor="text1"/>
          <w:sz w:val="24"/>
          <w:szCs w:val="24"/>
        </w:rPr>
      </w:pPr>
      <w:r>
        <w:rPr>
          <w:rFonts w:ascii="Times New Roman" w:eastAsia="宋体" w:hAnsi="Times New Roman" w:cs="Times New Roman" w:hint="eastAsia"/>
          <w:color w:val="000000" w:themeColor="text1"/>
          <w:sz w:val="24"/>
          <w:szCs w:val="24"/>
        </w:rPr>
        <w:t>噻嗪类利尿剂的代表药物为氢氯噻嗪，噻嗪样利尿剂的是吲达帕胺、氯噻酮。两种药物均含有磺胺基团，因此对磺胺类过敏者应当禁用。噻嗪类利尿剂均以有机酸的形式从肾小管分泌，因而与尿酸的分泌产生竞争，导致高尿酸血症。与氢氯噻嗪相比，吲达帕胺有扩张血管的作用（主要为降压），对糖耐量和脂质代谢无不良影响，其清除半衰期和作用持续时间均长于氢氯噻嗪。噻嗪类利尿剂可用于轻度肾功能不全，即</w:t>
      </w:r>
      <w:r>
        <w:rPr>
          <w:rFonts w:ascii="Times New Roman" w:eastAsia="宋体" w:hAnsi="Times New Roman" w:cs="Times New Roman"/>
          <w:color w:val="000000" w:themeColor="text1"/>
          <w:sz w:val="24"/>
          <w:szCs w:val="24"/>
        </w:rPr>
        <w:t>CKD1~3</w:t>
      </w:r>
      <w:r>
        <w:rPr>
          <w:rFonts w:ascii="Times New Roman" w:eastAsia="宋体" w:hAnsi="Times New Roman" w:cs="Times New Roman" w:hint="eastAsia"/>
          <w:color w:val="000000" w:themeColor="text1"/>
          <w:sz w:val="24"/>
          <w:szCs w:val="24"/>
        </w:rPr>
        <w:t>期患者，而当</w:t>
      </w:r>
      <w:r>
        <w:rPr>
          <w:rFonts w:ascii="Times New Roman" w:eastAsia="宋体" w:hAnsi="Times New Roman" w:cs="Times New Roman"/>
          <w:color w:val="000000" w:themeColor="text1"/>
          <w:sz w:val="24"/>
          <w:szCs w:val="24"/>
        </w:rPr>
        <w:t>eGFR</w:t>
      </w:r>
      <w:r>
        <w:rPr>
          <w:rFonts w:ascii="Times New Roman" w:eastAsia="宋体" w:hAnsi="Times New Roman" w:cs="Times New Roman" w:hint="eastAsia"/>
          <w:color w:val="000000" w:themeColor="text1"/>
          <w:sz w:val="24"/>
          <w:szCs w:val="24"/>
        </w:rPr>
        <w:t>＜</w:t>
      </w:r>
      <w:r>
        <w:rPr>
          <w:rFonts w:ascii="Times New Roman" w:eastAsia="宋体" w:hAnsi="Times New Roman" w:cs="Times New Roman"/>
          <w:color w:val="000000" w:themeColor="text1"/>
          <w:sz w:val="24"/>
          <w:szCs w:val="24"/>
        </w:rPr>
        <w:t xml:space="preserve">30 </w:t>
      </w:r>
      <w:r>
        <w:rPr>
          <w:rFonts w:ascii="Times New Roman" w:eastAsia="宋体" w:hAnsi="Times New Roman" w:cs="Times New Roman"/>
          <w:color w:val="000000" w:themeColor="text1"/>
          <w:sz w:val="24"/>
        </w:rPr>
        <w:t>ml</w:t>
      </w:r>
      <w:r>
        <w:rPr>
          <w:rFonts w:ascii="Times New Roman" w:eastAsia="宋体" w:hAnsi="Times New Roman" w:cs="Times New Roman" w:hint="eastAsia"/>
          <w:color w:val="000000" w:themeColor="text1"/>
          <w:sz w:val="24"/>
        </w:rPr>
        <w:t>·</w:t>
      </w:r>
      <w:r>
        <w:rPr>
          <w:rFonts w:ascii="Times New Roman" w:eastAsia="宋体" w:hAnsi="Times New Roman" w:cs="Times New Roman"/>
          <w:color w:val="000000" w:themeColor="text1"/>
          <w:sz w:val="24"/>
        </w:rPr>
        <w:t>min</w:t>
      </w:r>
      <w:r>
        <w:rPr>
          <w:rFonts w:ascii="Times New Roman" w:eastAsia="宋体" w:hAnsi="Times New Roman" w:cs="Times New Roman"/>
          <w:color w:val="000000" w:themeColor="text1"/>
          <w:sz w:val="24"/>
          <w:vertAlign w:val="superscript"/>
        </w:rPr>
        <w:t>-1</w:t>
      </w:r>
      <w:r>
        <w:rPr>
          <w:rFonts w:ascii="Times New Roman" w:eastAsia="宋体" w:hAnsi="Times New Roman" w:cs="Times New Roman" w:hint="eastAsia"/>
          <w:color w:val="000000" w:themeColor="text1"/>
          <w:sz w:val="24"/>
        </w:rPr>
        <w:t>·</w:t>
      </w:r>
      <w:r>
        <w:rPr>
          <w:rFonts w:ascii="Times New Roman" w:eastAsia="宋体" w:hAnsi="Times New Roman" w:cs="Times New Roman"/>
          <w:color w:val="000000" w:themeColor="text1"/>
          <w:sz w:val="24"/>
        </w:rPr>
        <w:t>(1.73 m</w:t>
      </w:r>
      <w:bookmarkStart w:id="22" w:name="OLE_LINK4"/>
      <w:bookmarkStart w:id="23" w:name="OLE_LINK3"/>
      <w:r>
        <w:rPr>
          <w:rFonts w:ascii="Times New Roman" w:eastAsia="宋体" w:hAnsi="Times New Roman" w:cs="Times New Roman"/>
          <w:color w:val="000000" w:themeColor="text1"/>
          <w:sz w:val="24"/>
          <w:vertAlign w:val="superscript"/>
        </w:rPr>
        <w:t>2</w:t>
      </w:r>
      <w:r>
        <w:rPr>
          <w:rFonts w:ascii="Times New Roman" w:eastAsia="宋体" w:hAnsi="Times New Roman" w:cs="Times New Roman"/>
          <w:color w:val="000000" w:themeColor="text1"/>
          <w:sz w:val="24"/>
        </w:rPr>
        <w:t>)</w:t>
      </w:r>
      <w:r>
        <w:rPr>
          <w:rFonts w:ascii="Times New Roman" w:eastAsia="宋体" w:hAnsi="Times New Roman" w:cs="Times New Roman"/>
          <w:color w:val="000000" w:themeColor="text1"/>
          <w:sz w:val="24"/>
          <w:vertAlign w:val="superscript"/>
        </w:rPr>
        <w:t>-1</w:t>
      </w:r>
      <w:r>
        <w:rPr>
          <w:rFonts w:ascii="Times New Roman" w:eastAsia="宋体" w:hAnsi="Times New Roman" w:cs="Times New Roman" w:hint="eastAsia"/>
          <w:color w:val="000000" w:themeColor="text1"/>
          <w:sz w:val="24"/>
          <w:szCs w:val="24"/>
        </w:rPr>
        <w:t>时</w:t>
      </w:r>
      <w:bookmarkEnd w:id="22"/>
      <w:bookmarkEnd w:id="23"/>
      <w:r>
        <w:rPr>
          <w:rFonts w:ascii="Times New Roman" w:eastAsia="宋体" w:hAnsi="Times New Roman" w:cs="Times New Roman" w:hint="eastAsia"/>
          <w:color w:val="000000" w:themeColor="text1"/>
          <w:sz w:val="24"/>
          <w:szCs w:val="24"/>
        </w:rPr>
        <w:t>推荐应用袢利尿剂。</w:t>
      </w:r>
    </w:p>
    <w:p w:rsidR="002E5476" w:rsidRDefault="00423E71">
      <w:pPr>
        <w:spacing w:line="360" w:lineRule="auto"/>
        <w:ind w:firstLineChars="200" w:firstLine="480"/>
        <w:jc w:val="left"/>
        <w:outlineLvl w:val="1"/>
        <w:rPr>
          <w:rFonts w:ascii="Times New Roman" w:eastAsia="宋体" w:hAnsi="Times New Roman" w:cs="Times New Roman"/>
          <w:color w:val="000000" w:themeColor="text1"/>
          <w:sz w:val="24"/>
          <w:szCs w:val="24"/>
        </w:rPr>
      </w:pPr>
      <w:r>
        <w:rPr>
          <w:rFonts w:ascii="Times New Roman" w:eastAsia="宋体" w:hAnsi="Times New Roman" w:cs="Times New Roman" w:hint="eastAsia"/>
          <w:color w:val="000000" w:themeColor="text1"/>
          <w:sz w:val="24"/>
          <w:szCs w:val="24"/>
        </w:rPr>
        <w:t>保钾利尿药（阿米洛利）和醛固酮受体拮抗剂（如螺内酯或依普利酮）在一些短期研究中显示可有效治疗难治性高血压</w:t>
      </w:r>
      <w:r w:rsidR="00B411DC">
        <w:rPr>
          <w:rFonts w:ascii="Times New Roman" w:eastAsia="宋体" w:hAnsi="Times New Roman" w:cs="Times New Roman"/>
          <w:color w:val="000000" w:themeColor="text1"/>
          <w:sz w:val="24"/>
          <w:szCs w:val="24"/>
        </w:rPr>
        <w:fldChar w:fldCharType="begin"/>
      </w:r>
      <w:r>
        <w:rPr>
          <w:rFonts w:ascii="Times New Roman" w:eastAsia="宋体" w:hAnsi="Times New Roman" w:cs="Times New Roman"/>
          <w:color w:val="000000" w:themeColor="text1"/>
          <w:sz w:val="24"/>
          <w:szCs w:val="24"/>
        </w:rPr>
        <w:instrText xml:space="preserve"> ADDIN NE.Ref.{C5EA1F4E-EBF7-4A2C-B429-7C4D0A94F2BA}</w:instrText>
      </w:r>
      <w:r w:rsidR="00B411DC">
        <w:rPr>
          <w:rFonts w:ascii="Times New Roman" w:eastAsia="宋体" w:hAnsi="Times New Roman" w:cs="Times New Roman"/>
          <w:color w:val="000000" w:themeColor="text1"/>
          <w:sz w:val="24"/>
          <w:szCs w:val="24"/>
        </w:rPr>
        <w:fldChar w:fldCharType="separate"/>
      </w:r>
      <w:r>
        <w:rPr>
          <w:rFonts w:ascii="Times New Roman" w:eastAsia="宋体" w:hAnsi="Times New Roman" w:cs="Times New Roman"/>
          <w:color w:val="000000" w:themeColor="text1"/>
          <w:kern w:val="0"/>
          <w:sz w:val="24"/>
          <w:szCs w:val="24"/>
          <w:vertAlign w:val="superscript"/>
        </w:rPr>
        <w:t>[27-28]</w:t>
      </w:r>
      <w:r w:rsidR="00B411DC">
        <w:rPr>
          <w:rFonts w:ascii="Times New Roman" w:eastAsia="宋体" w:hAnsi="Times New Roman" w:cs="Times New Roman"/>
          <w:color w:val="000000" w:themeColor="text1"/>
          <w:sz w:val="24"/>
          <w:szCs w:val="24"/>
        </w:rPr>
        <w:fldChar w:fldCharType="end"/>
      </w:r>
      <w:r>
        <w:rPr>
          <w:rFonts w:ascii="Times New Roman" w:eastAsia="宋体" w:hAnsi="Times New Roman" w:cs="Times New Roman" w:hint="eastAsia"/>
          <w:color w:val="000000" w:themeColor="text1"/>
          <w:sz w:val="24"/>
          <w:szCs w:val="24"/>
        </w:rPr>
        <w:t>。保钾利尿剂</w:t>
      </w:r>
      <w:r>
        <w:rPr>
          <w:rFonts w:ascii="Times New Roman" w:eastAsia="宋体" w:hAnsi="Times New Roman" w:cs="Times New Roman"/>
          <w:color w:val="000000" w:themeColor="text1"/>
          <w:sz w:val="24"/>
          <w:szCs w:val="24"/>
        </w:rPr>
        <w:t>/</w:t>
      </w:r>
      <w:r>
        <w:rPr>
          <w:rFonts w:ascii="Times New Roman" w:eastAsia="宋体" w:hAnsi="Times New Roman" w:cs="Times New Roman" w:hint="eastAsia"/>
          <w:color w:val="000000" w:themeColor="text1"/>
          <w:sz w:val="24"/>
          <w:szCs w:val="24"/>
        </w:rPr>
        <w:t>醛固酮受体拮抗剂一般应用于</w:t>
      </w:r>
      <w:r>
        <w:rPr>
          <w:rFonts w:ascii="Times New Roman" w:eastAsia="宋体" w:hAnsi="Times New Roman" w:cs="Times New Roman"/>
          <w:color w:val="000000" w:themeColor="text1"/>
          <w:sz w:val="24"/>
          <w:szCs w:val="24"/>
        </w:rPr>
        <w:t>CKD 1~3</w:t>
      </w:r>
      <w:r>
        <w:rPr>
          <w:rFonts w:ascii="Times New Roman" w:eastAsia="宋体" w:hAnsi="Times New Roman" w:cs="Times New Roman" w:hint="eastAsia"/>
          <w:color w:val="000000" w:themeColor="text1"/>
          <w:sz w:val="24"/>
          <w:szCs w:val="24"/>
        </w:rPr>
        <w:t>期，在</w:t>
      </w:r>
      <w:r>
        <w:rPr>
          <w:rFonts w:ascii="Times New Roman" w:eastAsia="宋体" w:hAnsi="Times New Roman" w:cs="Times New Roman"/>
          <w:color w:val="000000" w:themeColor="text1"/>
          <w:sz w:val="24"/>
          <w:szCs w:val="24"/>
        </w:rPr>
        <w:t>eGFR</w:t>
      </w:r>
      <w:r>
        <w:rPr>
          <w:rFonts w:ascii="Times New Roman" w:eastAsia="宋体" w:hAnsi="Times New Roman" w:cs="Times New Roman" w:hint="eastAsia"/>
          <w:color w:val="000000" w:themeColor="text1"/>
          <w:sz w:val="24"/>
          <w:szCs w:val="24"/>
        </w:rPr>
        <w:t>＜</w:t>
      </w:r>
      <w:r>
        <w:rPr>
          <w:rFonts w:ascii="Times New Roman" w:eastAsia="宋体" w:hAnsi="Times New Roman" w:cs="Times New Roman"/>
          <w:color w:val="000000" w:themeColor="text1"/>
          <w:sz w:val="24"/>
          <w:szCs w:val="24"/>
        </w:rPr>
        <w:t xml:space="preserve">30 </w:t>
      </w:r>
      <w:r>
        <w:rPr>
          <w:rFonts w:ascii="Times New Roman" w:eastAsia="宋体" w:hAnsi="Times New Roman" w:cs="Times New Roman"/>
          <w:color w:val="000000" w:themeColor="text1"/>
          <w:sz w:val="24"/>
        </w:rPr>
        <w:t>ml</w:t>
      </w:r>
      <w:r>
        <w:rPr>
          <w:rFonts w:ascii="Times New Roman" w:eastAsia="宋体" w:hAnsi="Times New Roman" w:cs="Times New Roman" w:hint="eastAsia"/>
          <w:color w:val="000000" w:themeColor="text1"/>
          <w:sz w:val="24"/>
        </w:rPr>
        <w:t>·</w:t>
      </w:r>
      <w:r>
        <w:rPr>
          <w:rFonts w:ascii="Times New Roman" w:eastAsia="宋体" w:hAnsi="Times New Roman" w:cs="Times New Roman"/>
          <w:color w:val="000000" w:themeColor="text1"/>
          <w:sz w:val="24"/>
        </w:rPr>
        <w:t>min</w:t>
      </w:r>
      <w:r>
        <w:rPr>
          <w:rFonts w:ascii="Times New Roman" w:eastAsia="宋体" w:hAnsi="Times New Roman" w:cs="Times New Roman"/>
          <w:color w:val="000000" w:themeColor="text1"/>
          <w:sz w:val="24"/>
          <w:vertAlign w:val="superscript"/>
        </w:rPr>
        <w:t>-1</w:t>
      </w:r>
      <w:r>
        <w:rPr>
          <w:rFonts w:ascii="Times New Roman" w:eastAsia="宋体" w:hAnsi="Times New Roman" w:cs="Times New Roman" w:hint="eastAsia"/>
          <w:color w:val="000000" w:themeColor="text1"/>
          <w:sz w:val="24"/>
        </w:rPr>
        <w:t>·</w:t>
      </w:r>
      <w:r>
        <w:rPr>
          <w:rFonts w:ascii="Times New Roman" w:eastAsia="宋体" w:hAnsi="Times New Roman" w:cs="Times New Roman"/>
          <w:color w:val="000000" w:themeColor="text1"/>
          <w:sz w:val="24"/>
        </w:rPr>
        <w:t>(1.73 m</w:t>
      </w:r>
      <w:r>
        <w:rPr>
          <w:rFonts w:ascii="Times New Roman" w:eastAsia="宋体" w:hAnsi="Times New Roman" w:cs="Times New Roman"/>
          <w:color w:val="000000" w:themeColor="text1"/>
          <w:sz w:val="24"/>
          <w:vertAlign w:val="superscript"/>
        </w:rPr>
        <w:t>2</w:t>
      </w:r>
      <w:r>
        <w:rPr>
          <w:rFonts w:ascii="Times New Roman" w:eastAsia="宋体" w:hAnsi="Times New Roman" w:cs="Times New Roman"/>
          <w:color w:val="000000" w:themeColor="text1"/>
          <w:sz w:val="24"/>
        </w:rPr>
        <w:t>)</w:t>
      </w:r>
      <w:r>
        <w:rPr>
          <w:rFonts w:ascii="Times New Roman" w:eastAsia="宋体" w:hAnsi="Times New Roman" w:cs="Times New Roman"/>
          <w:color w:val="000000" w:themeColor="text1"/>
          <w:sz w:val="24"/>
          <w:vertAlign w:val="superscript"/>
        </w:rPr>
        <w:t>-1</w:t>
      </w:r>
      <w:r>
        <w:rPr>
          <w:rFonts w:ascii="Times New Roman" w:eastAsia="宋体" w:hAnsi="Times New Roman" w:cs="Times New Roman" w:hint="eastAsia"/>
          <w:color w:val="000000" w:themeColor="text1"/>
          <w:sz w:val="24"/>
          <w:szCs w:val="24"/>
        </w:rPr>
        <w:t>时慎用，且常与噻嗪类利尿剂及袢利尿剂合用，可提高利尿效果和减少电解质紊乱的不良反应。在临床联用保钾利尿剂与</w:t>
      </w:r>
      <w:r>
        <w:rPr>
          <w:rFonts w:ascii="Times New Roman" w:eastAsia="宋体" w:hAnsi="Times New Roman" w:cs="Times New Roman"/>
          <w:color w:val="000000" w:themeColor="text1"/>
          <w:sz w:val="24"/>
          <w:szCs w:val="24"/>
        </w:rPr>
        <w:t>ACEI</w:t>
      </w:r>
      <w:r>
        <w:rPr>
          <w:rFonts w:ascii="Times New Roman" w:eastAsia="宋体" w:hAnsi="Times New Roman" w:cs="Times New Roman" w:hint="eastAsia"/>
          <w:color w:val="000000" w:themeColor="text1"/>
          <w:sz w:val="24"/>
          <w:szCs w:val="24"/>
        </w:rPr>
        <w:t>或</w:t>
      </w:r>
      <w:r>
        <w:rPr>
          <w:rFonts w:ascii="Times New Roman" w:eastAsia="宋体" w:hAnsi="Times New Roman" w:cs="Times New Roman"/>
          <w:color w:val="000000" w:themeColor="text1"/>
          <w:sz w:val="24"/>
          <w:szCs w:val="24"/>
        </w:rPr>
        <w:t>ARB</w:t>
      </w:r>
      <w:r>
        <w:rPr>
          <w:rFonts w:ascii="Times New Roman" w:eastAsia="宋体" w:hAnsi="Times New Roman" w:cs="Times New Roman" w:hint="eastAsia"/>
          <w:color w:val="000000" w:themeColor="text1"/>
          <w:sz w:val="24"/>
          <w:szCs w:val="24"/>
        </w:rPr>
        <w:t>时需警惕可能增加发生高钾血症的风险</w:t>
      </w:r>
      <w:r w:rsidR="00B411DC">
        <w:rPr>
          <w:rFonts w:ascii="Times New Roman" w:eastAsia="宋体" w:hAnsi="Times New Roman" w:cs="Times New Roman"/>
          <w:color w:val="000000" w:themeColor="text1"/>
          <w:sz w:val="24"/>
          <w:szCs w:val="24"/>
        </w:rPr>
        <w:fldChar w:fldCharType="begin"/>
      </w:r>
      <w:r>
        <w:rPr>
          <w:rFonts w:ascii="Times New Roman" w:eastAsia="宋体" w:hAnsi="Times New Roman" w:cs="Times New Roman"/>
          <w:color w:val="000000" w:themeColor="text1"/>
          <w:sz w:val="24"/>
          <w:szCs w:val="24"/>
        </w:rPr>
        <w:instrText xml:space="preserve"> ADDIN NE.Ref.{55FECD1B-D39F-48F4-9AA8-4826EB2AF7D1}</w:instrText>
      </w:r>
      <w:r w:rsidR="00B411DC">
        <w:rPr>
          <w:rFonts w:ascii="Times New Roman" w:eastAsia="宋体" w:hAnsi="Times New Roman" w:cs="Times New Roman"/>
          <w:color w:val="000000" w:themeColor="text1"/>
          <w:sz w:val="24"/>
          <w:szCs w:val="24"/>
        </w:rPr>
        <w:fldChar w:fldCharType="separate"/>
      </w:r>
      <w:r>
        <w:rPr>
          <w:rFonts w:ascii="Times New Roman" w:eastAsia="宋体" w:hAnsi="Times New Roman" w:cs="Times New Roman"/>
          <w:color w:val="000000" w:themeColor="text1"/>
          <w:kern w:val="0"/>
          <w:sz w:val="24"/>
          <w:szCs w:val="24"/>
          <w:vertAlign w:val="superscript"/>
        </w:rPr>
        <w:t>[29]</w:t>
      </w:r>
      <w:r w:rsidR="00B411DC">
        <w:rPr>
          <w:rFonts w:ascii="Times New Roman" w:eastAsia="宋体" w:hAnsi="Times New Roman" w:cs="Times New Roman"/>
          <w:color w:val="000000" w:themeColor="text1"/>
          <w:sz w:val="24"/>
          <w:szCs w:val="24"/>
        </w:rPr>
        <w:fldChar w:fldCharType="end"/>
      </w:r>
      <w:r>
        <w:rPr>
          <w:rFonts w:ascii="Times New Roman" w:eastAsia="宋体" w:hAnsi="Times New Roman" w:cs="Times New Roman" w:hint="eastAsia"/>
          <w:color w:val="000000" w:themeColor="text1"/>
          <w:sz w:val="24"/>
          <w:szCs w:val="24"/>
        </w:rPr>
        <w:t>。在透析患者中的研究发现，保钾利尿剂可安全用于透析患者</w:t>
      </w:r>
      <w:r w:rsidR="00B411DC">
        <w:rPr>
          <w:rFonts w:ascii="Times New Roman" w:eastAsia="宋体" w:hAnsi="Times New Roman" w:cs="Times New Roman"/>
          <w:color w:val="000000" w:themeColor="text1"/>
          <w:sz w:val="24"/>
          <w:szCs w:val="24"/>
        </w:rPr>
        <w:fldChar w:fldCharType="begin"/>
      </w:r>
      <w:r>
        <w:rPr>
          <w:rFonts w:ascii="Times New Roman" w:eastAsia="宋体" w:hAnsi="Times New Roman" w:cs="Times New Roman"/>
          <w:color w:val="000000" w:themeColor="text1"/>
          <w:sz w:val="24"/>
          <w:szCs w:val="24"/>
        </w:rPr>
        <w:instrText xml:space="preserve"> ADDIN NE.Ref.{9BFE18C2-C7D2-47E9-ABA8-E63C803D5BB7}</w:instrText>
      </w:r>
      <w:r w:rsidR="00B411DC">
        <w:rPr>
          <w:rFonts w:ascii="Times New Roman" w:eastAsia="宋体" w:hAnsi="Times New Roman" w:cs="Times New Roman"/>
          <w:color w:val="000000" w:themeColor="text1"/>
          <w:sz w:val="24"/>
          <w:szCs w:val="24"/>
        </w:rPr>
        <w:fldChar w:fldCharType="separate"/>
      </w:r>
      <w:r>
        <w:rPr>
          <w:rFonts w:ascii="Times New Roman" w:eastAsia="宋体" w:hAnsi="Times New Roman" w:cs="Times New Roman"/>
          <w:color w:val="000000" w:themeColor="text1"/>
          <w:kern w:val="0"/>
          <w:sz w:val="24"/>
          <w:szCs w:val="24"/>
          <w:vertAlign w:val="superscript"/>
        </w:rPr>
        <w:t>[30-33]</w:t>
      </w:r>
      <w:r w:rsidR="00B411DC">
        <w:rPr>
          <w:rFonts w:ascii="Times New Roman" w:eastAsia="宋体" w:hAnsi="Times New Roman" w:cs="Times New Roman"/>
          <w:color w:val="000000" w:themeColor="text1"/>
          <w:sz w:val="24"/>
          <w:szCs w:val="24"/>
        </w:rPr>
        <w:fldChar w:fldCharType="end"/>
      </w:r>
      <w:r>
        <w:rPr>
          <w:rFonts w:ascii="Times New Roman" w:eastAsia="宋体" w:hAnsi="Times New Roman" w:cs="Times New Roman" w:hint="eastAsia"/>
          <w:color w:val="000000" w:themeColor="text1"/>
          <w:sz w:val="24"/>
          <w:szCs w:val="24"/>
        </w:rPr>
        <w:t>，并能改善这些患者的心肌肥厚和左心室射血分数，降低动脉血压，同时很少发生严重的高钾血症</w:t>
      </w:r>
      <w:r w:rsidR="00B411DC">
        <w:rPr>
          <w:rFonts w:ascii="Times New Roman" w:eastAsia="宋体" w:hAnsi="Times New Roman" w:cs="Times New Roman"/>
          <w:color w:val="000000" w:themeColor="text1"/>
          <w:sz w:val="24"/>
          <w:szCs w:val="24"/>
        </w:rPr>
        <w:fldChar w:fldCharType="begin"/>
      </w:r>
      <w:r>
        <w:rPr>
          <w:rFonts w:ascii="Times New Roman" w:eastAsia="宋体" w:hAnsi="Times New Roman" w:cs="Times New Roman"/>
          <w:color w:val="000000" w:themeColor="text1"/>
          <w:sz w:val="24"/>
          <w:szCs w:val="24"/>
        </w:rPr>
        <w:instrText xml:space="preserve"> ADDIN NE.Ref.{1EEAEEBD-AE42-4A92-8BDA-2E5E4FE2EA4C}</w:instrText>
      </w:r>
      <w:r w:rsidR="00B411DC">
        <w:rPr>
          <w:rFonts w:ascii="Times New Roman" w:eastAsia="宋体" w:hAnsi="Times New Roman" w:cs="Times New Roman"/>
          <w:color w:val="000000" w:themeColor="text1"/>
          <w:sz w:val="24"/>
          <w:szCs w:val="24"/>
        </w:rPr>
        <w:fldChar w:fldCharType="separate"/>
      </w:r>
      <w:r>
        <w:rPr>
          <w:rFonts w:ascii="Times New Roman" w:eastAsia="宋体" w:hAnsi="Times New Roman" w:cs="Times New Roman"/>
          <w:color w:val="000000" w:themeColor="text1"/>
          <w:kern w:val="0"/>
          <w:sz w:val="24"/>
          <w:szCs w:val="24"/>
          <w:vertAlign w:val="superscript"/>
        </w:rPr>
        <w:t>[30, 34-35]</w:t>
      </w:r>
      <w:r w:rsidR="00B411DC">
        <w:rPr>
          <w:rFonts w:ascii="Times New Roman" w:eastAsia="宋体" w:hAnsi="Times New Roman" w:cs="Times New Roman"/>
          <w:color w:val="000000" w:themeColor="text1"/>
          <w:sz w:val="24"/>
          <w:szCs w:val="24"/>
        </w:rPr>
        <w:fldChar w:fldCharType="end"/>
      </w:r>
      <w:r>
        <w:rPr>
          <w:rFonts w:ascii="Times New Roman" w:eastAsia="宋体" w:hAnsi="Times New Roman" w:cs="Times New Roman" w:hint="eastAsia"/>
          <w:color w:val="000000" w:themeColor="text1"/>
          <w:sz w:val="24"/>
          <w:szCs w:val="24"/>
        </w:rPr>
        <w:t>。螺内酯可阻断睾酮合成产生抗雄激素作用，可致阳痿、性欲减退、男性乳房发育或女性月经紊乱等不良反应。依普利酮为高选择性醛固酮受体拮抗剂，受体阻滞作用较醛固酮弱，且不拮抗雄激素和孕激素受体，不良反应明显少于螺内酯。</w:t>
      </w:r>
    </w:p>
    <w:p w:rsidR="002E5476" w:rsidRDefault="00423E71">
      <w:pPr>
        <w:spacing w:line="360" w:lineRule="auto"/>
        <w:ind w:firstLineChars="200" w:firstLine="480"/>
        <w:jc w:val="left"/>
        <w:outlineLvl w:val="1"/>
        <w:rPr>
          <w:rFonts w:ascii="Times New Roman" w:eastAsia="宋体" w:hAnsi="Times New Roman" w:cs="Times New Roman"/>
          <w:color w:val="000000" w:themeColor="text1"/>
          <w:sz w:val="24"/>
          <w:szCs w:val="24"/>
        </w:rPr>
      </w:pPr>
      <w:r>
        <w:rPr>
          <w:rFonts w:ascii="Times New Roman" w:eastAsia="宋体" w:hAnsi="Times New Roman" w:cs="Times New Roman" w:hint="eastAsia"/>
          <w:color w:val="000000" w:themeColor="text1"/>
          <w:sz w:val="24"/>
          <w:szCs w:val="24"/>
        </w:rPr>
        <w:t>利尿剂应从小剂量开始，避免出现低血压或</w:t>
      </w:r>
      <w:r>
        <w:rPr>
          <w:rFonts w:ascii="Times New Roman" w:eastAsia="宋体" w:hAnsi="Times New Roman" w:cs="Times New Roman"/>
          <w:color w:val="000000" w:themeColor="text1"/>
          <w:sz w:val="24"/>
          <w:szCs w:val="24"/>
        </w:rPr>
        <w:t>eGFR</w:t>
      </w:r>
      <w:r>
        <w:rPr>
          <w:rFonts w:ascii="Times New Roman" w:eastAsia="宋体" w:hAnsi="Times New Roman" w:cs="Times New Roman" w:hint="eastAsia"/>
          <w:color w:val="000000" w:themeColor="text1"/>
          <w:sz w:val="24"/>
          <w:szCs w:val="24"/>
        </w:rPr>
        <w:t>下降，并警惕糖耐量降低、低血钾、低钠、高尿酸血症等不良反应。在使用利尿剂时应当注意其对肾素</w:t>
      </w:r>
      <w:r>
        <w:rPr>
          <w:rFonts w:ascii="Times New Roman" w:eastAsia="宋体" w:hAnsi="Times New Roman" w:cs="Times New Roman"/>
          <w:color w:val="000000" w:themeColor="text1"/>
          <w:sz w:val="24"/>
          <w:szCs w:val="24"/>
        </w:rPr>
        <w:t>-</w:t>
      </w:r>
      <w:r>
        <w:rPr>
          <w:rFonts w:ascii="Times New Roman" w:eastAsia="宋体" w:hAnsi="Times New Roman" w:cs="Times New Roman" w:hint="eastAsia"/>
          <w:color w:val="000000" w:themeColor="text1"/>
          <w:sz w:val="24"/>
          <w:szCs w:val="24"/>
        </w:rPr>
        <w:t>血管紧张素</w:t>
      </w:r>
      <w:r>
        <w:rPr>
          <w:rFonts w:ascii="Times New Roman" w:eastAsia="宋体" w:hAnsi="Times New Roman" w:cs="Times New Roman"/>
          <w:color w:val="000000" w:themeColor="text1"/>
          <w:sz w:val="24"/>
          <w:szCs w:val="24"/>
        </w:rPr>
        <w:t>-</w:t>
      </w:r>
      <w:r>
        <w:rPr>
          <w:rFonts w:ascii="Times New Roman" w:eastAsia="宋体" w:hAnsi="Times New Roman" w:cs="Times New Roman" w:hint="eastAsia"/>
          <w:color w:val="000000" w:themeColor="text1"/>
          <w:sz w:val="24"/>
          <w:szCs w:val="24"/>
        </w:rPr>
        <w:t>醛固酮系统（</w:t>
      </w:r>
      <w:r>
        <w:rPr>
          <w:rFonts w:ascii="Times New Roman" w:eastAsia="宋体" w:hAnsi="Times New Roman" w:cs="Times New Roman"/>
          <w:color w:val="000000" w:themeColor="text1"/>
          <w:szCs w:val="21"/>
        </w:rPr>
        <w:t>renin-angiotensin-aldosterone system</w:t>
      </w:r>
      <w:r>
        <w:rPr>
          <w:rFonts w:ascii="Times New Roman" w:eastAsia="宋体" w:hAnsi="Times New Roman" w:cs="Times New Roman" w:hint="eastAsia"/>
          <w:color w:val="000000" w:themeColor="text1"/>
          <w:szCs w:val="21"/>
        </w:rPr>
        <w:t>，</w:t>
      </w:r>
      <w:r>
        <w:rPr>
          <w:rFonts w:ascii="Times New Roman" w:eastAsia="宋体" w:hAnsi="Times New Roman" w:cs="Times New Roman"/>
          <w:color w:val="000000" w:themeColor="text1"/>
          <w:szCs w:val="21"/>
        </w:rPr>
        <w:t>RAAS</w:t>
      </w:r>
      <w:r>
        <w:rPr>
          <w:rFonts w:ascii="Times New Roman" w:eastAsia="宋体" w:hAnsi="Times New Roman" w:cs="Times New Roman" w:hint="eastAsia"/>
          <w:color w:val="000000" w:themeColor="text1"/>
          <w:sz w:val="24"/>
          <w:szCs w:val="24"/>
        </w:rPr>
        <w:t>）的刺激作用，因此高肾素患者不建议选用。</w:t>
      </w:r>
    </w:p>
    <w:p w:rsidR="002E5476" w:rsidRDefault="00423E71">
      <w:pPr>
        <w:spacing w:line="360" w:lineRule="auto"/>
        <w:ind w:firstLineChars="200" w:firstLine="482"/>
        <w:jc w:val="left"/>
        <w:outlineLvl w:val="1"/>
        <w:rPr>
          <w:rFonts w:ascii="Times New Roman" w:eastAsia="宋体" w:hAnsi="Times New Roman" w:cs="Times New Roman"/>
          <w:color w:val="000000" w:themeColor="text1"/>
          <w:sz w:val="24"/>
          <w:szCs w:val="24"/>
        </w:rPr>
      </w:pPr>
      <w:r>
        <w:rPr>
          <w:rFonts w:ascii="Times New Roman" w:eastAsia="宋体" w:hAnsi="Times New Roman" w:cs="Times New Roman"/>
          <w:b/>
          <w:bCs/>
          <w:color w:val="000000" w:themeColor="text1"/>
          <w:sz w:val="24"/>
          <w:szCs w:val="24"/>
        </w:rPr>
        <w:t>2.2.1.4 α</w:t>
      </w:r>
      <w:r>
        <w:rPr>
          <w:rFonts w:ascii="Times New Roman" w:eastAsia="宋体" w:hAnsi="Times New Roman" w:cs="Times New Roman" w:hint="eastAsia"/>
          <w:b/>
          <w:bCs/>
          <w:color w:val="000000" w:themeColor="text1"/>
          <w:sz w:val="24"/>
          <w:szCs w:val="24"/>
        </w:rPr>
        <w:t>受体阻滞剂</w:t>
      </w:r>
      <w:r>
        <w:rPr>
          <w:rFonts w:ascii="Times New Roman" w:eastAsia="宋体" w:hAnsi="Times New Roman" w:cs="Times New Roman" w:hint="eastAsia"/>
          <w:color w:val="000000" w:themeColor="text1"/>
          <w:sz w:val="24"/>
          <w:szCs w:val="24"/>
        </w:rPr>
        <w:t>：</w:t>
      </w:r>
      <w:r>
        <w:rPr>
          <w:rFonts w:ascii="Times New Roman" w:eastAsia="宋体" w:hAnsi="Times New Roman" w:cs="Times New Roman" w:hint="eastAsia"/>
          <w:color w:val="000000" w:themeColor="text1"/>
          <w:sz w:val="24"/>
          <w:szCs w:val="24"/>
        </w:rPr>
        <w:t xml:space="preserve"> </w:t>
      </w:r>
      <w:r>
        <w:rPr>
          <w:rFonts w:ascii="Times New Roman" w:eastAsia="宋体" w:hAnsi="Times New Roman" w:cs="Times New Roman"/>
          <w:color w:val="000000" w:themeColor="text1"/>
          <w:sz w:val="24"/>
          <w:szCs w:val="24"/>
        </w:rPr>
        <w:t>α</w:t>
      </w:r>
      <w:r>
        <w:rPr>
          <w:rFonts w:ascii="Times New Roman" w:eastAsia="宋体" w:hAnsi="Times New Roman" w:cs="Times New Roman" w:hint="eastAsia"/>
          <w:color w:val="000000" w:themeColor="text1"/>
          <w:sz w:val="24"/>
          <w:szCs w:val="24"/>
        </w:rPr>
        <w:t>受体阻滞剂一般不作为降压治疗的首选药物，多用于难治性高血压患者的联合降压治疗，临床上特别适用于夜间服用</w:t>
      </w:r>
      <w:r>
        <w:rPr>
          <w:rFonts w:ascii="Times New Roman" w:eastAsia="宋体" w:hAnsi="Times New Roman" w:cs="Times New Roman"/>
          <w:color w:val="000000" w:themeColor="text1"/>
          <w:sz w:val="24"/>
          <w:szCs w:val="24"/>
        </w:rPr>
        <w:t>α</w:t>
      </w:r>
      <w:r>
        <w:rPr>
          <w:rFonts w:ascii="Times New Roman" w:eastAsia="宋体" w:hAnsi="Times New Roman" w:cs="Times New Roman" w:hint="eastAsia"/>
          <w:color w:val="000000" w:themeColor="text1"/>
          <w:sz w:val="24"/>
          <w:szCs w:val="24"/>
        </w:rPr>
        <w:t>受体阻滞剂控制清晨高血压、老年男性高血压伴前列腺肥大患者。使用</w:t>
      </w:r>
      <w:r>
        <w:rPr>
          <w:rFonts w:ascii="Times New Roman" w:eastAsia="宋体" w:hAnsi="Times New Roman" w:cs="Times New Roman"/>
          <w:color w:val="000000" w:themeColor="text1"/>
          <w:sz w:val="24"/>
          <w:szCs w:val="24"/>
        </w:rPr>
        <w:t>α</w:t>
      </w:r>
      <w:r>
        <w:rPr>
          <w:rFonts w:ascii="Times New Roman" w:eastAsia="宋体" w:hAnsi="Times New Roman" w:cs="Times New Roman" w:hint="eastAsia"/>
          <w:color w:val="000000" w:themeColor="text1"/>
          <w:sz w:val="24"/>
          <w:szCs w:val="24"/>
        </w:rPr>
        <w:t>受体阻滞剂时，应预防体位性低血压，使用中注意测量坐、立位血压，最好使用控释制剂。</w:t>
      </w:r>
    </w:p>
    <w:p w:rsidR="002E5476" w:rsidRDefault="00423E71">
      <w:pPr>
        <w:spacing w:line="360" w:lineRule="auto"/>
        <w:ind w:firstLineChars="200" w:firstLine="482"/>
        <w:jc w:val="left"/>
        <w:outlineLvl w:val="1"/>
        <w:rPr>
          <w:rFonts w:ascii="Times New Roman" w:eastAsia="宋体" w:hAnsi="Times New Roman" w:cs="Times New Roman"/>
          <w:color w:val="000000" w:themeColor="text1"/>
          <w:sz w:val="24"/>
          <w:szCs w:val="24"/>
        </w:rPr>
      </w:pPr>
      <w:r>
        <w:rPr>
          <w:rFonts w:ascii="Times New Roman" w:eastAsia="宋体" w:hAnsi="Times New Roman" w:cs="Times New Roman"/>
          <w:b/>
          <w:bCs/>
          <w:color w:val="000000" w:themeColor="text1"/>
          <w:sz w:val="24"/>
          <w:szCs w:val="24"/>
        </w:rPr>
        <w:t>2.2.1.5 β</w:t>
      </w:r>
      <w:r>
        <w:rPr>
          <w:rFonts w:ascii="Times New Roman" w:eastAsia="宋体" w:hAnsi="Times New Roman" w:cs="Times New Roman" w:hint="eastAsia"/>
          <w:b/>
          <w:bCs/>
          <w:color w:val="000000" w:themeColor="text1"/>
          <w:sz w:val="24"/>
          <w:szCs w:val="24"/>
        </w:rPr>
        <w:t>受体阻滞剂</w:t>
      </w:r>
      <w:r>
        <w:rPr>
          <w:rFonts w:ascii="Times New Roman" w:eastAsia="宋体" w:hAnsi="Times New Roman" w:cs="Times New Roman" w:hint="eastAsia"/>
          <w:color w:val="000000" w:themeColor="text1"/>
          <w:sz w:val="24"/>
          <w:szCs w:val="24"/>
        </w:rPr>
        <w:t>：</w:t>
      </w:r>
      <w:r>
        <w:rPr>
          <w:rFonts w:ascii="Times New Roman" w:eastAsia="宋体" w:hAnsi="Times New Roman" w:cs="Times New Roman" w:hint="eastAsia"/>
          <w:color w:val="000000" w:themeColor="text1"/>
          <w:sz w:val="24"/>
          <w:szCs w:val="24"/>
        </w:rPr>
        <w:t xml:space="preserve"> </w:t>
      </w:r>
      <w:r>
        <w:rPr>
          <w:rFonts w:ascii="Times New Roman" w:eastAsia="宋体" w:hAnsi="Times New Roman" w:cs="Times New Roman" w:hint="eastAsia"/>
          <w:color w:val="000000" w:themeColor="text1"/>
          <w:sz w:val="24"/>
          <w:szCs w:val="24"/>
        </w:rPr>
        <w:t>β受体阻滞剂主要通过抑制过度激活的交感神经活性、抑制心肌收缩力、减慢心率而发挥降压作用。交感神经异常激活促进</w:t>
      </w:r>
      <w:r>
        <w:rPr>
          <w:rFonts w:ascii="Times New Roman" w:eastAsia="宋体" w:hAnsi="Times New Roman" w:cs="Times New Roman"/>
          <w:color w:val="000000" w:themeColor="text1"/>
          <w:sz w:val="24"/>
          <w:szCs w:val="24"/>
        </w:rPr>
        <w:t>CKD</w:t>
      </w:r>
      <w:r>
        <w:rPr>
          <w:rFonts w:ascii="Times New Roman" w:eastAsia="宋体" w:hAnsi="Times New Roman" w:cs="Times New Roman" w:hint="eastAsia"/>
          <w:color w:val="000000" w:themeColor="text1"/>
          <w:sz w:val="24"/>
          <w:szCs w:val="24"/>
        </w:rPr>
        <w:t>患者肾脏功能恶化，</w:t>
      </w:r>
      <w:r>
        <w:rPr>
          <w:rFonts w:ascii="Times New Roman" w:eastAsia="宋体" w:hAnsi="Times New Roman" w:cs="Times New Roman"/>
          <w:color w:val="000000" w:themeColor="text1"/>
          <w:sz w:val="24"/>
          <w:szCs w:val="24"/>
        </w:rPr>
        <w:t>β</w:t>
      </w:r>
      <w:r>
        <w:rPr>
          <w:rFonts w:ascii="Times New Roman" w:eastAsia="宋体" w:hAnsi="Times New Roman" w:cs="Times New Roman" w:hint="eastAsia"/>
          <w:color w:val="000000" w:themeColor="text1"/>
          <w:sz w:val="24"/>
          <w:szCs w:val="24"/>
        </w:rPr>
        <w:t>受体阻滞剂在此类患者中的应用已得到广泛认同</w:t>
      </w:r>
      <w:r w:rsidR="00B411DC">
        <w:rPr>
          <w:rFonts w:ascii="Times New Roman" w:eastAsia="宋体" w:hAnsi="Times New Roman" w:cs="Times New Roman"/>
          <w:color w:val="000000" w:themeColor="text1"/>
          <w:sz w:val="24"/>
          <w:szCs w:val="24"/>
        </w:rPr>
        <w:fldChar w:fldCharType="begin"/>
      </w:r>
      <w:r>
        <w:rPr>
          <w:rFonts w:ascii="Times New Roman" w:eastAsia="宋体" w:hAnsi="Times New Roman" w:cs="Times New Roman"/>
          <w:color w:val="000000" w:themeColor="text1"/>
          <w:sz w:val="24"/>
          <w:szCs w:val="24"/>
        </w:rPr>
        <w:instrText xml:space="preserve"> ADDIN NE.Ref.{C970667C-4F2A-463D-83A1-9687B9AEFC45}</w:instrText>
      </w:r>
      <w:r w:rsidR="00B411DC">
        <w:rPr>
          <w:rFonts w:ascii="Times New Roman" w:eastAsia="宋体" w:hAnsi="Times New Roman" w:cs="Times New Roman"/>
          <w:color w:val="000000" w:themeColor="text1"/>
          <w:sz w:val="24"/>
          <w:szCs w:val="24"/>
        </w:rPr>
        <w:fldChar w:fldCharType="separate"/>
      </w:r>
      <w:r>
        <w:rPr>
          <w:rFonts w:ascii="Times New Roman" w:eastAsia="宋体" w:hAnsi="Times New Roman" w:cs="Times New Roman"/>
          <w:color w:val="000000" w:themeColor="text1"/>
          <w:kern w:val="0"/>
          <w:sz w:val="24"/>
          <w:szCs w:val="24"/>
          <w:vertAlign w:val="superscript"/>
        </w:rPr>
        <w:t>[36]</w:t>
      </w:r>
      <w:r w:rsidR="00B411DC">
        <w:rPr>
          <w:rFonts w:ascii="Times New Roman" w:eastAsia="宋体" w:hAnsi="Times New Roman" w:cs="Times New Roman"/>
          <w:color w:val="000000" w:themeColor="text1"/>
          <w:sz w:val="24"/>
          <w:szCs w:val="24"/>
        </w:rPr>
        <w:fldChar w:fldCharType="end"/>
      </w:r>
      <w:r>
        <w:rPr>
          <w:rFonts w:ascii="Times New Roman" w:eastAsia="宋体" w:hAnsi="Times New Roman" w:cs="Times New Roman" w:hint="eastAsia"/>
          <w:color w:val="000000" w:themeColor="text1"/>
          <w:sz w:val="24"/>
          <w:szCs w:val="24"/>
        </w:rPr>
        <w:t>。</w:t>
      </w:r>
      <w:r>
        <w:rPr>
          <w:rFonts w:ascii="Times New Roman" w:eastAsia="宋体" w:hAnsi="Times New Roman" w:cs="Times New Roman"/>
          <w:color w:val="000000" w:themeColor="text1"/>
          <w:sz w:val="24"/>
          <w:szCs w:val="24"/>
        </w:rPr>
        <w:t>β</w:t>
      </w:r>
      <w:r>
        <w:rPr>
          <w:rFonts w:ascii="Times New Roman" w:eastAsia="宋体" w:hAnsi="Times New Roman" w:cs="Times New Roman" w:hint="eastAsia"/>
          <w:color w:val="000000" w:themeColor="text1"/>
          <w:sz w:val="24"/>
          <w:szCs w:val="24"/>
        </w:rPr>
        <w:t>受体阻滞剂一般不作为单药起始治疗高血压。这类药物有心肾保护</w:t>
      </w:r>
      <w:r>
        <w:rPr>
          <w:rFonts w:ascii="Times New Roman" w:eastAsia="宋体" w:hAnsi="Times New Roman" w:cs="Times New Roman" w:hint="eastAsia"/>
          <w:color w:val="000000" w:themeColor="text1"/>
          <w:sz w:val="24"/>
          <w:szCs w:val="24"/>
        </w:rPr>
        <w:lastRenderedPageBreak/>
        <w:t>作用的优势，因此在临床上可用于任何分期</w:t>
      </w:r>
      <w:r>
        <w:rPr>
          <w:rFonts w:ascii="Times New Roman" w:eastAsia="宋体" w:hAnsi="Times New Roman" w:cs="Times New Roman"/>
          <w:color w:val="000000" w:themeColor="text1"/>
          <w:sz w:val="24"/>
          <w:szCs w:val="24"/>
        </w:rPr>
        <w:t>CKD</w:t>
      </w:r>
      <w:r>
        <w:rPr>
          <w:rFonts w:ascii="Times New Roman" w:eastAsia="宋体" w:hAnsi="Times New Roman" w:cs="Times New Roman" w:hint="eastAsia"/>
          <w:color w:val="000000" w:themeColor="text1"/>
          <w:sz w:val="24"/>
          <w:szCs w:val="24"/>
        </w:rPr>
        <w:t>合并高血压的患者，特别适用于伴快速性心律失常、交感神经活性增高、冠心病、心功能不全者</w:t>
      </w:r>
      <w:r w:rsidR="00B411DC">
        <w:rPr>
          <w:rFonts w:ascii="Times New Roman" w:eastAsia="宋体" w:hAnsi="Times New Roman" w:cs="Times New Roman"/>
          <w:color w:val="000000" w:themeColor="text1"/>
          <w:sz w:val="24"/>
          <w:szCs w:val="24"/>
        </w:rPr>
        <w:fldChar w:fldCharType="begin"/>
      </w:r>
      <w:r>
        <w:rPr>
          <w:rFonts w:ascii="Times New Roman" w:eastAsia="宋体" w:hAnsi="Times New Roman" w:cs="Times New Roman"/>
          <w:color w:val="000000" w:themeColor="text1"/>
          <w:sz w:val="24"/>
          <w:szCs w:val="24"/>
        </w:rPr>
        <w:instrText xml:space="preserve"> ADDIN NE.Ref.{449DE945-0481-4D36-8114-DC1526C051F2}</w:instrText>
      </w:r>
      <w:r w:rsidR="00B411DC">
        <w:rPr>
          <w:rFonts w:ascii="Times New Roman" w:eastAsia="宋体" w:hAnsi="Times New Roman" w:cs="Times New Roman"/>
          <w:color w:val="000000" w:themeColor="text1"/>
          <w:sz w:val="24"/>
          <w:szCs w:val="24"/>
        </w:rPr>
        <w:fldChar w:fldCharType="separate"/>
      </w:r>
      <w:r>
        <w:rPr>
          <w:rFonts w:ascii="Times New Roman" w:eastAsia="宋体" w:hAnsi="Times New Roman" w:cs="Times New Roman"/>
          <w:color w:val="000000" w:themeColor="text1"/>
          <w:kern w:val="0"/>
          <w:sz w:val="24"/>
          <w:szCs w:val="24"/>
          <w:vertAlign w:val="superscript"/>
        </w:rPr>
        <w:t>[37]</w:t>
      </w:r>
      <w:r w:rsidR="00B411DC">
        <w:rPr>
          <w:rFonts w:ascii="Times New Roman" w:eastAsia="宋体" w:hAnsi="Times New Roman" w:cs="Times New Roman"/>
          <w:color w:val="000000" w:themeColor="text1"/>
          <w:sz w:val="24"/>
          <w:szCs w:val="24"/>
        </w:rPr>
        <w:fldChar w:fldCharType="end"/>
      </w:r>
      <w:r>
        <w:rPr>
          <w:rFonts w:ascii="Times New Roman" w:eastAsia="宋体" w:hAnsi="Times New Roman" w:cs="Times New Roman" w:hint="eastAsia"/>
          <w:color w:val="000000" w:themeColor="text1"/>
          <w:sz w:val="24"/>
          <w:szCs w:val="24"/>
        </w:rPr>
        <w:t>。</w:t>
      </w:r>
    </w:p>
    <w:p w:rsidR="002E5476" w:rsidRDefault="00423E71">
      <w:pPr>
        <w:spacing w:line="360" w:lineRule="auto"/>
        <w:ind w:firstLineChars="200" w:firstLine="480"/>
        <w:jc w:val="left"/>
        <w:outlineLvl w:val="1"/>
        <w:rPr>
          <w:rFonts w:ascii="Times New Roman" w:eastAsia="宋体" w:hAnsi="Times New Roman" w:cs="Times New Roman"/>
          <w:color w:val="000000" w:themeColor="text1"/>
          <w:sz w:val="24"/>
          <w:szCs w:val="24"/>
        </w:rPr>
      </w:pPr>
      <w:r>
        <w:rPr>
          <w:rFonts w:ascii="Times New Roman" w:eastAsia="宋体" w:hAnsi="Times New Roman" w:cs="Times New Roman" w:hint="eastAsia"/>
          <w:color w:val="000000" w:themeColor="text1"/>
          <w:sz w:val="24"/>
          <w:szCs w:val="24"/>
        </w:rPr>
        <w:t>非选择性β受体阻滞剂对合并慢性阻塞性肺疾病及Ⅱ度以上心脏传导阻滞的患者应避免使用。同时，使用</w:t>
      </w:r>
      <w:r>
        <w:rPr>
          <w:rFonts w:ascii="Times New Roman" w:eastAsia="宋体" w:hAnsi="Times New Roman" w:cs="Times New Roman"/>
          <w:color w:val="000000" w:themeColor="text1"/>
          <w:sz w:val="24"/>
          <w:szCs w:val="24"/>
        </w:rPr>
        <w:t>β</w:t>
      </w:r>
      <w:r>
        <w:rPr>
          <w:rFonts w:ascii="Times New Roman" w:eastAsia="宋体" w:hAnsi="Times New Roman" w:cs="Times New Roman" w:hint="eastAsia"/>
          <w:color w:val="000000" w:themeColor="text1"/>
          <w:sz w:val="24"/>
          <w:szCs w:val="24"/>
        </w:rPr>
        <w:t>受体阻滞剂者还应遵循撤药递减剂量原则，尤其是合并冠心病的患者，突然停药可能导致患者高血压反跳、心律失常或心绞痛加剧，甚至发生心肌梗死。β受体阻滞剂的个体差异较大，用药期间应监测患者的心率。较大剂量长期服用</w:t>
      </w:r>
      <w:r>
        <w:rPr>
          <w:rFonts w:ascii="Times New Roman" w:eastAsia="宋体" w:hAnsi="Times New Roman" w:cs="Times New Roman"/>
          <w:color w:val="000000" w:themeColor="text1"/>
          <w:sz w:val="24"/>
          <w:szCs w:val="24"/>
        </w:rPr>
        <w:t>β</w:t>
      </w:r>
      <w:r>
        <w:rPr>
          <w:rFonts w:ascii="Times New Roman" w:eastAsia="宋体" w:hAnsi="Times New Roman" w:cs="Times New Roman" w:hint="eastAsia"/>
          <w:color w:val="000000" w:themeColor="text1"/>
          <w:sz w:val="24"/>
          <w:szCs w:val="24"/>
        </w:rPr>
        <w:t>受体阻滞剂时，还应警惕药物引起的血糖升高、糖耐量异常或新发糖尿病增多。此外，非选择性β受体阻滞剂还会导致血钾升高，尤其是在禁食或运动期间，合并使用</w:t>
      </w:r>
      <w:r>
        <w:rPr>
          <w:rFonts w:ascii="Times New Roman" w:eastAsia="宋体" w:hAnsi="Times New Roman" w:cs="Times New Roman"/>
          <w:color w:val="000000" w:themeColor="text1"/>
          <w:sz w:val="24"/>
          <w:szCs w:val="24"/>
        </w:rPr>
        <w:t>RASi</w:t>
      </w:r>
      <w:r>
        <w:rPr>
          <w:rFonts w:ascii="Times New Roman" w:eastAsia="宋体" w:hAnsi="Times New Roman" w:cs="Times New Roman" w:hint="eastAsia"/>
          <w:color w:val="000000" w:themeColor="text1"/>
          <w:sz w:val="24"/>
          <w:szCs w:val="24"/>
        </w:rPr>
        <w:t>时尤其要注意高钾血症的发生</w:t>
      </w:r>
      <w:r w:rsidR="00B411DC">
        <w:rPr>
          <w:rFonts w:ascii="Times New Roman" w:eastAsia="宋体" w:hAnsi="Times New Roman" w:cs="Times New Roman"/>
          <w:color w:val="000000" w:themeColor="text1"/>
          <w:sz w:val="24"/>
          <w:szCs w:val="24"/>
        </w:rPr>
        <w:fldChar w:fldCharType="begin"/>
      </w:r>
      <w:r>
        <w:rPr>
          <w:rFonts w:ascii="Times New Roman" w:eastAsia="宋体" w:hAnsi="Times New Roman" w:cs="Times New Roman"/>
          <w:color w:val="000000" w:themeColor="text1"/>
          <w:sz w:val="24"/>
          <w:szCs w:val="24"/>
        </w:rPr>
        <w:instrText xml:space="preserve"> ADDIN NE.Ref.{886DC698-B6EE-4151-8229-268F75F549A8}</w:instrText>
      </w:r>
      <w:r w:rsidR="00B411DC">
        <w:rPr>
          <w:rFonts w:ascii="Times New Roman" w:eastAsia="宋体" w:hAnsi="Times New Roman" w:cs="Times New Roman"/>
          <w:color w:val="000000" w:themeColor="text1"/>
          <w:sz w:val="24"/>
          <w:szCs w:val="24"/>
        </w:rPr>
        <w:fldChar w:fldCharType="separate"/>
      </w:r>
      <w:r>
        <w:rPr>
          <w:rFonts w:ascii="Times New Roman" w:eastAsia="宋体" w:hAnsi="Times New Roman" w:cs="Times New Roman"/>
          <w:color w:val="000000" w:themeColor="text1"/>
          <w:kern w:val="0"/>
          <w:sz w:val="24"/>
          <w:szCs w:val="24"/>
          <w:vertAlign w:val="superscript"/>
        </w:rPr>
        <w:t>[24, 38]</w:t>
      </w:r>
      <w:r w:rsidR="00B411DC">
        <w:rPr>
          <w:rFonts w:ascii="Times New Roman" w:eastAsia="宋体" w:hAnsi="Times New Roman" w:cs="Times New Roman"/>
          <w:color w:val="000000" w:themeColor="text1"/>
          <w:sz w:val="24"/>
          <w:szCs w:val="24"/>
        </w:rPr>
        <w:fldChar w:fldCharType="end"/>
      </w:r>
      <w:r>
        <w:rPr>
          <w:rFonts w:ascii="Times New Roman" w:eastAsia="宋体" w:hAnsi="Times New Roman" w:cs="Times New Roman" w:hint="eastAsia"/>
          <w:color w:val="000000" w:themeColor="text1"/>
          <w:sz w:val="24"/>
          <w:szCs w:val="24"/>
        </w:rPr>
        <w:t>。第</w:t>
      </w:r>
      <w:r>
        <w:rPr>
          <w:rFonts w:ascii="Times New Roman" w:eastAsia="宋体" w:hAnsi="Times New Roman" w:cs="Times New Roman"/>
          <w:color w:val="000000" w:themeColor="text1"/>
          <w:sz w:val="24"/>
          <w:szCs w:val="24"/>
        </w:rPr>
        <w:t>3</w:t>
      </w:r>
      <w:r>
        <w:rPr>
          <w:rFonts w:ascii="Times New Roman" w:eastAsia="宋体" w:hAnsi="Times New Roman" w:cs="Times New Roman" w:hint="eastAsia"/>
          <w:color w:val="000000" w:themeColor="text1"/>
          <w:sz w:val="24"/>
          <w:szCs w:val="24"/>
        </w:rPr>
        <w:t>代</w:t>
      </w:r>
      <w:r>
        <w:rPr>
          <w:rFonts w:ascii="Times New Roman" w:eastAsia="宋体" w:hAnsi="Times New Roman" w:cs="Times New Roman"/>
          <w:color w:val="000000" w:themeColor="text1"/>
          <w:sz w:val="24"/>
          <w:szCs w:val="24"/>
        </w:rPr>
        <w:t>β</w:t>
      </w:r>
      <w:r>
        <w:rPr>
          <w:rFonts w:ascii="Times New Roman" w:eastAsia="宋体" w:hAnsi="Times New Roman" w:cs="Times New Roman" w:hint="eastAsia"/>
          <w:color w:val="000000" w:themeColor="text1"/>
          <w:sz w:val="24"/>
          <w:szCs w:val="24"/>
        </w:rPr>
        <w:t>受体阻滞剂（如阿罗洛尔、卡维地洛等）可同时选择性阻滞</w:t>
      </w:r>
      <w:r>
        <w:rPr>
          <w:rFonts w:ascii="Times New Roman" w:eastAsia="宋体" w:hAnsi="Times New Roman" w:cs="Times New Roman"/>
          <w:color w:val="000000" w:themeColor="text1"/>
          <w:sz w:val="24"/>
          <w:szCs w:val="24"/>
        </w:rPr>
        <w:t>α1</w:t>
      </w:r>
      <w:r>
        <w:rPr>
          <w:rFonts w:ascii="Times New Roman" w:eastAsia="宋体" w:hAnsi="Times New Roman" w:cs="Times New Roman" w:hint="eastAsia"/>
          <w:color w:val="000000" w:themeColor="text1"/>
          <w:sz w:val="24"/>
          <w:szCs w:val="24"/>
        </w:rPr>
        <w:t>受体，非选择性阻滞</w:t>
      </w:r>
      <w:r>
        <w:rPr>
          <w:rFonts w:ascii="Times New Roman" w:eastAsia="宋体" w:hAnsi="Times New Roman" w:cs="Times New Roman"/>
          <w:color w:val="000000" w:themeColor="text1"/>
          <w:sz w:val="24"/>
          <w:szCs w:val="24"/>
        </w:rPr>
        <w:t>β1</w:t>
      </w:r>
      <w:r>
        <w:rPr>
          <w:rFonts w:ascii="Times New Roman" w:eastAsia="宋体" w:hAnsi="Times New Roman" w:cs="Times New Roman" w:hint="eastAsia"/>
          <w:color w:val="000000" w:themeColor="text1"/>
          <w:sz w:val="24"/>
          <w:szCs w:val="24"/>
        </w:rPr>
        <w:t>和</w:t>
      </w:r>
      <w:r>
        <w:rPr>
          <w:rFonts w:ascii="Times New Roman" w:eastAsia="宋体" w:hAnsi="Times New Roman" w:cs="Times New Roman"/>
          <w:color w:val="000000" w:themeColor="text1"/>
          <w:sz w:val="24"/>
          <w:szCs w:val="24"/>
        </w:rPr>
        <w:t>β2</w:t>
      </w:r>
      <w:r>
        <w:rPr>
          <w:rFonts w:ascii="Times New Roman" w:eastAsia="宋体" w:hAnsi="Times New Roman" w:cs="Times New Roman" w:hint="eastAsia"/>
          <w:color w:val="000000" w:themeColor="text1"/>
          <w:sz w:val="24"/>
          <w:szCs w:val="24"/>
        </w:rPr>
        <w:t>受体，是</w:t>
      </w:r>
      <w:r>
        <w:rPr>
          <w:rFonts w:ascii="Times New Roman" w:eastAsia="宋体" w:hAnsi="Times New Roman" w:cs="Times New Roman"/>
          <w:color w:val="000000" w:themeColor="text1"/>
          <w:sz w:val="24"/>
          <w:szCs w:val="24"/>
        </w:rPr>
        <w:t>α/β</w:t>
      </w:r>
      <w:r>
        <w:rPr>
          <w:rFonts w:ascii="Times New Roman" w:eastAsia="宋体" w:hAnsi="Times New Roman" w:cs="Times New Roman" w:hint="eastAsia"/>
          <w:color w:val="000000" w:themeColor="text1"/>
          <w:sz w:val="24"/>
          <w:szCs w:val="24"/>
        </w:rPr>
        <w:t>受体阻滞剂，在协同降压的同时，其不良反应可因同时存在另一受体的阻滞效应而减轻，使其具备抑制反射性心动过速、改善胰岛素抵抗、不加重脂代谢紊乱等优点</w:t>
      </w:r>
      <w:r w:rsidR="00B411DC">
        <w:rPr>
          <w:rFonts w:ascii="Times New Roman" w:eastAsia="宋体" w:hAnsi="Times New Roman" w:cs="Times New Roman"/>
          <w:color w:val="000000" w:themeColor="text1"/>
          <w:sz w:val="24"/>
          <w:szCs w:val="24"/>
        </w:rPr>
        <w:fldChar w:fldCharType="begin"/>
      </w:r>
      <w:r>
        <w:rPr>
          <w:rFonts w:ascii="Times New Roman" w:eastAsia="宋体" w:hAnsi="Times New Roman" w:cs="Times New Roman"/>
          <w:color w:val="000000" w:themeColor="text1"/>
          <w:sz w:val="24"/>
          <w:szCs w:val="24"/>
        </w:rPr>
        <w:instrText xml:space="preserve"> ADDIN NE.Ref.{C19669E8-6E9A-49C0-8560-7C53BD49615D}</w:instrText>
      </w:r>
      <w:r w:rsidR="00B411DC">
        <w:rPr>
          <w:rFonts w:ascii="Times New Roman" w:eastAsia="宋体" w:hAnsi="Times New Roman" w:cs="Times New Roman"/>
          <w:color w:val="000000" w:themeColor="text1"/>
          <w:sz w:val="24"/>
          <w:szCs w:val="24"/>
        </w:rPr>
        <w:fldChar w:fldCharType="separate"/>
      </w:r>
      <w:r>
        <w:rPr>
          <w:rFonts w:ascii="Times New Roman" w:eastAsia="宋体" w:hAnsi="Times New Roman" w:cs="Times New Roman"/>
          <w:color w:val="000000" w:themeColor="text1"/>
          <w:kern w:val="0"/>
          <w:sz w:val="24"/>
          <w:szCs w:val="24"/>
          <w:vertAlign w:val="superscript"/>
        </w:rPr>
        <w:t>[39-40]</w:t>
      </w:r>
      <w:r w:rsidR="00B411DC">
        <w:rPr>
          <w:rFonts w:ascii="Times New Roman" w:eastAsia="宋体" w:hAnsi="Times New Roman" w:cs="Times New Roman"/>
          <w:color w:val="000000" w:themeColor="text1"/>
          <w:sz w:val="24"/>
          <w:szCs w:val="24"/>
        </w:rPr>
        <w:fldChar w:fldCharType="end"/>
      </w:r>
      <w:r>
        <w:rPr>
          <w:rFonts w:ascii="Times New Roman" w:eastAsia="宋体" w:hAnsi="Times New Roman" w:cs="Times New Roman" w:hint="eastAsia"/>
          <w:color w:val="000000" w:themeColor="text1"/>
          <w:sz w:val="24"/>
          <w:szCs w:val="24"/>
        </w:rPr>
        <w:t>。因此</w:t>
      </w:r>
      <w:r>
        <w:rPr>
          <w:rFonts w:ascii="Times New Roman" w:eastAsia="宋体" w:hAnsi="Times New Roman" w:cs="Times New Roman"/>
          <w:color w:val="000000" w:themeColor="text1"/>
          <w:sz w:val="24"/>
          <w:szCs w:val="24"/>
        </w:rPr>
        <w:t>2017</w:t>
      </w:r>
      <w:r>
        <w:rPr>
          <w:rFonts w:ascii="Times New Roman" w:eastAsia="宋体" w:hAnsi="Times New Roman" w:cs="Times New Roman" w:hint="eastAsia"/>
          <w:color w:val="000000" w:themeColor="text1"/>
          <w:sz w:val="24"/>
          <w:szCs w:val="24"/>
        </w:rPr>
        <w:t>年欧洲肾脏协会</w:t>
      </w:r>
      <w:r>
        <w:rPr>
          <w:rFonts w:ascii="Times New Roman" w:eastAsia="宋体" w:hAnsi="Times New Roman" w:cs="Times New Roman"/>
          <w:color w:val="000000" w:themeColor="text1"/>
          <w:sz w:val="24"/>
          <w:szCs w:val="24"/>
        </w:rPr>
        <w:t>-</w:t>
      </w:r>
      <w:r>
        <w:rPr>
          <w:rFonts w:ascii="Times New Roman" w:eastAsia="宋体" w:hAnsi="Times New Roman" w:cs="Times New Roman" w:hint="eastAsia"/>
          <w:color w:val="000000" w:themeColor="text1"/>
          <w:sz w:val="24"/>
          <w:szCs w:val="24"/>
        </w:rPr>
        <w:t>欧洲透析和移植协会（</w:t>
      </w:r>
      <w:r>
        <w:rPr>
          <w:rFonts w:ascii="Times New Roman" w:eastAsia="宋体" w:hAnsi="Times New Roman" w:cs="Times New Roman"/>
          <w:color w:val="000000" w:themeColor="text1"/>
          <w:kern w:val="0"/>
          <w:sz w:val="24"/>
          <w:szCs w:val="24"/>
        </w:rPr>
        <w:t>European Renal Association-European Dialysis and Transplant Association</w:t>
      </w:r>
      <w:r>
        <w:rPr>
          <w:rFonts w:ascii="Times New Roman" w:eastAsia="宋体" w:hAnsi="Times New Roman" w:cs="Times New Roman" w:hint="eastAsia"/>
          <w:color w:val="000000" w:themeColor="text1"/>
          <w:kern w:val="0"/>
          <w:sz w:val="24"/>
          <w:szCs w:val="24"/>
        </w:rPr>
        <w:t>，</w:t>
      </w:r>
      <w:r>
        <w:rPr>
          <w:rFonts w:ascii="Times New Roman" w:eastAsia="宋体" w:hAnsi="Times New Roman" w:cs="Times New Roman"/>
          <w:color w:val="000000" w:themeColor="text1"/>
          <w:sz w:val="24"/>
          <w:szCs w:val="24"/>
        </w:rPr>
        <w:t>ERA-EDTA</w:t>
      </w:r>
      <w:r>
        <w:rPr>
          <w:rFonts w:ascii="Times New Roman" w:eastAsia="宋体" w:hAnsi="Times New Roman" w:cs="Times New Roman" w:hint="eastAsia"/>
          <w:color w:val="000000" w:themeColor="text1"/>
          <w:sz w:val="24"/>
          <w:szCs w:val="24"/>
        </w:rPr>
        <w:t>）</w:t>
      </w:r>
      <w:r>
        <w:rPr>
          <w:rFonts w:ascii="Times New Roman" w:eastAsia="宋体" w:hAnsi="Times New Roman" w:cs="Times New Roman"/>
          <w:color w:val="000000" w:themeColor="text1"/>
          <w:sz w:val="24"/>
          <w:szCs w:val="24"/>
        </w:rPr>
        <w:t>/ESH</w:t>
      </w:r>
      <w:r>
        <w:rPr>
          <w:rFonts w:ascii="Times New Roman" w:eastAsia="宋体" w:hAnsi="Times New Roman" w:cs="Times New Roman" w:hint="eastAsia"/>
          <w:color w:val="000000" w:themeColor="text1"/>
          <w:sz w:val="24"/>
          <w:szCs w:val="24"/>
        </w:rPr>
        <w:t>共识文件建议把β受体阻滞剂作为降压治疗的首选用药</w:t>
      </w:r>
      <w:r w:rsidR="00B411DC">
        <w:rPr>
          <w:rFonts w:ascii="Times New Roman" w:eastAsia="宋体" w:hAnsi="Times New Roman" w:cs="Times New Roman"/>
          <w:color w:val="000000" w:themeColor="text1"/>
          <w:sz w:val="24"/>
          <w:szCs w:val="24"/>
        </w:rPr>
        <w:fldChar w:fldCharType="begin"/>
      </w:r>
      <w:r>
        <w:rPr>
          <w:rFonts w:ascii="Times New Roman" w:eastAsia="宋体" w:hAnsi="Times New Roman" w:cs="Times New Roman"/>
          <w:color w:val="000000" w:themeColor="text1"/>
          <w:sz w:val="24"/>
          <w:szCs w:val="24"/>
        </w:rPr>
        <w:instrText xml:space="preserve"> ADDIN NE.Ref.{DABBB313-2252-4E0C-98A4-B434C741A32B}</w:instrText>
      </w:r>
      <w:r w:rsidR="00B411DC">
        <w:rPr>
          <w:rFonts w:ascii="Times New Roman" w:eastAsia="宋体" w:hAnsi="Times New Roman" w:cs="Times New Roman"/>
          <w:color w:val="000000" w:themeColor="text1"/>
          <w:sz w:val="24"/>
          <w:szCs w:val="24"/>
        </w:rPr>
        <w:fldChar w:fldCharType="separate"/>
      </w:r>
      <w:r>
        <w:rPr>
          <w:rFonts w:ascii="Times New Roman" w:eastAsia="宋体" w:hAnsi="Times New Roman" w:cs="Times New Roman"/>
          <w:color w:val="000000" w:themeColor="text1"/>
          <w:kern w:val="0"/>
          <w:sz w:val="24"/>
          <w:szCs w:val="24"/>
          <w:vertAlign w:val="superscript"/>
        </w:rPr>
        <w:t>[41]</w:t>
      </w:r>
      <w:r w:rsidR="00B411DC">
        <w:rPr>
          <w:rFonts w:ascii="Times New Roman" w:eastAsia="宋体" w:hAnsi="Times New Roman" w:cs="Times New Roman"/>
          <w:color w:val="000000" w:themeColor="text1"/>
          <w:sz w:val="24"/>
          <w:szCs w:val="24"/>
        </w:rPr>
        <w:fldChar w:fldCharType="end"/>
      </w:r>
      <w:r>
        <w:rPr>
          <w:rFonts w:ascii="Times New Roman" w:eastAsia="宋体" w:hAnsi="Times New Roman" w:cs="Times New Roman" w:hint="eastAsia"/>
          <w:color w:val="000000" w:themeColor="text1"/>
          <w:sz w:val="24"/>
          <w:szCs w:val="24"/>
        </w:rPr>
        <w:t>。除传统</w:t>
      </w:r>
      <w:r>
        <w:rPr>
          <w:rFonts w:ascii="Times New Roman" w:eastAsia="宋体" w:hAnsi="Times New Roman" w:cs="Times New Roman"/>
          <w:color w:val="000000" w:themeColor="text1"/>
          <w:sz w:val="24"/>
          <w:szCs w:val="24"/>
        </w:rPr>
        <w:t>β</w:t>
      </w:r>
      <w:r>
        <w:rPr>
          <w:rFonts w:ascii="Times New Roman" w:eastAsia="宋体" w:hAnsi="Times New Roman" w:cs="Times New Roman" w:hint="eastAsia"/>
          <w:color w:val="000000" w:themeColor="text1"/>
          <w:sz w:val="24"/>
          <w:szCs w:val="24"/>
        </w:rPr>
        <w:t>受体阻滞剂的肾脏保护作用外，</w:t>
      </w:r>
      <w:r>
        <w:rPr>
          <w:rFonts w:ascii="Times New Roman" w:eastAsia="宋体" w:hAnsi="Times New Roman" w:cs="Times New Roman"/>
          <w:color w:val="000000" w:themeColor="text1"/>
          <w:sz w:val="24"/>
          <w:szCs w:val="24"/>
        </w:rPr>
        <w:t>α/β</w:t>
      </w:r>
      <w:r>
        <w:rPr>
          <w:rFonts w:ascii="Times New Roman" w:eastAsia="宋体" w:hAnsi="Times New Roman" w:cs="Times New Roman" w:hint="eastAsia"/>
          <w:color w:val="000000" w:themeColor="text1"/>
          <w:sz w:val="24"/>
          <w:szCs w:val="24"/>
        </w:rPr>
        <w:t>受体阻滞剂在降低血压和肾脏血管阻力的同时，不降低肾血流量和肾小球滤过率</w:t>
      </w:r>
      <w:r w:rsidR="00B411DC">
        <w:rPr>
          <w:rFonts w:ascii="Times New Roman" w:eastAsia="宋体" w:hAnsi="Times New Roman" w:cs="Times New Roman"/>
          <w:color w:val="000000" w:themeColor="text1"/>
          <w:sz w:val="24"/>
          <w:szCs w:val="24"/>
        </w:rPr>
        <w:fldChar w:fldCharType="begin"/>
      </w:r>
      <w:r>
        <w:rPr>
          <w:rFonts w:ascii="Times New Roman" w:eastAsia="宋体" w:hAnsi="Times New Roman" w:cs="Times New Roman"/>
          <w:color w:val="000000" w:themeColor="text1"/>
          <w:sz w:val="24"/>
          <w:szCs w:val="24"/>
        </w:rPr>
        <w:instrText xml:space="preserve"> ADDIN NE.Ref.{2EEB8AB9-9E7C-4EC3-A036-425E56DB63C8}</w:instrText>
      </w:r>
      <w:r w:rsidR="00B411DC">
        <w:rPr>
          <w:rFonts w:ascii="Times New Roman" w:eastAsia="宋体" w:hAnsi="Times New Roman" w:cs="Times New Roman"/>
          <w:color w:val="000000" w:themeColor="text1"/>
          <w:sz w:val="24"/>
          <w:szCs w:val="24"/>
        </w:rPr>
        <w:fldChar w:fldCharType="separate"/>
      </w:r>
      <w:r>
        <w:rPr>
          <w:rFonts w:ascii="Times New Roman" w:eastAsia="宋体" w:hAnsi="Times New Roman" w:cs="Times New Roman"/>
          <w:color w:val="000000" w:themeColor="text1"/>
          <w:kern w:val="0"/>
          <w:sz w:val="24"/>
          <w:szCs w:val="24"/>
          <w:vertAlign w:val="superscript"/>
        </w:rPr>
        <w:t>[42]</w:t>
      </w:r>
      <w:r w:rsidR="00B411DC">
        <w:rPr>
          <w:rFonts w:ascii="Times New Roman" w:eastAsia="宋体" w:hAnsi="Times New Roman" w:cs="Times New Roman"/>
          <w:color w:val="000000" w:themeColor="text1"/>
          <w:sz w:val="24"/>
          <w:szCs w:val="24"/>
        </w:rPr>
        <w:fldChar w:fldCharType="end"/>
      </w:r>
      <w:r>
        <w:rPr>
          <w:rFonts w:ascii="Times New Roman" w:eastAsia="宋体" w:hAnsi="Times New Roman" w:cs="Times New Roman" w:hint="eastAsia"/>
          <w:color w:val="000000" w:themeColor="text1"/>
          <w:sz w:val="24"/>
          <w:szCs w:val="24"/>
        </w:rPr>
        <w:t>。一项研究入选高血压合并肾功能不全和左心室肥厚的患者，分为氨氯地平联合贝那普利组和氨氯地平联合阿罗洛尔组，随访</w:t>
      </w:r>
      <w:r>
        <w:rPr>
          <w:rFonts w:ascii="Times New Roman" w:eastAsia="宋体" w:hAnsi="Times New Roman" w:cs="Times New Roman"/>
          <w:color w:val="000000" w:themeColor="text1"/>
          <w:sz w:val="24"/>
          <w:szCs w:val="24"/>
        </w:rPr>
        <w:t>2</w:t>
      </w:r>
      <w:r>
        <w:rPr>
          <w:rFonts w:ascii="Times New Roman" w:eastAsia="宋体" w:hAnsi="Times New Roman" w:cs="Times New Roman" w:hint="eastAsia"/>
          <w:color w:val="000000" w:themeColor="text1"/>
          <w:sz w:val="24"/>
          <w:szCs w:val="24"/>
        </w:rPr>
        <w:t>年。结果显示，两组降压效果和对血肌酐水平影响差异无统计学意义，但氨氯地平联合阿罗洛尔组左心室肥厚的消退显著优于氨氯地平联合贝那普利组</w:t>
      </w:r>
      <w:r w:rsidR="00B411DC">
        <w:rPr>
          <w:rFonts w:ascii="Times New Roman" w:eastAsia="宋体" w:hAnsi="Times New Roman" w:cs="Times New Roman"/>
          <w:color w:val="000000" w:themeColor="text1"/>
          <w:sz w:val="24"/>
          <w:szCs w:val="24"/>
        </w:rPr>
        <w:fldChar w:fldCharType="begin"/>
      </w:r>
      <w:r>
        <w:rPr>
          <w:rFonts w:ascii="Times New Roman" w:eastAsia="宋体" w:hAnsi="Times New Roman" w:cs="Times New Roman"/>
          <w:color w:val="000000" w:themeColor="text1"/>
          <w:sz w:val="24"/>
          <w:szCs w:val="24"/>
        </w:rPr>
        <w:instrText xml:space="preserve"> ADDIN NE.Ref.{6752B006-42F5-4AF1-8D34-95BA975DA66E}</w:instrText>
      </w:r>
      <w:r w:rsidR="00B411DC">
        <w:rPr>
          <w:rFonts w:ascii="Times New Roman" w:eastAsia="宋体" w:hAnsi="Times New Roman" w:cs="Times New Roman"/>
          <w:color w:val="000000" w:themeColor="text1"/>
          <w:sz w:val="24"/>
          <w:szCs w:val="24"/>
        </w:rPr>
        <w:fldChar w:fldCharType="separate"/>
      </w:r>
      <w:r>
        <w:rPr>
          <w:rFonts w:ascii="Times New Roman" w:eastAsia="宋体" w:hAnsi="Times New Roman" w:cs="Times New Roman"/>
          <w:color w:val="000000" w:themeColor="text1"/>
          <w:kern w:val="0"/>
          <w:sz w:val="24"/>
          <w:szCs w:val="24"/>
          <w:vertAlign w:val="superscript"/>
        </w:rPr>
        <w:t>[43]</w:t>
      </w:r>
      <w:r w:rsidR="00B411DC">
        <w:rPr>
          <w:rFonts w:ascii="Times New Roman" w:eastAsia="宋体" w:hAnsi="Times New Roman" w:cs="Times New Roman"/>
          <w:color w:val="000000" w:themeColor="text1"/>
          <w:sz w:val="24"/>
          <w:szCs w:val="24"/>
        </w:rPr>
        <w:fldChar w:fldCharType="end"/>
      </w:r>
      <w:r>
        <w:rPr>
          <w:rFonts w:ascii="Times New Roman" w:eastAsia="宋体" w:hAnsi="Times New Roman" w:cs="Times New Roman" w:hint="eastAsia"/>
          <w:color w:val="000000" w:themeColor="text1"/>
          <w:sz w:val="24"/>
          <w:szCs w:val="24"/>
        </w:rPr>
        <w:t>。一项大样本临床研究显示，对于高血压合并糖尿病患者，卡维地洛的降压效果与美托洛尔相似，但能够显著降低蛋白尿发生率</w:t>
      </w:r>
      <w:r w:rsidR="00B411DC">
        <w:rPr>
          <w:rFonts w:ascii="Times New Roman" w:eastAsia="宋体" w:hAnsi="Times New Roman" w:cs="Times New Roman"/>
          <w:color w:val="000000" w:themeColor="text1"/>
          <w:sz w:val="24"/>
          <w:szCs w:val="24"/>
        </w:rPr>
        <w:fldChar w:fldCharType="begin"/>
      </w:r>
      <w:r>
        <w:rPr>
          <w:rFonts w:ascii="Times New Roman" w:eastAsia="宋体" w:hAnsi="Times New Roman" w:cs="Times New Roman"/>
          <w:color w:val="000000" w:themeColor="text1"/>
          <w:sz w:val="24"/>
          <w:szCs w:val="24"/>
        </w:rPr>
        <w:instrText xml:space="preserve"> ADDIN NE.Ref.{D6C9658C-D62F-487E-B92B-A45519FB20B2}</w:instrText>
      </w:r>
      <w:r w:rsidR="00B411DC">
        <w:rPr>
          <w:rFonts w:ascii="Times New Roman" w:eastAsia="宋体" w:hAnsi="Times New Roman" w:cs="Times New Roman"/>
          <w:color w:val="000000" w:themeColor="text1"/>
          <w:sz w:val="24"/>
          <w:szCs w:val="24"/>
        </w:rPr>
        <w:fldChar w:fldCharType="separate"/>
      </w:r>
      <w:r>
        <w:rPr>
          <w:rFonts w:ascii="Times New Roman" w:eastAsia="宋体" w:hAnsi="Times New Roman" w:cs="Times New Roman"/>
          <w:color w:val="000000" w:themeColor="text1"/>
          <w:kern w:val="0"/>
          <w:sz w:val="24"/>
          <w:szCs w:val="24"/>
          <w:vertAlign w:val="superscript"/>
        </w:rPr>
        <w:t>[44]</w:t>
      </w:r>
      <w:r w:rsidR="00B411DC">
        <w:rPr>
          <w:rFonts w:ascii="Times New Roman" w:eastAsia="宋体" w:hAnsi="Times New Roman" w:cs="Times New Roman"/>
          <w:color w:val="000000" w:themeColor="text1"/>
          <w:sz w:val="24"/>
          <w:szCs w:val="24"/>
        </w:rPr>
        <w:fldChar w:fldCharType="end"/>
      </w:r>
    </w:p>
    <w:p w:rsidR="002E5476" w:rsidRDefault="00423E71">
      <w:pPr>
        <w:spacing w:line="360" w:lineRule="auto"/>
        <w:ind w:firstLineChars="200" w:firstLine="482"/>
        <w:jc w:val="left"/>
        <w:outlineLvl w:val="1"/>
        <w:rPr>
          <w:rFonts w:ascii="Times New Roman" w:eastAsia="宋体" w:hAnsi="Times New Roman" w:cs="Times New Roman"/>
          <w:color w:val="000000" w:themeColor="text1"/>
          <w:sz w:val="24"/>
          <w:szCs w:val="24"/>
        </w:rPr>
      </w:pPr>
      <w:r>
        <w:rPr>
          <w:rFonts w:ascii="Times New Roman" w:eastAsia="宋体" w:hAnsi="Times New Roman" w:cs="Times New Roman"/>
          <w:b/>
          <w:bCs/>
          <w:color w:val="000000" w:themeColor="text1"/>
          <w:sz w:val="24"/>
          <w:szCs w:val="24"/>
        </w:rPr>
        <w:t xml:space="preserve">2.2.1.6 </w:t>
      </w:r>
      <w:r>
        <w:rPr>
          <w:rFonts w:ascii="Times New Roman" w:eastAsia="宋体" w:hAnsi="Times New Roman" w:cs="Times New Roman" w:hint="eastAsia"/>
          <w:b/>
          <w:bCs/>
          <w:color w:val="000000" w:themeColor="text1"/>
          <w:sz w:val="24"/>
          <w:szCs w:val="24"/>
        </w:rPr>
        <w:t>中枢性降压药</w:t>
      </w:r>
      <w:r>
        <w:rPr>
          <w:rFonts w:ascii="Times New Roman" w:eastAsia="宋体" w:hAnsi="Times New Roman" w:cs="Times New Roman" w:hint="eastAsia"/>
          <w:color w:val="000000" w:themeColor="text1"/>
          <w:sz w:val="24"/>
          <w:szCs w:val="24"/>
        </w:rPr>
        <w:t>：</w:t>
      </w:r>
      <w:r>
        <w:rPr>
          <w:rFonts w:ascii="Times New Roman" w:eastAsia="宋体" w:hAnsi="Times New Roman" w:cs="Times New Roman" w:hint="eastAsia"/>
          <w:color w:val="000000" w:themeColor="text1"/>
          <w:sz w:val="24"/>
          <w:szCs w:val="24"/>
        </w:rPr>
        <w:t xml:space="preserve"> </w:t>
      </w:r>
      <w:r>
        <w:rPr>
          <w:rFonts w:ascii="Times New Roman" w:eastAsia="宋体" w:hAnsi="Times New Roman" w:cs="Times New Roman" w:hint="eastAsia"/>
          <w:color w:val="000000" w:themeColor="text1"/>
          <w:sz w:val="24"/>
          <w:szCs w:val="24"/>
        </w:rPr>
        <w:t>中枢性降压药常与其他降压药物配合作为二、三线治疗用药</w:t>
      </w:r>
      <w:r w:rsidR="00B411DC">
        <w:rPr>
          <w:rFonts w:ascii="Times New Roman" w:eastAsia="宋体" w:hAnsi="Times New Roman" w:cs="Times New Roman"/>
          <w:color w:val="000000" w:themeColor="text1"/>
          <w:sz w:val="24"/>
          <w:szCs w:val="24"/>
        </w:rPr>
        <w:fldChar w:fldCharType="begin"/>
      </w:r>
      <w:r>
        <w:rPr>
          <w:rFonts w:ascii="Times New Roman" w:eastAsia="宋体" w:hAnsi="Times New Roman" w:cs="Times New Roman"/>
          <w:color w:val="000000" w:themeColor="text1"/>
          <w:sz w:val="24"/>
          <w:szCs w:val="24"/>
        </w:rPr>
        <w:instrText xml:space="preserve"> ADDIN NE.Ref.{B432600D-7DFC-4AE2-B9E6-C5BA937EE5D1}</w:instrText>
      </w:r>
      <w:r w:rsidR="00B411DC">
        <w:rPr>
          <w:rFonts w:ascii="Times New Roman" w:eastAsia="宋体" w:hAnsi="Times New Roman" w:cs="Times New Roman"/>
          <w:color w:val="000000" w:themeColor="text1"/>
          <w:sz w:val="24"/>
          <w:szCs w:val="24"/>
        </w:rPr>
        <w:fldChar w:fldCharType="separate"/>
      </w:r>
      <w:r>
        <w:rPr>
          <w:rFonts w:ascii="Times New Roman" w:eastAsia="宋体" w:hAnsi="Times New Roman" w:cs="Times New Roman"/>
          <w:color w:val="000000" w:themeColor="text1"/>
          <w:kern w:val="0"/>
          <w:sz w:val="24"/>
          <w:szCs w:val="24"/>
          <w:vertAlign w:val="superscript"/>
        </w:rPr>
        <w:t>[36]</w:t>
      </w:r>
      <w:r w:rsidR="00B411DC">
        <w:rPr>
          <w:rFonts w:ascii="Times New Roman" w:eastAsia="宋体" w:hAnsi="Times New Roman" w:cs="Times New Roman"/>
          <w:color w:val="000000" w:themeColor="text1"/>
          <w:sz w:val="24"/>
          <w:szCs w:val="24"/>
        </w:rPr>
        <w:fldChar w:fldCharType="end"/>
      </w:r>
      <w:r>
        <w:rPr>
          <w:rFonts w:ascii="Times New Roman" w:eastAsia="宋体" w:hAnsi="Times New Roman" w:cs="Times New Roman" w:hint="eastAsia"/>
          <w:color w:val="000000" w:themeColor="text1"/>
          <w:sz w:val="24"/>
          <w:szCs w:val="24"/>
        </w:rPr>
        <w:t>。根据中枢性降压药在体内的药代动力学和药效动力学特点分为两代。（</w:t>
      </w:r>
      <w:r>
        <w:rPr>
          <w:rFonts w:ascii="Times New Roman" w:eastAsia="宋体" w:hAnsi="Times New Roman" w:cs="Times New Roman"/>
          <w:color w:val="000000" w:themeColor="text1"/>
          <w:sz w:val="24"/>
          <w:szCs w:val="24"/>
        </w:rPr>
        <w:t>1</w:t>
      </w:r>
      <w:r>
        <w:rPr>
          <w:rFonts w:ascii="Times New Roman" w:eastAsia="宋体" w:hAnsi="Times New Roman" w:cs="Times New Roman" w:hint="eastAsia"/>
          <w:color w:val="000000" w:themeColor="text1"/>
          <w:sz w:val="24"/>
          <w:szCs w:val="24"/>
        </w:rPr>
        <w:t>）第</w:t>
      </w:r>
      <w:r>
        <w:rPr>
          <w:rFonts w:ascii="Times New Roman" w:eastAsia="宋体" w:hAnsi="Times New Roman" w:cs="Times New Roman"/>
          <w:color w:val="000000" w:themeColor="text1"/>
          <w:sz w:val="24"/>
          <w:szCs w:val="24"/>
        </w:rPr>
        <w:t>1</w:t>
      </w:r>
      <w:r>
        <w:rPr>
          <w:rFonts w:ascii="Times New Roman" w:eastAsia="宋体" w:hAnsi="Times New Roman" w:cs="Times New Roman" w:hint="eastAsia"/>
          <w:color w:val="000000" w:themeColor="text1"/>
          <w:sz w:val="24"/>
          <w:szCs w:val="24"/>
        </w:rPr>
        <w:t>代中枢性降压药：主要作用于</w:t>
      </w:r>
      <w:r>
        <w:rPr>
          <w:rFonts w:ascii="Times New Roman" w:eastAsia="宋体" w:hAnsi="Times New Roman" w:cs="Times New Roman"/>
          <w:color w:val="000000" w:themeColor="text1"/>
          <w:sz w:val="24"/>
          <w:szCs w:val="24"/>
        </w:rPr>
        <w:t>α</w:t>
      </w:r>
      <w:r>
        <w:rPr>
          <w:rFonts w:ascii="Times New Roman" w:eastAsia="宋体" w:hAnsi="Times New Roman" w:cs="Times New Roman" w:hint="eastAsia"/>
          <w:color w:val="000000" w:themeColor="text1"/>
          <w:sz w:val="24"/>
          <w:szCs w:val="24"/>
        </w:rPr>
        <w:t>肾上腺素能受体，如可乐定、甲基多巴等，主要用于中、重度高血压患者，很少作为一线用药，通常与其他降压药物联用。（</w:t>
      </w:r>
      <w:r>
        <w:rPr>
          <w:rFonts w:ascii="Times New Roman" w:eastAsia="宋体" w:hAnsi="Times New Roman" w:cs="Times New Roman"/>
          <w:color w:val="000000" w:themeColor="text1"/>
          <w:sz w:val="24"/>
          <w:szCs w:val="24"/>
        </w:rPr>
        <w:t>2</w:t>
      </w:r>
      <w:r>
        <w:rPr>
          <w:rFonts w:ascii="Times New Roman" w:eastAsia="宋体" w:hAnsi="Times New Roman" w:cs="Times New Roman" w:hint="eastAsia"/>
          <w:color w:val="000000" w:themeColor="text1"/>
          <w:sz w:val="24"/>
          <w:szCs w:val="24"/>
        </w:rPr>
        <w:t>）第</w:t>
      </w:r>
      <w:r>
        <w:rPr>
          <w:rFonts w:ascii="Times New Roman" w:eastAsia="宋体" w:hAnsi="Times New Roman" w:cs="Times New Roman"/>
          <w:color w:val="000000" w:themeColor="text1"/>
          <w:sz w:val="24"/>
          <w:szCs w:val="24"/>
        </w:rPr>
        <w:t>2</w:t>
      </w:r>
      <w:r>
        <w:rPr>
          <w:rFonts w:ascii="Times New Roman" w:eastAsia="宋体" w:hAnsi="Times New Roman" w:cs="Times New Roman" w:hint="eastAsia"/>
          <w:color w:val="000000" w:themeColor="text1"/>
          <w:sz w:val="24"/>
          <w:szCs w:val="24"/>
        </w:rPr>
        <w:t>代中枢性降压药：主要选择性作用于</w:t>
      </w:r>
      <w:r>
        <w:rPr>
          <w:rFonts w:ascii="Times New Roman" w:eastAsia="宋体" w:hAnsi="Times New Roman" w:cs="Times New Roman"/>
          <w:color w:val="000000" w:themeColor="text1"/>
          <w:sz w:val="24"/>
          <w:szCs w:val="24"/>
        </w:rPr>
        <w:t>I1-</w:t>
      </w:r>
      <w:r>
        <w:rPr>
          <w:rFonts w:ascii="Times New Roman" w:eastAsia="宋体" w:hAnsi="Times New Roman" w:cs="Times New Roman" w:hint="eastAsia"/>
          <w:color w:val="000000" w:themeColor="text1"/>
          <w:sz w:val="24"/>
          <w:szCs w:val="24"/>
        </w:rPr>
        <w:t>咪唑啉受体，避免了第</w:t>
      </w:r>
      <w:r>
        <w:rPr>
          <w:rFonts w:ascii="Times New Roman" w:eastAsia="宋体" w:hAnsi="Times New Roman" w:cs="Times New Roman"/>
          <w:color w:val="000000" w:themeColor="text1"/>
          <w:sz w:val="24"/>
          <w:szCs w:val="24"/>
        </w:rPr>
        <w:t>1</w:t>
      </w:r>
      <w:r>
        <w:rPr>
          <w:rFonts w:ascii="Times New Roman" w:eastAsia="宋体" w:hAnsi="Times New Roman" w:cs="Times New Roman" w:hint="eastAsia"/>
          <w:color w:val="000000" w:themeColor="text1"/>
          <w:sz w:val="24"/>
          <w:szCs w:val="24"/>
        </w:rPr>
        <w:t>代中枢性降压药兴奋</w:t>
      </w:r>
      <w:r>
        <w:rPr>
          <w:rFonts w:ascii="Times New Roman" w:eastAsia="宋体" w:hAnsi="Times New Roman" w:cs="Times New Roman"/>
          <w:color w:val="000000" w:themeColor="text1"/>
          <w:sz w:val="24"/>
          <w:szCs w:val="24"/>
        </w:rPr>
        <w:t>α</w:t>
      </w:r>
      <w:r>
        <w:rPr>
          <w:rFonts w:ascii="Times New Roman" w:eastAsia="宋体" w:hAnsi="Times New Roman" w:cs="Times New Roman" w:hint="eastAsia"/>
          <w:color w:val="000000" w:themeColor="text1"/>
          <w:sz w:val="24"/>
          <w:szCs w:val="24"/>
        </w:rPr>
        <w:t>肾上腺素能受体引起的不良反应。以利美尼定为例，其对</w:t>
      </w:r>
      <w:r>
        <w:rPr>
          <w:rFonts w:ascii="Times New Roman" w:eastAsia="宋体" w:hAnsi="Times New Roman" w:cs="Times New Roman"/>
          <w:color w:val="000000" w:themeColor="text1"/>
          <w:sz w:val="24"/>
          <w:szCs w:val="24"/>
        </w:rPr>
        <w:t>I1-</w:t>
      </w:r>
      <w:r>
        <w:rPr>
          <w:rFonts w:ascii="Times New Roman" w:eastAsia="宋体" w:hAnsi="Times New Roman" w:cs="Times New Roman" w:hint="eastAsia"/>
          <w:color w:val="000000" w:themeColor="text1"/>
          <w:sz w:val="24"/>
          <w:szCs w:val="24"/>
        </w:rPr>
        <w:t>咪唑啉受体的选择性较α</w:t>
      </w:r>
      <w:r>
        <w:rPr>
          <w:rFonts w:ascii="Times New Roman" w:eastAsia="宋体" w:hAnsi="Times New Roman" w:cs="Times New Roman"/>
          <w:color w:val="000000" w:themeColor="text1"/>
          <w:sz w:val="24"/>
          <w:szCs w:val="24"/>
        </w:rPr>
        <w:t xml:space="preserve">2 </w:t>
      </w:r>
      <w:r>
        <w:rPr>
          <w:rFonts w:ascii="Times New Roman" w:eastAsia="宋体" w:hAnsi="Times New Roman" w:cs="Times New Roman" w:hint="eastAsia"/>
          <w:color w:val="000000" w:themeColor="text1"/>
          <w:sz w:val="24"/>
          <w:szCs w:val="24"/>
        </w:rPr>
        <w:t>肾上腺素受体高</w:t>
      </w:r>
      <w:r>
        <w:rPr>
          <w:rFonts w:ascii="Times New Roman" w:eastAsia="宋体" w:hAnsi="Times New Roman" w:cs="Times New Roman"/>
          <w:color w:val="000000" w:themeColor="text1"/>
          <w:sz w:val="24"/>
          <w:szCs w:val="24"/>
        </w:rPr>
        <w:t>2.5</w:t>
      </w:r>
      <w:r>
        <w:rPr>
          <w:rFonts w:ascii="Times New Roman" w:eastAsia="宋体" w:hAnsi="Times New Roman" w:cs="Times New Roman" w:hint="eastAsia"/>
          <w:color w:val="000000" w:themeColor="text1"/>
          <w:sz w:val="24"/>
          <w:szCs w:val="24"/>
        </w:rPr>
        <w:t>倍</w:t>
      </w:r>
      <w:r w:rsidR="00B411DC">
        <w:rPr>
          <w:rFonts w:ascii="Times New Roman" w:eastAsia="宋体" w:hAnsi="Times New Roman" w:cs="Times New Roman"/>
          <w:color w:val="000000" w:themeColor="text1"/>
          <w:sz w:val="24"/>
          <w:szCs w:val="24"/>
        </w:rPr>
        <w:fldChar w:fldCharType="begin"/>
      </w:r>
      <w:r>
        <w:rPr>
          <w:rFonts w:ascii="Times New Roman" w:eastAsia="宋体" w:hAnsi="Times New Roman" w:cs="Times New Roman"/>
          <w:color w:val="000000" w:themeColor="text1"/>
          <w:sz w:val="24"/>
          <w:szCs w:val="24"/>
        </w:rPr>
        <w:instrText xml:space="preserve"> ADDIN NE.Ref.{9929B708-F6EA-4CC6-820E-CDC6A5544A95}</w:instrText>
      </w:r>
      <w:r w:rsidR="00B411DC">
        <w:rPr>
          <w:rFonts w:ascii="Times New Roman" w:eastAsia="宋体" w:hAnsi="Times New Roman" w:cs="Times New Roman"/>
          <w:color w:val="000000" w:themeColor="text1"/>
          <w:sz w:val="24"/>
          <w:szCs w:val="24"/>
        </w:rPr>
        <w:fldChar w:fldCharType="separate"/>
      </w:r>
      <w:r>
        <w:rPr>
          <w:rFonts w:ascii="Times New Roman" w:eastAsia="宋体" w:hAnsi="Times New Roman" w:cs="Times New Roman"/>
          <w:color w:val="000000" w:themeColor="text1"/>
          <w:kern w:val="0"/>
          <w:sz w:val="24"/>
          <w:szCs w:val="24"/>
          <w:vertAlign w:val="superscript"/>
        </w:rPr>
        <w:t>[37]</w:t>
      </w:r>
      <w:r w:rsidR="00B411DC">
        <w:rPr>
          <w:rFonts w:ascii="Times New Roman" w:eastAsia="宋体" w:hAnsi="Times New Roman" w:cs="Times New Roman"/>
          <w:color w:val="000000" w:themeColor="text1"/>
          <w:sz w:val="24"/>
          <w:szCs w:val="24"/>
        </w:rPr>
        <w:fldChar w:fldCharType="end"/>
      </w:r>
      <w:r>
        <w:rPr>
          <w:rFonts w:ascii="Times New Roman" w:eastAsia="宋体" w:hAnsi="Times New Roman" w:cs="Times New Roman" w:hint="eastAsia"/>
          <w:color w:val="000000" w:themeColor="text1"/>
          <w:sz w:val="24"/>
          <w:szCs w:val="24"/>
        </w:rPr>
        <w:t>，新型药物莫索尼定的选择性则高达</w:t>
      </w:r>
      <w:r>
        <w:rPr>
          <w:rFonts w:ascii="Times New Roman" w:eastAsia="宋体" w:hAnsi="Times New Roman" w:cs="Times New Roman"/>
          <w:color w:val="000000" w:themeColor="text1"/>
          <w:sz w:val="24"/>
          <w:szCs w:val="24"/>
        </w:rPr>
        <w:t>10 ~ 700</w:t>
      </w:r>
      <w:r>
        <w:rPr>
          <w:rFonts w:ascii="Times New Roman" w:eastAsia="宋体" w:hAnsi="Times New Roman" w:cs="Times New Roman" w:hint="eastAsia"/>
          <w:color w:val="000000" w:themeColor="text1"/>
          <w:sz w:val="24"/>
          <w:szCs w:val="24"/>
        </w:rPr>
        <w:t>倍</w:t>
      </w:r>
      <w:r w:rsidR="00B411DC">
        <w:rPr>
          <w:rFonts w:ascii="Times New Roman" w:eastAsia="宋体" w:hAnsi="Times New Roman" w:cs="Times New Roman"/>
          <w:color w:val="000000" w:themeColor="text1"/>
          <w:sz w:val="24"/>
          <w:szCs w:val="24"/>
        </w:rPr>
        <w:fldChar w:fldCharType="begin"/>
      </w:r>
      <w:r>
        <w:rPr>
          <w:rFonts w:ascii="Times New Roman" w:eastAsia="宋体" w:hAnsi="Times New Roman" w:cs="Times New Roman"/>
          <w:color w:val="000000" w:themeColor="text1"/>
          <w:sz w:val="24"/>
          <w:szCs w:val="24"/>
        </w:rPr>
        <w:instrText xml:space="preserve"> ADDIN NE.Ref.{FE0CECE1-A655-479A-B5A5-26870A86D4D1}</w:instrText>
      </w:r>
      <w:r w:rsidR="00B411DC">
        <w:rPr>
          <w:rFonts w:ascii="Times New Roman" w:eastAsia="宋体" w:hAnsi="Times New Roman" w:cs="Times New Roman"/>
          <w:color w:val="000000" w:themeColor="text1"/>
          <w:sz w:val="24"/>
          <w:szCs w:val="24"/>
        </w:rPr>
        <w:fldChar w:fldCharType="separate"/>
      </w:r>
      <w:r>
        <w:rPr>
          <w:rFonts w:ascii="Times New Roman" w:eastAsia="宋体" w:hAnsi="Times New Roman" w:cs="Times New Roman"/>
          <w:color w:val="000000" w:themeColor="text1"/>
          <w:kern w:val="0"/>
          <w:sz w:val="24"/>
          <w:szCs w:val="24"/>
          <w:vertAlign w:val="superscript"/>
        </w:rPr>
        <w:t>[45]</w:t>
      </w:r>
      <w:r w:rsidR="00B411DC">
        <w:rPr>
          <w:rFonts w:ascii="Times New Roman" w:eastAsia="宋体" w:hAnsi="Times New Roman" w:cs="Times New Roman"/>
          <w:color w:val="000000" w:themeColor="text1"/>
          <w:sz w:val="24"/>
          <w:szCs w:val="24"/>
        </w:rPr>
        <w:fldChar w:fldCharType="end"/>
      </w:r>
      <w:r>
        <w:rPr>
          <w:rFonts w:ascii="Times New Roman" w:eastAsia="宋体" w:hAnsi="Times New Roman" w:cs="Times New Roman" w:hint="eastAsia"/>
          <w:color w:val="000000" w:themeColor="text1"/>
          <w:sz w:val="24"/>
          <w:szCs w:val="24"/>
        </w:rPr>
        <w:t>。由于第</w:t>
      </w:r>
      <w:r>
        <w:rPr>
          <w:rFonts w:ascii="Times New Roman" w:eastAsia="宋体" w:hAnsi="Times New Roman" w:cs="Times New Roman"/>
          <w:color w:val="000000" w:themeColor="text1"/>
          <w:sz w:val="24"/>
          <w:szCs w:val="24"/>
        </w:rPr>
        <w:t>2</w:t>
      </w:r>
      <w:r>
        <w:rPr>
          <w:rFonts w:ascii="Times New Roman" w:eastAsia="宋体" w:hAnsi="Times New Roman" w:cs="Times New Roman" w:hint="eastAsia"/>
          <w:color w:val="000000" w:themeColor="text1"/>
          <w:sz w:val="24"/>
          <w:szCs w:val="24"/>
        </w:rPr>
        <w:t>代中枢性降压药的高选择性，其不良反应较少，偶有口干、乏力、胃痛、心悸、头晕、失眠等，极少产生胃肠道不适。临床可与其他药物联用作为一线降压药物，也可用于治疗难治性高血压。该药对心脏血流动力学的影响较小，也用于缓解吗啡成瘾后的戒断症状。</w:t>
      </w:r>
    </w:p>
    <w:p w:rsidR="002E5476" w:rsidRDefault="00423E71">
      <w:pPr>
        <w:spacing w:line="360" w:lineRule="auto"/>
        <w:ind w:firstLineChars="200" w:firstLine="482"/>
        <w:jc w:val="left"/>
        <w:outlineLvl w:val="1"/>
        <w:rPr>
          <w:rFonts w:ascii="Times New Roman" w:eastAsia="宋体" w:hAnsi="Times New Roman" w:cs="Times New Roman"/>
          <w:color w:val="000000" w:themeColor="text1"/>
          <w:sz w:val="24"/>
          <w:szCs w:val="24"/>
        </w:rPr>
      </w:pPr>
      <w:r>
        <w:rPr>
          <w:rFonts w:ascii="Times New Roman" w:eastAsia="宋体" w:hAnsi="Times New Roman" w:cs="Times New Roman"/>
          <w:b/>
          <w:bCs/>
          <w:color w:val="000000" w:themeColor="text1"/>
          <w:sz w:val="24"/>
          <w:szCs w:val="24"/>
        </w:rPr>
        <w:t>2.2.1.7</w:t>
      </w:r>
      <w:r>
        <w:rPr>
          <w:rFonts w:ascii="Times New Roman" w:eastAsia="宋体" w:hAnsi="Times New Roman" w:cs="Times New Roman" w:hint="eastAsia"/>
          <w:b/>
          <w:bCs/>
          <w:color w:val="000000" w:themeColor="text1"/>
          <w:sz w:val="24"/>
          <w:szCs w:val="24"/>
        </w:rPr>
        <w:t xml:space="preserve"> </w:t>
      </w:r>
      <w:r>
        <w:rPr>
          <w:rFonts w:ascii="Times New Roman" w:eastAsia="宋体" w:hAnsi="Times New Roman" w:cs="Times New Roman" w:hint="eastAsia"/>
          <w:b/>
          <w:bCs/>
          <w:color w:val="000000" w:themeColor="text1"/>
          <w:sz w:val="24"/>
          <w:szCs w:val="24"/>
        </w:rPr>
        <w:t>直接血管扩张药</w:t>
      </w:r>
      <w:r>
        <w:rPr>
          <w:rFonts w:ascii="Times New Roman" w:eastAsia="宋体" w:hAnsi="Times New Roman" w:cs="Times New Roman" w:hint="eastAsia"/>
          <w:color w:val="000000" w:themeColor="text1"/>
          <w:sz w:val="24"/>
          <w:szCs w:val="24"/>
        </w:rPr>
        <w:t>：</w:t>
      </w:r>
      <w:r>
        <w:rPr>
          <w:rFonts w:ascii="Times New Roman" w:eastAsia="宋体" w:hAnsi="Times New Roman" w:cs="Times New Roman" w:hint="eastAsia"/>
          <w:color w:val="000000" w:themeColor="text1"/>
          <w:sz w:val="24"/>
          <w:szCs w:val="24"/>
        </w:rPr>
        <w:t xml:space="preserve"> </w:t>
      </w:r>
      <w:r>
        <w:rPr>
          <w:rFonts w:ascii="Times New Roman" w:eastAsia="宋体" w:hAnsi="Times New Roman" w:cs="Times New Roman" w:hint="eastAsia"/>
          <w:color w:val="000000" w:themeColor="text1"/>
          <w:sz w:val="24"/>
          <w:szCs w:val="24"/>
        </w:rPr>
        <w:t>目前临床应用的血管扩张剂主要有肼屈嗪和米诺地尔。（</w:t>
      </w:r>
      <w:r>
        <w:rPr>
          <w:rFonts w:ascii="Times New Roman" w:eastAsia="宋体" w:hAnsi="Times New Roman" w:cs="Times New Roman"/>
          <w:color w:val="000000" w:themeColor="text1"/>
          <w:sz w:val="24"/>
          <w:szCs w:val="24"/>
        </w:rPr>
        <w:t>1</w:t>
      </w:r>
      <w:r>
        <w:rPr>
          <w:rFonts w:ascii="Times New Roman" w:eastAsia="宋体" w:hAnsi="Times New Roman" w:cs="Times New Roman" w:hint="eastAsia"/>
          <w:color w:val="000000" w:themeColor="text1"/>
          <w:sz w:val="24"/>
          <w:szCs w:val="24"/>
        </w:rPr>
        <w:t>）肼屈嗪：该药可直接舒张外周血管平滑肌，松弛毛细血管前小动脉，使外周血管扩张，外周阻力明显降低，血压下降，也可以选择性地增加肾动脉及肢体动脉的血流量。由于该药可引起交感神经兴奋及水钠潴留，</w:t>
      </w:r>
      <w:r>
        <w:rPr>
          <w:rFonts w:ascii="Times New Roman" w:eastAsia="宋体" w:hAnsi="Times New Roman" w:cs="Times New Roman" w:hint="eastAsia"/>
          <w:color w:val="000000" w:themeColor="text1"/>
          <w:sz w:val="24"/>
          <w:szCs w:val="24"/>
        </w:rPr>
        <w:lastRenderedPageBreak/>
        <w:t>一般不做为长期治疗高血压的首选药物，而常常与利尿剂及β受体阻滞剂一起使用，适用于严重高血压。该药服用后易出现耐药，以及头痛、心悸、恶心等不良反应，长期大剂量使用还可引起类风湿性关节炎和红斑狼疮样反应。肼屈嗪禁用于冠状动脉病变、脑血管硬化、心动过速及心绞痛患者。该药目前多作为复方制剂使用，如“复方双肼屈嗪片”“复方利血平氨苯蝶啶片（北京降压</w:t>
      </w:r>
      <w:r>
        <w:rPr>
          <w:rFonts w:ascii="Times New Roman" w:eastAsia="宋体" w:hAnsi="Times New Roman" w:cs="Times New Roman"/>
          <w:color w:val="000000" w:themeColor="text1"/>
          <w:sz w:val="24"/>
          <w:szCs w:val="24"/>
        </w:rPr>
        <w:t>0</w:t>
      </w:r>
      <w:r>
        <w:rPr>
          <w:rFonts w:ascii="Times New Roman" w:eastAsia="宋体" w:hAnsi="Times New Roman" w:cs="Times New Roman" w:hint="eastAsia"/>
          <w:color w:val="000000" w:themeColor="text1"/>
          <w:sz w:val="24"/>
          <w:szCs w:val="24"/>
        </w:rPr>
        <w:t>号）”等。（</w:t>
      </w:r>
      <w:r>
        <w:rPr>
          <w:rFonts w:ascii="Times New Roman" w:eastAsia="宋体" w:hAnsi="Times New Roman" w:cs="Times New Roman"/>
          <w:color w:val="000000" w:themeColor="text1"/>
          <w:sz w:val="24"/>
          <w:szCs w:val="24"/>
        </w:rPr>
        <w:t>2</w:t>
      </w:r>
      <w:r>
        <w:rPr>
          <w:rFonts w:ascii="Times New Roman" w:eastAsia="宋体" w:hAnsi="Times New Roman" w:cs="Times New Roman" w:hint="eastAsia"/>
          <w:color w:val="000000" w:themeColor="text1"/>
          <w:sz w:val="24"/>
          <w:szCs w:val="24"/>
        </w:rPr>
        <w:t>）米诺地尔：该药可以直接松弛血管平滑肌，还可以舒张微动脉阻力血管，明显降低外周血管阻力，作用明显而持久。该药口服后</w:t>
      </w:r>
      <w:r>
        <w:rPr>
          <w:rFonts w:ascii="Times New Roman" w:eastAsia="宋体" w:hAnsi="Times New Roman" w:cs="Times New Roman"/>
          <w:color w:val="000000" w:themeColor="text1"/>
          <w:sz w:val="24"/>
          <w:szCs w:val="24"/>
        </w:rPr>
        <w:t>1.5 h</w:t>
      </w:r>
      <w:r>
        <w:rPr>
          <w:rFonts w:ascii="Times New Roman" w:eastAsia="宋体" w:hAnsi="Times New Roman" w:cs="Times New Roman" w:hint="eastAsia"/>
          <w:color w:val="000000" w:themeColor="text1"/>
          <w:sz w:val="24"/>
          <w:szCs w:val="24"/>
        </w:rPr>
        <w:t>内起效，最大降压作用在服药后</w:t>
      </w:r>
      <w:r>
        <w:rPr>
          <w:rFonts w:ascii="Times New Roman" w:eastAsia="宋体" w:hAnsi="Times New Roman" w:cs="Times New Roman"/>
          <w:color w:val="000000" w:themeColor="text1"/>
          <w:sz w:val="24"/>
          <w:szCs w:val="24"/>
        </w:rPr>
        <w:t>2~3 h</w:t>
      </w:r>
      <w:r>
        <w:rPr>
          <w:rFonts w:ascii="Times New Roman" w:eastAsia="宋体" w:hAnsi="Times New Roman" w:cs="Times New Roman" w:hint="eastAsia"/>
          <w:color w:val="000000" w:themeColor="text1"/>
          <w:sz w:val="24"/>
          <w:szCs w:val="24"/>
        </w:rPr>
        <w:t>出现，降压作用可持续</w:t>
      </w:r>
      <w:r>
        <w:rPr>
          <w:rFonts w:ascii="Times New Roman" w:eastAsia="宋体" w:hAnsi="Times New Roman" w:cs="Times New Roman"/>
          <w:color w:val="000000" w:themeColor="text1"/>
          <w:sz w:val="24"/>
          <w:szCs w:val="24"/>
        </w:rPr>
        <w:t>24 h</w:t>
      </w:r>
      <w:r>
        <w:rPr>
          <w:rFonts w:ascii="Times New Roman" w:eastAsia="宋体" w:hAnsi="Times New Roman" w:cs="Times New Roman" w:hint="eastAsia"/>
          <w:color w:val="000000" w:themeColor="text1"/>
          <w:sz w:val="24"/>
          <w:szCs w:val="24"/>
        </w:rPr>
        <w:t>以上（达</w:t>
      </w:r>
      <w:r>
        <w:rPr>
          <w:rFonts w:ascii="Times New Roman" w:eastAsia="宋体" w:hAnsi="Times New Roman" w:cs="Times New Roman"/>
          <w:color w:val="000000" w:themeColor="text1"/>
          <w:sz w:val="24"/>
          <w:szCs w:val="24"/>
        </w:rPr>
        <w:t>75 h</w:t>
      </w:r>
      <w:r>
        <w:rPr>
          <w:rFonts w:ascii="Times New Roman" w:eastAsia="宋体" w:hAnsi="Times New Roman" w:cs="Times New Roman" w:hint="eastAsia"/>
          <w:color w:val="000000" w:themeColor="text1"/>
          <w:sz w:val="24"/>
          <w:szCs w:val="24"/>
        </w:rPr>
        <w:t>）。该药适用于顽固性高血压和肾性高血压患者，对其他药物不起作用的高血压病患者也可选用本药。对肼屈嗪耐药者，该药仍可有效。米诺地尔的常见不良反应为多毛症。该药在欧美国家已经上市，在我国尚未上市。</w:t>
      </w:r>
    </w:p>
    <w:p w:rsidR="002E5476" w:rsidRDefault="00423E71">
      <w:pPr>
        <w:spacing w:line="360" w:lineRule="auto"/>
        <w:ind w:firstLineChars="200" w:firstLine="482"/>
        <w:jc w:val="left"/>
        <w:outlineLvl w:val="1"/>
        <w:rPr>
          <w:rFonts w:ascii="Times New Roman" w:eastAsia="宋体" w:hAnsi="Times New Roman" w:cs="Times New Roman"/>
          <w:color w:val="000000" w:themeColor="text1"/>
          <w:sz w:val="24"/>
          <w:szCs w:val="24"/>
        </w:rPr>
      </w:pPr>
      <w:r>
        <w:rPr>
          <w:rFonts w:ascii="Times New Roman" w:eastAsia="宋体" w:hAnsi="Times New Roman" w:cs="Times New Roman"/>
          <w:b/>
          <w:bCs/>
          <w:color w:val="000000" w:themeColor="text1"/>
          <w:sz w:val="24"/>
          <w:szCs w:val="24"/>
        </w:rPr>
        <w:t xml:space="preserve">2.2.1.8 </w:t>
      </w:r>
      <w:r>
        <w:rPr>
          <w:rFonts w:ascii="Times New Roman" w:eastAsia="宋体" w:hAnsi="Times New Roman" w:cs="Times New Roman" w:hint="eastAsia"/>
          <w:b/>
          <w:bCs/>
          <w:color w:val="000000" w:themeColor="text1"/>
          <w:sz w:val="24"/>
          <w:szCs w:val="24"/>
        </w:rPr>
        <w:t>其他新型药物</w:t>
      </w:r>
      <w:r>
        <w:rPr>
          <w:rFonts w:ascii="Times New Roman" w:eastAsia="宋体" w:hAnsi="Times New Roman" w:cs="Times New Roman" w:hint="eastAsia"/>
          <w:color w:val="000000" w:themeColor="text1"/>
          <w:sz w:val="24"/>
          <w:szCs w:val="24"/>
        </w:rPr>
        <w:t>：</w:t>
      </w:r>
      <w:r>
        <w:rPr>
          <w:rFonts w:ascii="Times New Roman" w:eastAsia="宋体" w:hAnsi="Times New Roman" w:cs="Times New Roman" w:hint="eastAsia"/>
          <w:color w:val="000000" w:themeColor="text1"/>
          <w:sz w:val="24"/>
          <w:szCs w:val="24"/>
        </w:rPr>
        <w:t xml:space="preserve"> </w:t>
      </w:r>
      <w:r>
        <w:rPr>
          <w:rFonts w:ascii="Times New Roman" w:eastAsia="宋体" w:hAnsi="Times New Roman" w:cs="Times New Roman" w:hint="eastAsia"/>
          <w:color w:val="000000" w:themeColor="text1"/>
          <w:sz w:val="24"/>
          <w:szCs w:val="24"/>
        </w:rPr>
        <w:t>血管紧张素受体脑啡肽酶抑制剂</w:t>
      </w:r>
      <w:r>
        <w:rPr>
          <w:rFonts w:ascii="Times New Roman" w:eastAsia="宋体" w:hAnsi="Times New Roman" w:cs="Times New Roman"/>
          <w:color w:val="000000" w:themeColor="text1"/>
          <w:sz w:val="24"/>
          <w:szCs w:val="24"/>
        </w:rPr>
        <w:t>-</w:t>
      </w:r>
      <w:r>
        <w:rPr>
          <w:rFonts w:ascii="Times New Roman" w:eastAsia="宋体" w:hAnsi="Times New Roman" w:cs="Times New Roman" w:hint="eastAsia"/>
          <w:color w:val="000000" w:themeColor="text1"/>
          <w:sz w:val="24"/>
          <w:szCs w:val="24"/>
        </w:rPr>
        <w:t>沙库巴曲缬沙坦是由脑啡肽酶（</w:t>
      </w:r>
      <w:r>
        <w:rPr>
          <w:rFonts w:ascii="Times New Roman" w:eastAsia="宋体" w:hAnsi="Times New Roman" w:cs="Times New Roman"/>
          <w:color w:val="000000" w:themeColor="text1"/>
          <w:szCs w:val="21"/>
        </w:rPr>
        <w:t>enkephalinase</w:t>
      </w:r>
      <w:r>
        <w:rPr>
          <w:rFonts w:ascii="Times New Roman" w:eastAsia="宋体" w:hAnsi="Times New Roman" w:cs="Times New Roman" w:hint="eastAsia"/>
          <w:color w:val="000000" w:themeColor="text1"/>
          <w:szCs w:val="21"/>
        </w:rPr>
        <w:t>，</w:t>
      </w:r>
      <w:r>
        <w:rPr>
          <w:rFonts w:ascii="Times New Roman" w:eastAsia="宋体" w:hAnsi="Times New Roman" w:cs="Times New Roman"/>
          <w:color w:val="000000" w:themeColor="text1"/>
          <w:sz w:val="24"/>
          <w:szCs w:val="24"/>
        </w:rPr>
        <w:t>NEP</w:t>
      </w:r>
      <w:r>
        <w:rPr>
          <w:rFonts w:ascii="Times New Roman" w:eastAsia="宋体" w:hAnsi="Times New Roman" w:cs="Times New Roman" w:hint="eastAsia"/>
          <w:color w:val="000000" w:themeColor="text1"/>
          <w:sz w:val="24"/>
          <w:szCs w:val="24"/>
        </w:rPr>
        <w:t>）抑制剂沙库巴曲和缬沙坦（</w:t>
      </w:r>
      <w:r>
        <w:rPr>
          <w:rFonts w:ascii="Times New Roman" w:eastAsia="宋体" w:hAnsi="Times New Roman" w:cs="Times New Roman"/>
          <w:color w:val="000000" w:themeColor="text1"/>
          <w:sz w:val="24"/>
          <w:szCs w:val="24"/>
        </w:rPr>
        <w:t>ARB</w:t>
      </w:r>
      <w:r>
        <w:rPr>
          <w:rFonts w:ascii="Times New Roman" w:eastAsia="宋体" w:hAnsi="Times New Roman" w:cs="Times New Roman" w:hint="eastAsia"/>
          <w:color w:val="000000" w:themeColor="text1"/>
          <w:sz w:val="24"/>
          <w:szCs w:val="24"/>
        </w:rPr>
        <w:t>）按摩尔比</w:t>
      </w:r>
      <w:r>
        <w:rPr>
          <w:rFonts w:ascii="Times New Roman" w:eastAsia="宋体" w:hAnsi="Times New Roman" w:cs="Times New Roman"/>
          <w:color w:val="000000" w:themeColor="text1"/>
          <w:sz w:val="24"/>
          <w:szCs w:val="24"/>
        </w:rPr>
        <w:t>1:1</w:t>
      </w:r>
      <w:r>
        <w:rPr>
          <w:rFonts w:ascii="Times New Roman" w:eastAsia="宋体" w:hAnsi="Times New Roman" w:cs="Times New Roman" w:hint="eastAsia"/>
          <w:color w:val="000000" w:themeColor="text1"/>
          <w:sz w:val="24"/>
          <w:szCs w:val="24"/>
        </w:rPr>
        <w:t>组成的共晶体。沙库巴曲进入体内经过酯酶代谢为活性产物，抑制</w:t>
      </w:r>
      <w:r>
        <w:rPr>
          <w:rFonts w:ascii="Times New Roman" w:eastAsia="宋体" w:hAnsi="Times New Roman" w:cs="Times New Roman"/>
          <w:color w:val="000000" w:themeColor="text1"/>
          <w:sz w:val="24"/>
          <w:szCs w:val="24"/>
        </w:rPr>
        <w:t>NEP</w:t>
      </w:r>
      <w:r>
        <w:rPr>
          <w:rFonts w:ascii="Times New Roman" w:eastAsia="宋体" w:hAnsi="Times New Roman" w:cs="Times New Roman" w:hint="eastAsia"/>
          <w:color w:val="000000" w:themeColor="text1"/>
          <w:sz w:val="24"/>
          <w:szCs w:val="24"/>
        </w:rPr>
        <w:t>活性使利钠肽系统活性增强，发挥降压和靶器官保护作用，同时抵消</w:t>
      </w:r>
      <w:r>
        <w:rPr>
          <w:rFonts w:ascii="Times New Roman" w:eastAsia="宋体" w:hAnsi="Times New Roman" w:cs="Times New Roman"/>
          <w:color w:val="000000" w:themeColor="text1"/>
          <w:sz w:val="24"/>
          <w:szCs w:val="24"/>
        </w:rPr>
        <w:t>RAAS</w:t>
      </w:r>
      <w:r>
        <w:rPr>
          <w:rFonts w:ascii="Times New Roman" w:eastAsia="宋体" w:hAnsi="Times New Roman" w:cs="Times New Roman" w:hint="eastAsia"/>
          <w:color w:val="000000" w:themeColor="text1"/>
          <w:sz w:val="24"/>
          <w:szCs w:val="24"/>
        </w:rPr>
        <w:t>激活的不利影响</w:t>
      </w:r>
      <w:r w:rsidR="00B411DC">
        <w:rPr>
          <w:rFonts w:ascii="Times New Roman" w:eastAsia="宋体" w:hAnsi="Times New Roman" w:cs="Times New Roman"/>
          <w:color w:val="000000" w:themeColor="text1"/>
          <w:sz w:val="24"/>
          <w:szCs w:val="24"/>
        </w:rPr>
        <w:fldChar w:fldCharType="begin"/>
      </w:r>
      <w:r>
        <w:rPr>
          <w:rFonts w:ascii="Times New Roman" w:eastAsia="宋体" w:hAnsi="Times New Roman" w:cs="Times New Roman"/>
          <w:color w:val="000000" w:themeColor="text1"/>
          <w:sz w:val="24"/>
          <w:szCs w:val="24"/>
        </w:rPr>
        <w:instrText xml:space="preserve"> ADDIN NE.Ref.{76E60FA6-DCD4-43CA-BB80-513B5277B59C}</w:instrText>
      </w:r>
      <w:r w:rsidR="00B411DC">
        <w:rPr>
          <w:rFonts w:ascii="Times New Roman" w:eastAsia="宋体" w:hAnsi="Times New Roman" w:cs="Times New Roman"/>
          <w:color w:val="000000" w:themeColor="text1"/>
          <w:sz w:val="24"/>
          <w:szCs w:val="24"/>
        </w:rPr>
        <w:fldChar w:fldCharType="separate"/>
      </w:r>
      <w:r>
        <w:rPr>
          <w:rFonts w:ascii="Times New Roman" w:eastAsia="宋体" w:hAnsi="Times New Roman" w:cs="Times New Roman"/>
          <w:color w:val="000000" w:themeColor="text1"/>
          <w:kern w:val="0"/>
          <w:sz w:val="24"/>
          <w:szCs w:val="24"/>
          <w:vertAlign w:val="superscript"/>
        </w:rPr>
        <w:t>[46]</w:t>
      </w:r>
      <w:r w:rsidR="00B411DC">
        <w:rPr>
          <w:rFonts w:ascii="Times New Roman" w:eastAsia="宋体" w:hAnsi="Times New Roman" w:cs="Times New Roman"/>
          <w:color w:val="000000" w:themeColor="text1"/>
          <w:sz w:val="24"/>
          <w:szCs w:val="24"/>
        </w:rPr>
        <w:fldChar w:fldCharType="end"/>
      </w:r>
      <w:r>
        <w:rPr>
          <w:rFonts w:ascii="Times New Roman" w:eastAsia="宋体" w:hAnsi="Times New Roman" w:cs="Times New Roman" w:hint="eastAsia"/>
          <w:color w:val="000000" w:themeColor="text1"/>
          <w:sz w:val="24"/>
          <w:szCs w:val="24"/>
        </w:rPr>
        <w:t>。最早美国食品和药物管理局（</w:t>
      </w:r>
      <w:r>
        <w:rPr>
          <w:rFonts w:ascii="Times New Roman" w:eastAsia="宋体" w:hAnsi="Times New Roman" w:cs="Times New Roman"/>
          <w:color w:val="000000" w:themeColor="text1"/>
          <w:sz w:val="24"/>
          <w:szCs w:val="24"/>
        </w:rPr>
        <w:t>Food and Drug Administration</w:t>
      </w:r>
      <w:r>
        <w:rPr>
          <w:rFonts w:ascii="Times New Roman" w:eastAsia="宋体" w:hAnsi="Times New Roman" w:cs="Times New Roman" w:hint="eastAsia"/>
          <w:color w:val="000000" w:themeColor="text1"/>
          <w:sz w:val="24"/>
          <w:szCs w:val="24"/>
        </w:rPr>
        <w:t>，</w:t>
      </w:r>
      <w:r>
        <w:rPr>
          <w:rFonts w:ascii="Times New Roman" w:eastAsia="宋体" w:hAnsi="Times New Roman" w:cs="Times New Roman"/>
          <w:color w:val="000000" w:themeColor="text1"/>
          <w:sz w:val="24"/>
          <w:szCs w:val="24"/>
        </w:rPr>
        <w:t>FDA</w:t>
      </w:r>
      <w:r>
        <w:rPr>
          <w:rFonts w:ascii="Times New Roman" w:eastAsia="宋体" w:hAnsi="Times New Roman" w:cs="Times New Roman" w:hint="eastAsia"/>
          <w:color w:val="000000" w:themeColor="text1"/>
          <w:sz w:val="24"/>
          <w:szCs w:val="24"/>
        </w:rPr>
        <w:t>）批准用于治疗射血分数降低的心力衰竭（</w:t>
      </w:r>
      <w:r>
        <w:rPr>
          <w:rFonts w:ascii="Times New Roman" w:eastAsia="宋体" w:hAnsi="Times New Roman" w:cs="Times New Roman"/>
          <w:color w:val="000000" w:themeColor="text1"/>
          <w:sz w:val="24"/>
          <w:szCs w:val="24"/>
        </w:rPr>
        <w:t>HFrEF</w:t>
      </w:r>
      <w:r>
        <w:rPr>
          <w:rFonts w:ascii="Times New Roman" w:eastAsia="宋体" w:hAnsi="Times New Roman" w:cs="Times New Roman" w:hint="eastAsia"/>
          <w:color w:val="000000" w:themeColor="text1"/>
          <w:sz w:val="24"/>
          <w:szCs w:val="24"/>
        </w:rPr>
        <w:t>）患者。近年在原发性轻中度高血压患者中的临床研究显示，沙库巴曲缬沙坦可显著降低患者的平均收缩压和舒张压</w:t>
      </w:r>
      <w:r w:rsidR="00B411DC">
        <w:rPr>
          <w:rFonts w:ascii="Times New Roman" w:eastAsia="宋体" w:hAnsi="Times New Roman" w:cs="Times New Roman"/>
          <w:color w:val="000000" w:themeColor="text1"/>
          <w:sz w:val="24"/>
          <w:szCs w:val="24"/>
        </w:rPr>
        <w:fldChar w:fldCharType="begin"/>
      </w:r>
      <w:r>
        <w:rPr>
          <w:rFonts w:ascii="Times New Roman" w:eastAsia="宋体" w:hAnsi="Times New Roman" w:cs="Times New Roman"/>
          <w:color w:val="000000" w:themeColor="text1"/>
          <w:sz w:val="24"/>
          <w:szCs w:val="24"/>
        </w:rPr>
        <w:instrText xml:space="preserve"> ADDIN NE.Ref.{8C60FC81-55CA-4156-9F42-92465C176311}</w:instrText>
      </w:r>
      <w:r w:rsidR="00B411DC">
        <w:rPr>
          <w:rFonts w:ascii="Times New Roman" w:eastAsia="宋体" w:hAnsi="Times New Roman" w:cs="Times New Roman"/>
          <w:color w:val="000000" w:themeColor="text1"/>
          <w:sz w:val="24"/>
          <w:szCs w:val="24"/>
        </w:rPr>
        <w:fldChar w:fldCharType="separate"/>
      </w:r>
      <w:r>
        <w:rPr>
          <w:rFonts w:ascii="Times New Roman" w:eastAsia="宋体" w:hAnsi="Times New Roman" w:cs="Times New Roman"/>
          <w:color w:val="000000" w:themeColor="text1"/>
          <w:kern w:val="0"/>
          <w:sz w:val="24"/>
          <w:szCs w:val="24"/>
          <w:vertAlign w:val="superscript"/>
        </w:rPr>
        <w:t>[47-49]</w:t>
      </w:r>
      <w:r w:rsidR="00B411DC">
        <w:rPr>
          <w:rFonts w:ascii="Times New Roman" w:eastAsia="宋体" w:hAnsi="Times New Roman" w:cs="Times New Roman"/>
          <w:color w:val="000000" w:themeColor="text1"/>
          <w:sz w:val="24"/>
          <w:szCs w:val="24"/>
        </w:rPr>
        <w:fldChar w:fldCharType="end"/>
      </w:r>
      <w:r>
        <w:rPr>
          <w:rFonts w:ascii="Times New Roman" w:eastAsia="宋体" w:hAnsi="Times New Roman" w:cs="Times New Roman" w:hint="eastAsia"/>
          <w:color w:val="000000" w:themeColor="text1"/>
          <w:sz w:val="24"/>
          <w:szCs w:val="24"/>
        </w:rPr>
        <w:t>。除强效降压外，沙库巴曲缬沙坦对心脏、肾脏和血管也具有很好的保护作用，可降低高血压患者的心、脑、肾以及血管并发症的发生和死亡风险</w:t>
      </w:r>
      <w:r w:rsidR="00B411DC">
        <w:rPr>
          <w:rFonts w:ascii="Times New Roman" w:eastAsia="宋体" w:hAnsi="Times New Roman" w:cs="Times New Roman"/>
          <w:color w:val="000000" w:themeColor="text1"/>
          <w:sz w:val="24"/>
          <w:szCs w:val="24"/>
        </w:rPr>
        <w:fldChar w:fldCharType="begin"/>
      </w:r>
      <w:r>
        <w:rPr>
          <w:rFonts w:ascii="Times New Roman" w:eastAsia="宋体" w:hAnsi="Times New Roman" w:cs="Times New Roman"/>
          <w:color w:val="000000" w:themeColor="text1"/>
          <w:sz w:val="24"/>
          <w:szCs w:val="24"/>
        </w:rPr>
        <w:instrText xml:space="preserve"> ADDIN NE.Ref.{6B8DD0CE-083E-4279-866A-ED66DAEDEC95}</w:instrText>
      </w:r>
      <w:r w:rsidR="00B411DC">
        <w:rPr>
          <w:rFonts w:ascii="Times New Roman" w:eastAsia="宋体" w:hAnsi="Times New Roman" w:cs="Times New Roman"/>
          <w:color w:val="000000" w:themeColor="text1"/>
          <w:sz w:val="24"/>
          <w:szCs w:val="24"/>
        </w:rPr>
        <w:fldChar w:fldCharType="separate"/>
      </w:r>
      <w:r>
        <w:rPr>
          <w:rFonts w:ascii="Times New Roman" w:eastAsia="宋体" w:hAnsi="Times New Roman" w:cs="Times New Roman"/>
          <w:color w:val="000000" w:themeColor="text1"/>
          <w:kern w:val="0"/>
          <w:sz w:val="24"/>
          <w:szCs w:val="24"/>
          <w:vertAlign w:val="superscript"/>
        </w:rPr>
        <w:t>[50-52]</w:t>
      </w:r>
      <w:r w:rsidR="00B411DC">
        <w:rPr>
          <w:rFonts w:ascii="Times New Roman" w:eastAsia="宋体" w:hAnsi="Times New Roman" w:cs="Times New Roman"/>
          <w:color w:val="000000" w:themeColor="text1"/>
          <w:sz w:val="24"/>
          <w:szCs w:val="24"/>
        </w:rPr>
        <w:fldChar w:fldCharType="end"/>
      </w:r>
      <w:r>
        <w:rPr>
          <w:rFonts w:ascii="Times New Roman" w:eastAsia="宋体" w:hAnsi="Times New Roman" w:cs="Times New Roman" w:hint="eastAsia"/>
          <w:color w:val="000000" w:themeColor="text1"/>
          <w:sz w:val="24"/>
          <w:szCs w:val="24"/>
        </w:rPr>
        <w:t>。</w:t>
      </w:r>
      <w:r>
        <w:rPr>
          <w:rFonts w:ascii="Times New Roman" w:eastAsia="宋体" w:hAnsi="Times New Roman" w:cs="Times New Roman"/>
          <w:color w:val="000000" w:themeColor="text1"/>
          <w:sz w:val="24"/>
          <w:szCs w:val="24"/>
        </w:rPr>
        <w:t>2020</w:t>
      </w:r>
      <w:r>
        <w:rPr>
          <w:rFonts w:ascii="Times New Roman" w:eastAsia="宋体" w:hAnsi="Times New Roman" w:cs="Times New Roman" w:hint="eastAsia"/>
          <w:color w:val="000000" w:themeColor="text1"/>
          <w:sz w:val="24"/>
          <w:szCs w:val="24"/>
        </w:rPr>
        <w:t>年</w:t>
      </w:r>
      <w:r>
        <w:rPr>
          <w:rFonts w:ascii="Times New Roman" w:eastAsia="宋体" w:hAnsi="Times New Roman" w:cs="Times New Roman"/>
          <w:color w:val="000000" w:themeColor="text1"/>
          <w:sz w:val="24"/>
          <w:szCs w:val="24"/>
        </w:rPr>
        <w:t>ISH</w:t>
      </w:r>
      <w:r>
        <w:rPr>
          <w:rFonts w:ascii="Times New Roman" w:eastAsia="宋体" w:hAnsi="Times New Roman" w:cs="Times New Roman" w:hint="eastAsia"/>
          <w:color w:val="000000" w:themeColor="text1"/>
          <w:sz w:val="24"/>
          <w:szCs w:val="24"/>
        </w:rPr>
        <w:t>指南</w:t>
      </w:r>
      <w:r>
        <w:rPr>
          <w:rFonts w:ascii="Times New Roman" w:eastAsia="宋体" w:hAnsi="Times New Roman" w:cs="Times New Roman"/>
          <w:color w:val="000000" w:themeColor="text1"/>
          <w:sz w:val="24"/>
          <w:szCs w:val="24"/>
          <w:vertAlign w:val="superscript"/>
        </w:rPr>
        <w:t>[14]</w:t>
      </w:r>
      <w:r>
        <w:rPr>
          <w:rFonts w:ascii="Times New Roman" w:eastAsia="宋体" w:hAnsi="Times New Roman" w:cs="Times New Roman" w:hint="eastAsia"/>
          <w:color w:val="000000" w:themeColor="text1"/>
          <w:sz w:val="24"/>
          <w:szCs w:val="24"/>
        </w:rPr>
        <w:t>中明确提出沙库巴曲缬沙坦钠可用于高血压人群中</w:t>
      </w:r>
      <w:r>
        <w:rPr>
          <w:rFonts w:ascii="Times New Roman" w:eastAsia="宋体" w:hAnsi="Times New Roman" w:cs="Times New Roman"/>
          <w:color w:val="000000" w:themeColor="text1"/>
          <w:sz w:val="24"/>
          <w:szCs w:val="24"/>
        </w:rPr>
        <w:t>HFrEF</w:t>
      </w:r>
      <w:r>
        <w:rPr>
          <w:rFonts w:ascii="Times New Roman" w:eastAsia="宋体" w:hAnsi="Times New Roman" w:cs="Times New Roman" w:hint="eastAsia"/>
          <w:color w:val="000000" w:themeColor="text1"/>
          <w:sz w:val="24"/>
          <w:szCs w:val="24"/>
        </w:rPr>
        <w:t>的治疗。该药适应于治疗高血压也已获得中国</w:t>
      </w:r>
      <w:r>
        <w:rPr>
          <w:rFonts w:ascii="Times New Roman" w:eastAsia="宋体" w:hAnsi="Times New Roman" w:cs="Times New Roman" w:hint="eastAsia"/>
          <w:color w:val="000000" w:themeColor="text1"/>
          <w:sz w:val="24"/>
          <w:szCs w:val="24"/>
          <w:shd w:val="clear" w:color="auto" w:fill="FFFFFF"/>
        </w:rPr>
        <w:t>国家食品药品监督管理总局（</w:t>
      </w:r>
      <w:r>
        <w:rPr>
          <w:rFonts w:ascii="Times New Roman" w:eastAsia="宋体" w:hAnsi="Times New Roman" w:cs="Times New Roman"/>
          <w:color w:val="000000" w:themeColor="text1"/>
          <w:sz w:val="24"/>
          <w:szCs w:val="24"/>
          <w:shd w:val="clear" w:color="auto" w:fill="FFFFFF"/>
        </w:rPr>
        <w:t>China Food and Drug Administration</w:t>
      </w:r>
      <w:r>
        <w:rPr>
          <w:rFonts w:ascii="Times New Roman" w:eastAsia="宋体" w:hAnsi="Times New Roman" w:cs="Times New Roman" w:hint="eastAsia"/>
          <w:color w:val="000000" w:themeColor="text1"/>
          <w:sz w:val="24"/>
          <w:szCs w:val="24"/>
          <w:shd w:val="clear" w:color="auto" w:fill="FFFFFF"/>
        </w:rPr>
        <w:t>，</w:t>
      </w:r>
      <w:r>
        <w:rPr>
          <w:rFonts w:ascii="Times New Roman" w:eastAsia="宋体" w:hAnsi="Times New Roman" w:cs="Times New Roman"/>
          <w:color w:val="000000" w:themeColor="text1"/>
          <w:sz w:val="24"/>
          <w:szCs w:val="24"/>
        </w:rPr>
        <w:t>CFDA</w:t>
      </w:r>
      <w:r>
        <w:rPr>
          <w:rFonts w:ascii="Times New Roman" w:eastAsia="宋体" w:hAnsi="Times New Roman" w:cs="Times New Roman" w:hint="eastAsia"/>
          <w:color w:val="000000" w:themeColor="text1"/>
          <w:sz w:val="24"/>
          <w:szCs w:val="24"/>
          <w:shd w:val="clear" w:color="auto" w:fill="FFFFFF"/>
        </w:rPr>
        <w:t>）</w:t>
      </w:r>
      <w:r>
        <w:rPr>
          <w:rFonts w:ascii="Times New Roman" w:eastAsia="宋体" w:hAnsi="Times New Roman" w:cs="Times New Roman" w:hint="eastAsia"/>
          <w:color w:val="000000" w:themeColor="text1"/>
          <w:sz w:val="24"/>
          <w:szCs w:val="24"/>
        </w:rPr>
        <w:t>批准。</w:t>
      </w:r>
    </w:p>
    <w:p w:rsidR="002E5476" w:rsidRDefault="00423E71">
      <w:pPr>
        <w:pStyle w:val="6"/>
        <w:numPr>
          <w:ilvl w:val="255"/>
          <w:numId w:val="0"/>
        </w:numPr>
        <w:spacing w:line="360" w:lineRule="auto"/>
        <w:rPr>
          <w:rFonts w:ascii="Times New Roman" w:eastAsia="宋体" w:hAnsi="Times New Roman" w:cs="Times New Roman"/>
          <w:b/>
          <w:bCs/>
          <w:color w:val="000000" w:themeColor="text1"/>
          <w:sz w:val="24"/>
          <w:szCs w:val="24"/>
        </w:rPr>
      </w:pPr>
      <w:bookmarkStart w:id="24" w:name="_Toc1656547108_WPSOffice_Level3"/>
      <w:r>
        <w:rPr>
          <w:rFonts w:ascii="Times New Roman" w:eastAsia="宋体" w:hAnsi="Times New Roman" w:cs="Times New Roman"/>
          <w:b/>
          <w:bCs/>
          <w:color w:val="000000" w:themeColor="text1"/>
          <w:sz w:val="24"/>
          <w:szCs w:val="24"/>
        </w:rPr>
        <w:t>2.2.2</w:t>
      </w:r>
      <w:r>
        <w:rPr>
          <w:rFonts w:ascii="Times New Roman" w:eastAsia="宋体" w:hAnsi="Times New Roman" w:cs="Times New Roman" w:hint="eastAsia"/>
          <w:b/>
          <w:bCs/>
          <w:color w:val="000000" w:themeColor="text1"/>
          <w:sz w:val="24"/>
          <w:szCs w:val="24"/>
        </w:rPr>
        <w:t xml:space="preserve"> </w:t>
      </w:r>
      <w:r>
        <w:rPr>
          <w:rFonts w:ascii="Times New Roman" w:eastAsia="宋体" w:hAnsi="Times New Roman" w:cs="Times New Roman" w:hint="eastAsia"/>
          <w:b/>
          <w:bCs/>
          <w:color w:val="000000" w:themeColor="text1"/>
          <w:sz w:val="24"/>
          <w:szCs w:val="24"/>
        </w:rPr>
        <w:t>降压药物的联合应用</w:t>
      </w:r>
      <w:bookmarkEnd w:id="24"/>
    </w:p>
    <w:p w:rsidR="002E5476" w:rsidRDefault="00B411DC">
      <w:pPr>
        <w:pStyle w:val="6"/>
        <w:numPr>
          <w:ilvl w:val="255"/>
          <w:numId w:val="0"/>
        </w:numPr>
        <w:spacing w:line="360" w:lineRule="auto"/>
        <w:ind w:firstLine="480"/>
        <w:rPr>
          <w:rFonts w:ascii="Times New Roman" w:eastAsia="宋体" w:hAnsi="Times New Roman" w:cs="Times New Roman"/>
          <w:b/>
          <w:bCs/>
          <w:color w:val="000000" w:themeColor="text1"/>
          <w:sz w:val="24"/>
          <w:szCs w:val="24"/>
        </w:rPr>
      </w:pPr>
      <w:r w:rsidRPr="00B411DC">
        <w:rPr>
          <w:rFonts w:ascii="Times New Roman" w:eastAsia="宋体" w:hAnsi="Times New Roman" w:cs="Times New Roman"/>
          <w:color w:val="000000" w:themeColor="text1"/>
          <w:sz w:val="24"/>
        </w:rPr>
        <w:pict>
          <v:roundrect id="_x0000_s2052" style="position:absolute;left:0;text-align:left;margin-left:12.6pt;margin-top:7.45pt;width:278.05pt;height:27.2pt;z-index:251662336;v-text-anchor:middle" arcsize="10923f" filled="f" strokecolor="#f79646" strokeweight="2pt">
            <v:textbox>
              <w:txbxContent>
                <w:p w:rsidR="00F47729" w:rsidRDefault="00F47729">
                  <w:pPr>
                    <w:jc w:val="left"/>
                  </w:pPr>
                  <w:r>
                    <w:rPr>
                      <w:rFonts w:hint="eastAsia"/>
                      <w:b/>
                      <w:bCs/>
                      <w:sz w:val="24"/>
                      <w:szCs w:val="24"/>
                    </w:rPr>
                    <w:t>推荐自由联合或单片复方制剂进行降压治疗。</w:t>
                  </w:r>
                </w:p>
              </w:txbxContent>
            </v:textbox>
          </v:roundrect>
        </w:pict>
      </w:r>
    </w:p>
    <w:p w:rsidR="002E5476" w:rsidRDefault="002E5476">
      <w:pPr>
        <w:pStyle w:val="6"/>
        <w:numPr>
          <w:ilvl w:val="255"/>
          <w:numId w:val="0"/>
        </w:numPr>
        <w:spacing w:line="360" w:lineRule="auto"/>
        <w:ind w:firstLine="480"/>
        <w:rPr>
          <w:rFonts w:ascii="Times New Roman" w:eastAsia="宋体" w:hAnsi="Times New Roman" w:cs="Times New Roman"/>
          <w:b/>
          <w:bCs/>
          <w:color w:val="000000" w:themeColor="text1"/>
          <w:sz w:val="24"/>
          <w:szCs w:val="24"/>
        </w:rPr>
      </w:pPr>
    </w:p>
    <w:p w:rsidR="002E5476" w:rsidRDefault="00423E71">
      <w:pPr>
        <w:pStyle w:val="6"/>
        <w:numPr>
          <w:ilvl w:val="255"/>
          <w:numId w:val="0"/>
        </w:numPr>
        <w:spacing w:line="360" w:lineRule="auto"/>
        <w:ind w:firstLineChars="200" w:firstLine="480"/>
        <w:jc w:val="left"/>
        <w:outlineLvl w:val="1"/>
        <w:rPr>
          <w:rFonts w:ascii="Times New Roman" w:eastAsia="宋体" w:hAnsi="Times New Roman" w:cs="Times New Roman"/>
          <w:color w:val="000000" w:themeColor="text1"/>
          <w:sz w:val="24"/>
          <w:szCs w:val="24"/>
        </w:rPr>
      </w:pPr>
      <w:r>
        <w:rPr>
          <w:rFonts w:ascii="Times New Roman" w:eastAsia="宋体" w:hAnsi="Times New Roman" w:cs="Times New Roman"/>
          <w:color w:val="000000" w:themeColor="text1"/>
          <w:sz w:val="24"/>
          <w:szCs w:val="24"/>
        </w:rPr>
        <w:t>CKD</w:t>
      </w:r>
      <w:r>
        <w:rPr>
          <w:rFonts w:ascii="Times New Roman" w:eastAsia="宋体" w:hAnsi="Times New Roman" w:cs="Times New Roman" w:hint="eastAsia"/>
          <w:color w:val="000000" w:themeColor="text1"/>
          <w:sz w:val="24"/>
          <w:szCs w:val="24"/>
        </w:rPr>
        <w:t>患者高血压的发生涉及多个发病机制，常常需要联合使用</w:t>
      </w:r>
      <w:r>
        <w:rPr>
          <w:rFonts w:ascii="Times New Roman" w:eastAsia="宋体" w:hAnsi="Times New Roman" w:cs="Times New Roman"/>
          <w:color w:val="000000" w:themeColor="text1"/>
          <w:sz w:val="24"/>
          <w:szCs w:val="24"/>
        </w:rPr>
        <w:t>2</w:t>
      </w:r>
      <w:r>
        <w:rPr>
          <w:rFonts w:ascii="Times New Roman" w:eastAsia="宋体" w:hAnsi="Times New Roman" w:cs="Times New Roman" w:hint="eastAsia"/>
          <w:color w:val="000000" w:themeColor="text1"/>
          <w:sz w:val="24"/>
          <w:szCs w:val="24"/>
        </w:rPr>
        <w:t>种或</w:t>
      </w:r>
      <w:r>
        <w:rPr>
          <w:rFonts w:ascii="Times New Roman" w:eastAsia="宋体" w:hAnsi="Times New Roman" w:cs="Times New Roman"/>
          <w:color w:val="000000" w:themeColor="text1"/>
          <w:sz w:val="24"/>
          <w:szCs w:val="24"/>
        </w:rPr>
        <w:t>2</w:t>
      </w:r>
      <w:r>
        <w:rPr>
          <w:rFonts w:ascii="Times New Roman" w:eastAsia="宋体" w:hAnsi="Times New Roman" w:cs="Times New Roman" w:hint="eastAsia"/>
          <w:color w:val="000000" w:themeColor="text1"/>
          <w:sz w:val="24"/>
          <w:szCs w:val="24"/>
        </w:rPr>
        <w:t>种以上降压药物。对血压≥</w:t>
      </w:r>
      <w:r>
        <w:rPr>
          <w:rFonts w:ascii="Times New Roman" w:eastAsia="宋体" w:hAnsi="Times New Roman" w:cs="Times New Roman"/>
          <w:color w:val="000000" w:themeColor="text1"/>
          <w:sz w:val="24"/>
          <w:szCs w:val="24"/>
        </w:rPr>
        <w:t>160/100 mmHg</w:t>
      </w:r>
      <w:r>
        <w:rPr>
          <w:rFonts w:ascii="Times New Roman" w:eastAsia="宋体" w:hAnsi="Times New Roman" w:cs="Times New Roman" w:hint="eastAsia"/>
          <w:color w:val="000000" w:themeColor="text1"/>
          <w:sz w:val="24"/>
          <w:szCs w:val="24"/>
        </w:rPr>
        <w:t>或高于目标血压</w:t>
      </w:r>
      <w:r>
        <w:rPr>
          <w:rFonts w:ascii="Times New Roman" w:eastAsia="宋体" w:hAnsi="Times New Roman" w:cs="Times New Roman"/>
          <w:color w:val="000000" w:themeColor="text1"/>
          <w:sz w:val="24"/>
          <w:szCs w:val="24"/>
        </w:rPr>
        <w:t>20/10 mmHg</w:t>
      </w:r>
      <w:r>
        <w:rPr>
          <w:rFonts w:ascii="Times New Roman" w:eastAsia="宋体" w:hAnsi="Times New Roman" w:cs="Times New Roman" w:hint="eastAsia"/>
          <w:color w:val="000000" w:themeColor="text1"/>
          <w:sz w:val="24"/>
          <w:szCs w:val="24"/>
        </w:rPr>
        <w:t>的高危人群，初始治疗即需要应用</w:t>
      </w:r>
      <w:r>
        <w:rPr>
          <w:rFonts w:ascii="Times New Roman" w:eastAsia="宋体" w:hAnsi="Times New Roman" w:cs="Times New Roman"/>
          <w:color w:val="000000" w:themeColor="text1"/>
          <w:sz w:val="24"/>
          <w:szCs w:val="24"/>
        </w:rPr>
        <w:t>2</w:t>
      </w:r>
      <w:r>
        <w:rPr>
          <w:rFonts w:ascii="Times New Roman" w:eastAsia="宋体" w:hAnsi="Times New Roman" w:cs="Times New Roman" w:hint="eastAsia"/>
          <w:color w:val="000000" w:themeColor="text1"/>
          <w:sz w:val="24"/>
          <w:szCs w:val="24"/>
        </w:rPr>
        <w:t>种降压药物。对于</w:t>
      </w:r>
      <w:r>
        <w:rPr>
          <w:rFonts w:ascii="Times New Roman" w:eastAsia="宋体" w:hAnsi="Times New Roman" w:cs="Times New Roman"/>
          <w:color w:val="000000" w:themeColor="text1"/>
          <w:sz w:val="24"/>
          <w:szCs w:val="24"/>
        </w:rPr>
        <w:t>CKD</w:t>
      </w:r>
      <w:r>
        <w:rPr>
          <w:rFonts w:ascii="Times New Roman" w:eastAsia="宋体" w:hAnsi="Times New Roman" w:cs="Times New Roman" w:hint="eastAsia"/>
          <w:color w:val="000000" w:themeColor="text1"/>
          <w:sz w:val="24"/>
          <w:szCs w:val="24"/>
        </w:rPr>
        <w:t>患者，初始治疗联用方案中应包含一种</w:t>
      </w:r>
      <w:r>
        <w:rPr>
          <w:rFonts w:ascii="Times New Roman" w:eastAsia="宋体" w:hAnsi="Times New Roman" w:cs="Times New Roman"/>
          <w:color w:val="000000" w:themeColor="text1"/>
          <w:sz w:val="24"/>
          <w:szCs w:val="24"/>
        </w:rPr>
        <w:t>ACEI/ARB</w:t>
      </w:r>
      <w:r>
        <w:rPr>
          <w:rFonts w:ascii="Times New Roman" w:eastAsia="宋体" w:hAnsi="Times New Roman" w:cs="Times New Roman" w:hint="eastAsia"/>
          <w:color w:val="000000" w:themeColor="text1"/>
          <w:sz w:val="24"/>
          <w:szCs w:val="24"/>
        </w:rPr>
        <w:t>，联用形式包括不同药物自由联合或单片复方制剂。单片复方制剂使用方便，可改善治疗的依从性及疗效，是联合治疗的新趋势，</w:t>
      </w:r>
      <w:r>
        <w:rPr>
          <w:rFonts w:ascii="Times New Roman" w:eastAsia="宋体" w:hAnsi="Times New Roman" w:cs="Times New Roman"/>
          <w:bCs/>
          <w:color w:val="000000" w:themeColor="text1"/>
          <w:sz w:val="24"/>
          <w:szCs w:val="24"/>
        </w:rPr>
        <w:t>2020 ISH</w:t>
      </w:r>
      <w:r>
        <w:rPr>
          <w:rFonts w:ascii="Times New Roman" w:eastAsia="宋体" w:hAnsi="Times New Roman" w:cs="Times New Roman" w:hint="eastAsia"/>
          <w:bCs/>
          <w:color w:val="000000" w:themeColor="text1"/>
          <w:sz w:val="24"/>
          <w:szCs w:val="24"/>
        </w:rPr>
        <w:t>指南</w:t>
      </w:r>
      <w:r>
        <w:rPr>
          <w:rFonts w:ascii="Times New Roman" w:eastAsia="宋体" w:hAnsi="Times New Roman" w:cs="Times New Roman"/>
          <w:bCs/>
          <w:color w:val="000000" w:themeColor="text1"/>
          <w:sz w:val="24"/>
          <w:szCs w:val="24"/>
          <w:vertAlign w:val="superscript"/>
        </w:rPr>
        <w:t>[14]</w:t>
      </w:r>
      <w:r>
        <w:rPr>
          <w:rFonts w:ascii="Times New Roman" w:eastAsia="宋体" w:hAnsi="Times New Roman" w:cs="Times New Roman" w:hint="eastAsia"/>
          <w:bCs/>
          <w:color w:val="000000" w:themeColor="text1"/>
          <w:sz w:val="24"/>
          <w:szCs w:val="24"/>
        </w:rPr>
        <w:t>中明确推荐</w:t>
      </w:r>
      <w:r>
        <w:rPr>
          <w:rFonts w:ascii="Times New Roman" w:eastAsia="宋体" w:hAnsi="Times New Roman" w:cs="Times New Roman" w:hint="eastAsia"/>
          <w:color w:val="000000" w:themeColor="text1"/>
          <w:sz w:val="24"/>
          <w:szCs w:val="24"/>
        </w:rPr>
        <w:t>单片复方制剂</w:t>
      </w:r>
      <w:r>
        <w:rPr>
          <w:rFonts w:ascii="Times New Roman" w:eastAsia="宋体" w:hAnsi="Times New Roman" w:cs="Times New Roman" w:hint="eastAsia"/>
          <w:bCs/>
          <w:color w:val="000000" w:themeColor="text1"/>
          <w:sz w:val="24"/>
          <w:szCs w:val="24"/>
        </w:rPr>
        <w:t>作为优先选择。</w:t>
      </w:r>
      <w:r>
        <w:rPr>
          <w:rFonts w:ascii="Times New Roman" w:eastAsia="宋体" w:hAnsi="Times New Roman" w:cs="Times New Roman"/>
          <w:bCs/>
          <w:color w:val="000000" w:themeColor="text1"/>
          <w:sz w:val="24"/>
          <w:szCs w:val="24"/>
        </w:rPr>
        <w:t>2018</w:t>
      </w:r>
      <w:r>
        <w:rPr>
          <w:rFonts w:ascii="Times New Roman" w:eastAsia="宋体" w:hAnsi="Times New Roman" w:cs="Times New Roman" w:hint="eastAsia"/>
          <w:bCs/>
          <w:color w:val="000000" w:themeColor="text1"/>
          <w:sz w:val="24"/>
          <w:szCs w:val="24"/>
        </w:rPr>
        <w:t>年</w:t>
      </w:r>
      <w:r>
        <w:rPr>
          <w:rFonts w:ascii="Times New Roman" w:eastAsia="宋体" w:hAnsi="Times New Roman" w:cs="Times New Roman"/>
          <w:bCs/>
          <w:color w:val="000000" w:themeColor="text1"/>
          <w:sz w:val="24"/>
          <w:szCs w:val="24"/>
        </w:rPr>
        <w:t>ESH/ESC</w:t>
      </w:r>
      <w:r>
        <w:rPr>
          <w:rFonts w:ascii="Times New Roman" w:eastAsia="宋体" w:hAnsi="Times New Roman" w:cs="Times New Roman" w:hint="eastAsia"/>
          <w:bCs/>
          <w:color w:val="000000" w:themeColor="text1"/>
          <w:sz w:val="24"/>
          <w:szCs w:val="24"/>
        </w:rPr>
        <w:t>指南</w:t>
      </w:r>
      <w:r w:rsidR="00B411DC">
        <w:rPr>
          <w:rFonts w:ascii="Times New Roman" w:eastAsia="宋体" w:hAnsi="Times New Roman" w:cs="Times New Roman"/>
          <w:bCs/>
          <w:color w:val="000000" w:themeColor="text1"/>
          <w:sz w:val="24"/>
          <w:szCs w:val="24"/>
        </w:rPr>
        <w:fldChar w:fldCharType="begin"/>
      </w:r>
      <w:r>
        <w:rPr>
          <w:rFonts w:ascii="Times New Roman" w:eastAsia="宋体" w:hAnsi="Times New Roman" w:cs="Times New Roman"/>
          <w:bCs/>
          <w:color w:val="000000" w:themeColor="text1"/>
          <w:sz w:val="24"/>
          <w:szCs w:val="24"/>
        </w:rPr>
        <w:instrText xml:space="preserve"> ADDIN NE.Ref.{561F5936-FB05-4E06-9249-440CEA537B19}</w:instrText>
      </w:r>
      <w:r w:rsidR="00B411DC">
        <w:rPr>
          <w:rFonts w:ascii="Times New Roman" w:eastAsia="宋体" w:hAnsi="Times New Roman" w:cs="Times New Roman"/>
          <w:bCs/>
          <w:color w:val="000000" w:themeColor="text1"/>
          <w:sz w:val="24"/>
          <w:szCs w:val="24"/>
        </w:rPr>
        <w:fldChar w:fldCharType="separate"/>
      </w:r>
      <w:r>
        <w:rPr>
          <w:rFonts w:ascii="Times New Roman" w:eastAsia="宋体" w:hAnsi="Times New Roman" w:cs="Times New Roman"/>
          <w:color w:val="000000" w:themeColor="text1"/>
          <w:kern w:val="0"/>
          <w:sz w:val="24"/>
          <w:szCs w:val="24"/>
          <w:vertAlign w:val="superscript"/>
        </w:rPr>
        <w:t>[11]</w:t>
      </w:r>
      <w:r w:rsidR="00B411DC">
        <w:rPr>
          <w:rFonts w:ascii="Times New Roman" w:eastAsia="宋体" w:hAnsi="Times New Roman" w:cs="Times New Roman"/>
          <w:bCs/>
          <w:color w:val="000000" w:themeColor="text1"/>
          <w:sz w:val="24"/>
          <w:szCs w:val="24"/>
        </w:rPr>
        <w:fldChar w:fldCharType="end"/>
      </w:r>
      <w:r>
        <w:rPr>
          <w:rFonts w:ascii="Times New Roman" w:eastAsia="宋体" w:hAnsi="Times New Roman" w:cs="Times New Roman" w:hint="eastAsia"/>
          <w:bCs/>
          <w:color w:val="000000" w:themeColor="text1"/>
          <w:sz w:val="24"/>
          <w:szCs w:val="24"/>
        </w:rPr>
        <w:t>推荐</w:t>
      </w:r>
      <w:r>
        <w:rPr>
          <w:rFonts w:ascii="Times New Roman" w:eastAsia="宋体" w:hAnsi="Times New Roman" w:cs="Times New Roman" w:hint="eastAsia"/>
          <w:color w:val="000000" w:themeColor="text1"/>
          <w:sz w:val="24"/>
          <w:szCs w:val="24"/>
        </w:rPr>
        <w:t>单片复方制剂</w:t>
      </w:r>
      <w:r>
        <w:rPr>
          <w:rFonts w:ascii="Times New Roman" w:eastAsia="宋体" w:hAnsi="Times New Roman" w:cs="Times New Roman" w:hint="eastAsia"/>
          <w:bCs/>
          <w:color w:val="000000" w:themeColor="text1"/>
          <w:sz w:val="24"/>
          <w:szCs w:val="24"/>
        </w:rPr>
        <w:t>作为大多数高血压患者起始治疗的选择。</w:t>
      </w:r>
      <w:r>
        <w:rPr>
          <w:rFonts w:ascii="Times New Roman" w:eastAsia="宋体" w:hAnsi="Times New Roman" w:cs="Times New Roman" w:hint="eastAsia"/>
          <w:color w:val="000000" w:themeColor="text1"/>
          <w:sz w:val="24"/>
          <w:szCs w:val="24"/>
        </w:rPr>
        <w:t>联合用药时应选择不同降压作用机制的药物，联用后具有叠加的降压作用，同时又可互相抵消或减轻不良反应。两药联合降压治疗方案包括</w:t>
      </w:r>
      <w:r>
        <w:rPr>
          <w:rFonts w:ascii="Times New Roman" w:eastAsia="宋体" w:hAnsi="Times New Roman" w:cs="Times New Roman"/>
          <w:color w:val="000000" w:themeColor="text1"/>
          <w:sz w:val="24"/>
          <w:szCs w:val="24"/>
        </w:rPr>
        <w:t>ACEI</w:t>
      </w:r>
      <w:r>
        <w:rPr>
          <w:rFonts w:ascii="Times New Roman" w:eastAsia="宋体" w:hAnsi="Times New Roman" w:cs="Times New Roman" w:hint="eastAsia"/>
          <w:color w:val="000000" w:themeColor="text1"/>
          <w:sz w:val="24"/>
          <w:szCs w:val="24"/>
        </w:rPr>
        <w:t>或</w:t>
      </w:r>
      <w:r>
        <w:rPr>
          <w:rFonts w:ascii="Times New Roman" w:eastAsia="宋体" w:hAnsi="Times New Roman" w:cs="Times New Roman"/>
          <w:color w:val="000000" w:themeColor="text1"/>
          <w:sz w:val="24"/>
          <w:szCs w:val="24"/>
        </w:rPr>
        <w:t>ARB</w:t>
      </w:r>
      <w:r>
        <w:rPr>
          <w:rFonts w:ascii="Times New Roman" w:eastAsia="宋体" w:hAnsi="Times New Roman" w:cs="Times New Roman" w:hint="eastAsia"/>
          <w:color w:val="000000" w:themeColor="text1"/>
          <w:sz w:val="24"/>
          <w:szCs w:val="24"/>
        </w:rPr>
        <w:t>＋二氢吡啶类</w:t>
      </w:r>
      <w:r>
        <w:rPr>
          <w:rFonts w:ascii="Times New Roman" w:eastAsia="宋体" w:hAnsi="Times New Roman" w:cs="Times New Roman"/>
          <w:color w:val="000000" w:themeColor="text1"/>
          <w:sz w:val="24"/>
          <w:szCs w:val="24"/>
        </w:rPr>
        <w:t>CCB</w:t>
      </w:r>
      <w:r>
        <w:rPr>
          <w:rFonts w:ascii="Times New Roman" w:eastAsia="宋体" w:hAnsi="Times New Roman" w:cs="Times New Roman" w:hint="eastAsia"/>
          <w:color w:val="000000" w:themeColor="text1"/>
          <w:sz w:val="24"/>
          <w:szCs w:val="24"/>
        </w:rPr>
        <w:t>（</w:t>
      </w:r>
      <w:r>
        <w:rPr>
          <w:rFonts w:ascii="Times New Roman" w:eastAsia="宋体" w:hAnsi="Times New Roman" w:cs="Times New Roman"/>
          <w:color w:val="000000" w:themeColor="text1"/>
          <w:sz w:val="24"/>
          <w:szCs w:val="24"/>
        </w:rPr>
        <w:t>A+C</w:t>
      </w:r>
      <w:r>
        <w:rPr>
          <w:rFonts w:ascii="Times New Roman" w:eastAsia="宋体" w:hAnsi="Times New Roman" w:cs="Times New Roman" w:hint="eastAsia"/>
          <w:color w:val="000000" w:themeColor="text1"/>
          <w:sz w:val="24"/>
          <w:szCs w:val="24"/>
        </w:rPr>
        <w:t>）、</w:t>
      </w:r>
      <w:r>
        <w:rPr>
          <w:rFonts w:ascii="Times New Roman" w:eastAsia="宋体" w:hAnsi="Times New Roman" w:cs="Times New Roman"/>
          <w:color w:val="000000" w:themeColor="text1"/>
          <w:sz w:val="24"/>
          <w:szCs w:val="24"/>
        </w:rPr>
        <w:t>ACEI</w:t>
      </w:r>
      <w:r>
        <w:rPr>
          <w:rFonts w:ascii="Times New Roman" w:eastAsia="宋体" w:hAnsi="Times New Roman" w:cs="Times New Roman" w:hint="eastAsia"/>
          <w:color w:val="000000" w:themeColor="text1"/>
          <w:sz w:val="24"/>
          <w:szCs w:val="24"/>
        </w:rPr>
        <w:t>或</w:t>
      </w:r>
      <w:r>
        <w:rPr>
          <w:rFonts w:ascii="Times New Roman" w:eastAsia="宋体" w:hAnsi="Times New Roman" w:cs="Times New Roman"/>
          <w:color w:val="000000" w:themeColor="text1"/>
          <w:sz w:val="24"/>
          <w:szCs w:val="24"/>
        </w:rPr>
        <w:t>ARB</w:t>
      </w:r>
      <w:r>
        <w:rPr>
          <w:rFonts w:ascii="Times New Roman" w:eastAsia="宋体" w:hAnsi="Times New Roman" w:cs="Times New Roman" w:hint="eastAsia"/>
          <w:color w:val="000000" w:themeColor="text1"/>
          <w:sz w:val="24"/>
          <w:szCs w:val="24"/>
        </w:rPr>
        <w:t>＋利尿剂（</w:t>
      </w:r>
      <w:r>
        <w:rPr>
          <w:rFonts w:ascii="Times New Roman" w:eastAsia="宋体" w:hAnsi="Times New Roman" w:cs="Times New Roman"/>
          <w:color w:val="000000" w:themeColor="text1"/>
          <w:sz w:val="24"/>
          <w:szCs w:val="24"/>
        </w:rPr>
        <w:t>A+D</w:t>
      </w:r>
      <w:r>
        <w:rPr>
          <w:rFonts w:ascii="Times New Roman" w:eastAsia="宋体" w:hAnsi="Times New Roman" w:cs="Times New Roman" w:hint="eastAsia"/>
          <w:color w:val="000000" w:themeColor="text1"/>
          <w:sz w:val="24"/>
          <w:szCs w:val="24"/>
        </w:rPr>
        <w:t>）。</w:t>
      </w:r>
      <w:r>
        <w:rPr>
          <w:rFonts w:ascii="Times New Roman" w:eastAsia="宋体" w:hAnsi="Times New Roman" w:cs="Times New Roman"/>
          <w:color w:val="000000" w:themeColor="text1"/>
          <w:sz w:val="24"/>
          <w:szCs w:val="24"/>
        </w:rPr>
        <w:t>ACEI</w:t>
      </w:r>
      <w:r>
        <w:rPr>
          <w:rFonts w:ascii="Times New Roman" w:eastAsia="宋体" w:hAnsi="Times New Roman" w:cs="Times New Roman" w:hint="eastAsia"/>
          <w:color w:val="000000" w:themeColor="text1"/>
          <w:sz w:val="24"/>
          <w:szCs w:val="24"/>
        </w:rPr>
        <w:t>或</w:t>
      </w:r>
      <w:r>
        <w:rPr>
          <w:rFonts w:ascii="Times New Roman" w:eastAsia="宋体" w:hAnsi="Times New Roman" w:cs="Times New Roman"/>
          <w:color w:val="000000" w:themeColor="text1"/>
          <w:sz w:val="24"/>
          <w:szCs w:val="24"/>
        </w:rPr>
        <w:t>ARB</w:t>
      </w:r>
      <w:r>
        <w:rPr>
          <w:rFonts w:ascii="Times New Roman" w:eastAsia="宋体" w:hAnsi="Times New Roman" w:cs="Times New Roman" w:hint="eastAsia"/>
          <w:color w:val="000000" w:themeColor="text1"/>
          <w:sz w:val="24"/>
          <w:szCs w:val="24"/>
        </w:rPr>
        <w:t>可抑制二氢吡啶类</w:t>
      </w:r>
      <w:r>
        <w:rPr>
          <w:rFonts w:ascii="Times New Roman" w:eastAsia="宋体" w:hAnsi="Times New Roman" w:cs="Times New Roman"/>
          <w:color w:val="000000" w:themeColor="text1"/>
          <w:sz w:val="24"/>
          <w:szCs w:val="24"/>
        </w:rPr>
        <w:t>CCB</w:t>
      </w:r>
      <w:r>
        <w:rPr>
          <w:rFonts w:ascii="Times New Roman" w:eastAsia="宋体" w:hAnsi="Times New Roman" w:cs="Times New Roman" w:hint="eastAsia"/>
          <w:color w:val="000000" w:themeColor="text1"/>
          <w:sz w:val="24"/>
          <w:szCs w:val="24"/>
        </w:rPr>
        <w:t>引起的</w:t>
      </w:r>
      <w:r>
        <w:rPr>
          <w:rFonts w:ascii="Times New Roman" w:eastAsia="宋体" w:hAnsi="Times New Roman" w:cs="Times New Roman"/>
          <w:color w:val="000000" w:themeColor="text1"/>
          <w:sz w:val="24"/>
          <w:szCs w:val="24"/>
        </w:rPr>
        <w:t>RAAS</w:t>
      </w:r>
      <w:r>
        <w:rPr>
          <w:rFonts w:ascii="Times New Roman" w:eastAsia="宋体" w:hAnsi="Times New Roman" w:cs="Times New Roman" w:hint="eastAsia"/>
          <w:color w:val="000000" w:themeColor="text1"/>
          <w:sz w:val="24"/>
          <w:szCs w:val="24"/>
        </w:rPr>
        <w:lastRenderedPageBreak/>
        <w:t>激活和下肢水肿等不良反应，二者联合降压效果增强，不良反应减少。</w:t>
      </w:r>
      <w:r>
        <w:rPr>
          <w:rFonts w:ascii="Times New Roman" w:eastAsia="宋体" w:hAnsi="Times New Roman" w:cs="Times New Roman"/>
          <w:color w:val="000000" w:themeColor="text1"/>
          <w:sz w:val="24"/>
          <w:szCs w:val="24"/>
        </w:rPr>
        <w:t>ACEI</w:t>
      </w:r>
      <w:r>
        <w:rPr>
          <w:rFonts w:ascii="Times New Roman" w:eastAsia="宋体" w:hAnsi="Times New Roman" w:cs="Times New Roman" w:hint="eastAsia"/>
          <w:color w:val="000000" w:themeColor="text1"/>
          <w:sz w:val="24"/>
          <w:szCs w:val="24"/>
        </w:rPr>
        <w:t>或</w:t>
      </w:r>
      <w:r>
        <w:rPr>
          <w:rFonts w:ascii="Times New Roman" w:eastAsia="宋体" w:hAnsi="Times New Roman" w:cs="Times New Roman"/>
          <w:color w:val="000000" w:themeColor="text1"/>
          <w:sz w:val="24"/>
          <w:szCs w:val="24"/>
        </w:rPr>
        <w:t>ARB</w:t>
      </w:r>
      <w:r>
        <w:rPr>
          <w:rFonts w:ascii="Times New Roman" w:eastAsia="宋体" w:hAnsi="Times New Roman" w:cs="Times New Roman" w:hint="eastAsia"/>
          <w:color w:val="000000" w:themeColor="text1"/>
          <w:sz w:val="24"/>
          <w:szCs w:val="24"/>
        </w:rPr>
        <w:t>＋利尿剂有利于控制血压和减少高钾血症等不良反应，是各国高血压指南推荐的联合方案，而当</w:t>
      </w:r>
      <w:r>
        <w:rPr>
          <w:rFonts w:ascii="Times New Roman" w:eastAsia="宋体" w:hAnsi="Times New Roman" w:cs="Times New Roman"/>
          <w:color w:val="000000" w:themeColor="text1"/>
          <w:sz w:val="24"/>
          <w:szCs w:val="24"/>
        </w:rPr>
        <w:t>eGFR</w:t>
      </w:r>
      <w:r>
        <w:rPr>
          <w:rFonts w:ascii="Times New Roman" w:eastAsia="宋体" w:hAnsi="Times New Roman" w:cs="Times New Roman" w:hint="eastAsia"/>
          <w:color w:val="000000" w:themeColor="text1"/>
          <w:sz w:val="24"/>
          <w:szCs w:val="24"/>
        </w:rPr>
        <w:t>＜</w:t>
      </w:r>
      <w:r>
        <w:rPr>
          <w:rFonts w:ascii="Times New Roman" w:eastAsia="宋体" w:hAnsi="Times New Roman" w:cs="Times New Roman"/>
          <w:color w:val="000000" w:themeColor="text1"/>
          <w:sz w:val="24"/>
          <w:szCs w:val="24"/>
        </w:rPr>
        <w:t xml:space="preserve">30 </w:t>
      </w:r>
      <w:r>
        <w:rPr>
          <w:rFonts w:ascii="Times New Roman" w:eastAsia="宋体" w:hAnsi="Times New Roman" w:cs="Times New Roman"/>
          <w:color w:val="000000" w:themeColor="text1"/>
          <w:sz w:val="24"/>
        </w:rPr>
        <w:t>ml</w:t>
      </w:r>
      <w:r>
        <w:rPr>
          <w:rFonts w:ascii="Times New Roman" w:eastAsia="宋体" w:hAnsi="Times New Roman" w:cs="Times New Roman" w:hint="eastAsia"/>
          <w:color w:val="000000" w:themeColor="text1"/>
          <w:sz w:val="24"/>
        </w:rPr>
        <w:t>·</w:t>
      </w:r>
      <w:r>
        <w:rPr>
          <w:rFonts w:ascii="Times New Roman" w:eastAsia="宋体" w:hAnsi="Times New Roman" w:cs="Times New Roman"/>
          <w:color w:val="000000" w:themeColor="text1"/>
          <w:sz w:val="24"/>
        </w:rPr>
        <w:t>min</w:t>
      </w:r>
      <w:r>
        <w:rPr>
          <w:rFonts w:ascii="Times New Roman" w:eastAsia="宋体" w:hAnsi="Times New Roman" w:cs="Times New Roman"/>
          <w:color w:val="000000" w:themeColor="text1"/>
          <w:sz w:val="24"/>
          <w:vertAlign w:val="superscript"/>
        </w:rPr>
        <w:t>-1</w:t>
      </w:r>
      <w:r>
        <w:rPr>
          <w:rFonts w:ascii="Times New Roman" w:eastAsia="宋体" w:hAnsi="Times New Roman" w:cs="Times New Roman" w:hint="eastAsia"/>
          <w:color w:val="000000" w:themeColor="text1"/>
          <w:sz w:val="24"/>
        </w:rPr>
        <w:t>·</w:t>
      </w:r>
      <w:r>
        <w:rPr>
          <w:rFonts w:ascii="Times New Roman" w:eastAsia="宋体" w:hAnsi="Times New Roman" w:cs="Times New Roman"/>
          <w:color w:val="000000" w:themeColor="text1"/>
          <w:sz w:val="24"/>
        </w:rPr>
        <w:t>(1.73 m</w:t>
      </w:r>
      <w:r>
        <w:rPr>
          <w:rFonts w:ascii="Times New Roman" w:eastAsia="宋体" w:hAnsi="Times New Roman" w:cs="Times New Roman"/>
          <w:color w:val="000000" w:themeColor="text1"/>
          <w:sz w:val="24"/>
          <w:vertAlign w:val="superscript"/>
        </w:rPr>
        <w:t>2</w:t>
      </w:r>
      <w:r>
        <w:rPr>
          <w:rFonts w:ascii="Times New Roman" w:eastAsia="宋体" w:hAnsi="Times New Roman" w:cs="Times New Roman"/>
          <w:color w:val="000000" w:themeColor="text1"/>
          <w:sz w:val="24"/>
        </w:rPr>
        <w:t>)</w:t>
      </w:r>
      <w:r>
        <w:rPr>
          <w:rFonts w:ascii="Times New Roman" w:eastAsia="宋体" w:hAnsi="Times New Roman" w:cs="Times New Roman"/>
          <w:color w:val="000000" w:themeColor="text1"/>
          <w:sz w:val="24"/>
          <w:vertAlign w:val="superscript"/>
        </w:rPr>
        <w:t>-1</w:t>
      </w:r>
      <w:r>
        <w:rPr>
          <w:rFonts w:ascii="Times New Roman" w:eastAsia="宋体" w:hAnsi="Times New Roman" w:cs="Times New Roman" w:hint="eastAsia"/>
          <w:color w:val="000000" w:themeColor="text1"/>
          <w:sz w:val="24"/>
          <w:szCs w:val="24"/>
        </w:rPr>
        <w:t>时，采用袢利尿剂取代噻嗪类利尿剂</w:t>
      </w:r>
      <w:r w:rsidR="00B411DC">
        <w:rPr>
          <w:rFonts w:ascii="Times New Roman" w:eastAsia="宋体" w:hAnsi="Times New Roman" w:cs="Times New Roman"/>
          <w:color w:val="000000" w:themeColor="text1"/>
          <w:sz w:val="24"/>
          <w:szCs w:val="24"/>
        </w:rPr>
        <w:fldChar w:fldCharType="begin"/>
      </w:r>
      <w:r>
        <w:rPr>
          <w:rFonts w:ascii="Times New Roman" w:eastAsia="宋体" w:hAnsi="Times New Roman" w:cs="Times New Roman"/>
          <w:color w:val="000000" w:themeColor="text1"/>
          <w:sz w:val="24"/>
          <w:szCs w:val="24"/>
        </w:rPr>
        <w:instrText xml:space="preserve"> ADDIN NE.Ref.{3F217841-E3F6-4755-8C28-B6A06FEA1E4B}</w:instrText>
      </w:r>
      <w:r w:rsidR="00B411DC">
        <w:rPr>
          <w:rFonts w:ascii="Times New Roman" w:eastAsia="宋体" w:hAnsi="Times New Roman" w:cs="Times New Roman"/>
          <w:color w:val="000000" w:themeColor="text1"/>
          <w:sz w:val="24"/>
          <w:szCs w:val="24"/>
        </w:rPr>
        <w:fldChar w:fldCharType="separate"/>
      </w:r>
      <w:r>
        <w:rPr>
          <w:rFonts w:ascii="Times New Roman" w:eastAsia="宋体" w:hAnsi="Times New Roman" w:cs="Times New Roman"/>
          <w:color w:val="000000" w:themeColor="text1"/>
          <w:kern w:val="0"/>
          <w:sz w:val="24"/>
          <w:szCs w:val="24"/>
          <w:vertAlign w:val="superscript"/>
        </w:rPr>
        <w:t>[7, 52]</w:t>
      </w:r>
      <w:r w:rsidR="00B411DC">
        <w:rPr>
          <w:rFonts w:ascii="Times New Roman" w:eastAsia="宋体" w:hAnsi="Times New Roman" w:cs="Times New Roman"/>
          <w:color w:val="000000" w:themeColor="text1"/>
          <w:sz w:val="24"/>
          <w:szCs w:val="24"/>
        </w:rPr>
        <w:fldChar w:fldCharType="end"/>
      </w:r>
      <w:r>
        <w:rPr>
          <w:rFonts w:ascii="Times New Roman" w:eastAsia="宋体" w:hAnsi="Times New Roman" w:cs="Times New Roman" w:hint="eastAsia"/>
          <w:color w:val="000000" w:themeColor="text1"/>
          <w:sz w:val="24"/>
          <w:szCs w:val="24"/>
        </w:rPr>
        <w:t>。二氢吡啶类</w:t>
      </w:r>
      <w:r>
        <w:rPr>
          <w:rFonts w:ascii="Times New Roman" w:eastAsia="宋体" w:hAnsi="Times New Roman" w:cs="Times New Roman"/>
          <w:color w:val="000000" w:themeColor="text1"/>
          <w:sz w:val="24"/>
          <w:szCs w:val="24"/>
        </w:rPr>
        <w:t>CCB</w:t>
      </w:r>
      <w:r>
        <w:rPr>
          <w:rFonts w:ascii="Times New Roman" w:eastAsia="宋体" w:hAnsi="Times New Roman" w:cs="Times New Roman" w:hint="eastAsia"/>
          <w:color w:val="000000" w:themeColor="text1"/>
          <w:sz w:val="24"/>
          <w:szCs w:val="24"/>
        </w:rPr>
        <w:t>可引起液体潴留，利尿剂可减轻</w:t>
      </w:r>
      <w:r>
        <w:rPr>
          <w:rFonts w:ascii="Times New Roman" w:eastAsia="宋体" w:hAnsi="Times New Roman" w:cs="Times New Roman"/>
          <w:color w:val="000000" w:themeColor="text1"/>
          <w:sz w:val="24"/>
          <w:szCs w:val="24"/>
        </w:rPr>
        <w:t>CCB</w:t>
      </w:r>
      <w:r>
        <w:rPr>
          <w:rFonts w:ascii="Times New Roman" w:eastAsia="宋体" w:hAnsi="Times New Roman" w:cs="Times New Roman" w:hint="eastAsia"/>
          <w:color w:val="000000" w:themeColor="text1"/>
          <w:sz w:val="24"/>
          <w:szCs w:val="24"/>
        </w:rPr>
        <w:t>带来的水钠潴留，二者联用更有利于</w:t>
      </w:r>
      <w:r>
        <w:rPr>
          <w:rFonts w:ascii="Times New Roman" w:eastAsia="宋体" w:hAnsi="Times New Roman" w:cs="Times New Roman"/>
          <w:color w:val="000000" w:themeColor="text1"/>
          <w:sz w:val="24"/>
          <w:szCs w:val="24"/>
        </w:rPr>
        <w:t>CKD</w:t>
      </w:r>
      <w:r>
        <w:rPr>
          <w:rFonts w:ascii="Times New Roman" w:eastAsia="宋体" w:hAnsi="Times New Roman" w:cs="Times New Roman" w:hint="eastAsia"/>
          <w:color w:val="000000" w:themeColor="text1"/>
          <w:sz w:val="24"/>
          <w:szCs w:val="24"/>
        </w:rPr>
        <w:t>患者的血压控制和减少不良反应。</w:t>
      </w:r>
      <w:r>
        <w:rPr>
          <w:rFonts w:ascii="Times New Roman" w:eastAsia="宋体" w:hAnsi="Times New Roman" w:cs="Times New Roman" w:hint="eastAsia"/>
          <w:bCs/>
          <w:color w:val="000000" w:themeColor="text1"/>
          <w:sz w:val="24"/>
          <w:szCs w:val="24"/>
        </w:rPr>
        <w:t>关于联合用药方案，</w:t>
      </w:r>
      <w:r>
        <w:rPr>
          <w:rFonts w:ascii="Times New Roman" w:eastAsia="宋体" w:hAnsi="Times New Roman" w:cs="Times New Roman"/>
          <w:bCs/>
          <w:color w:val="000000" w:themeColor="text1"/>
          <w:sz w:val="24"/>
          <w:szCs w:val="24"/>
        </w:rPr>
        <w:t>ISH</w:t>
      </w:r>
      <w:r>
        <w:rPr>
          <w:rFonts w:ascii="Times New Roman" w:eastAsia="宋体" w:hAnsi="Times New Roman" w:cs="Times New Roman" w:hint="eastAsia"/>
          <w:bCs/>
          <w:color w:val="000000" w:themeColor="text1"/>
          <w:sz w:val="24"/>
          <w:szCs w:val="24"/>
        </w:rPr>
        <w:t>指南</w:t>
      </w:r>
      <w:r>
        <w:rPr>
          <w:rFonts w:ascii="Times New Roman" w:eastAsia="宋体" w:hAnsi="Times New Roman" w:cs="Times New Roman"/>
          <w:bCs/>
          <w:color w:val="000000" w:themeColor="text1"/>
          <w:sz w:val="24"/>
          <w:szCs w:val="24"/>
          <w:vertAlign w:val="superscript"/>
        </w:rPr>
        <w:t>[14]</w:t>
      </w:r>
      <w:r>
        <w:rPr>
          <w:rFonts w:ascii="Times New Roman" w:eastAsia="宋体" w:hAnsi="Times New Roman" w:cs="Times New Roman" w:hint="eastAsia"/>
          <w:bCs/>
          <w:color w:val="000000" w:themeColor="text1"/>
          <w:sz w:val="24"/>
          <w:szCs w:val="24"/>
        </w:rPr>
        <w:t>推荐第</w:t>
      </w:r>
      <w:r>
        <w:rPr>
          <w:rFonts w:ascii="Times New Roman" w:eastAsia="宋体" w:hAnsi="Times New Roman" w:cs="Times New Roman"/>
          <w:bCs/>
          <w:color w:val="000000" w:themeColor="text1"/>
          <w:sz w:val="24"/>
          <w:szCs w:val="24"/>
        </w:rPr>
        <w:t>1</w:t>
      </w:r>
      <w:r>
        <w:rPr>
          <w:rFonts w:ascii="Times New Roman" w:eastAsia="宋体" w:hAnsi="Times New Roman" w:cs="Times New Roman" w:hint="eastAsia"/>
          <w:bCs/>
          <w:color w:val="000000" w:themeColor="text1"/>
          <w:sz w:val="24"/>
          <w:szCs w:val="24"/>
        </w:rPr>
        <w:t>步优先选择</w:t>
      </w:r>
      <w:r>
        <w:rPr>
          <w:rFonts w:ascii="Times New Roman" w:eastAsia="宋体" w:hAnsi="Times New Roman" w:cs="Times New Roman"/>
          <w:bCs/>
          <w:color w:val="000000" w:themeColor="text1"/>
          <w:sz w:val="24"/>
          <w:szCs w:val="24"/>
        </w:rPr>
        <w:t>A+C</w:t>
      </w:r>
      <w:r>
        <w:rPr>
          <w:rFonts w:ascii="Times New Roman" w:eastAsia="宋体" w:hAnsi="Times New Roman" w:cs="Times New Roman" w:hint="eastAsia"/>
          <w:bCs/>
          <w:color w:val="000000" w:themeColor="text1"/>
          <w:sz w:val="24"/>
          <w:szCs w:val="24"/>
        </w:rPr>
        <w:t>，并没有包括</w:t>
      </w:r>
      <w:r>
        <w:rPr>
          <w:rFonts w:ascii="Times New Roman" w:eastAsia="宋体" w:hAnsi="Times New Roman" w:cs="Times New Roman"/>
          <w:bCs/>
          <w:color w:val="000000" w:themeColor="text1"/>
          <w:sz w:val="24"/>
          <w:szCs w:val="24"/>
        </w:rPr>
        <w:t>A+D</w:t>
      </w:r>
      <w:r>
        <w:rPr>
          <w:rFonts w:ascii="Times New Roman" w:eastAsia="宋体" w:hAnsi="Times New Roman" w:cs="Times New Roman" w:hint="eastAsia"/>
          <w:bCs/>
          <w:color w:val="000000" w:themeColor="text1"/>
          <w:sz w:val="24"/>
          <w:szCs w:val="24"/>
        </w:rPr>
        <w:t>；</w:t>
      </w:r>
      <w:r>
        <w:rPr>
          <w:rFonts w:ascii="Times New Roman" w:eastAsia="宋体" w:hAnsi="Times New Roman" w:cs="Times New Roman"/>
          <w:bCs/>
          <w:color w:val="000000" w:themeColor="text1"/>
          <w:sz w:val="24"/>
          <w:szCs w:val="24"/>
        </w:rPr>
        <w:t>ISH</w:t>
      </w:r>
      <w:r>
        <w:rPr>
          <w:rFonts w:ascii="Times New Roman" w:eastAsia="宋体" w:hAnsi="Times New Roman" w:cs="Times New Roman" w:hint="eastAsia"/>
          <w:bCs/>
          <w:color w:val="000000" w:themeColor="text1"/>
          <w:sz w:val="24"/>
          <w:szCs w:val="24"/>
        </w:rPr>
        <w:t>指南</w:t>
      </w:r>
      <w:r>
        <w:rPr>
          <w:rFonts w:ascii="Times New Roman" w:eastAsia="宋体" w:hAnsi="Times New Roman" w:cs="Times New Roman"/>
          <w:bCs/>
          <w:color w:val="000000" w:themeColor="text1"/>
          <w:sz w:val="24"/>
          <w:szCs w:val="24"/>
          <w:vertAlign w:val="superscript"/>
        </w:rPr>
        <w:t>[13]</w:t>
      </w:r>
      <w:r>
        <w:rPr>
          <w:rFonts w:ascii="Times New Roman" w:eastAsia="宋体" w:hAnsi="Times New Roman" w:cs="Times New Roman" w:hint="eastAsia"/>
          <w:bCs/>
          <w:color w:val="000000" w:themeColor="text1"/>
          <w:sz w:val="24"/>
          <w:szCs w:val="24"/>
        </w:rPr>
        <w:t>在针对亚洲人群的建议中指出，东亚高血压患者对盐敏感并伴有轻度肥胖的可能性更大，与西方人群相比，东亚人更容易患脑卒中和非缺血性心力衰竭。对于盐敏感性高血压以及高盐摄入、超重</w:t>
      </w:r>
      <w:r>
        <w:rPr>
          <w:rFonts w:ascii="Times New Roman" w:eastAsia="宋体" w:hAnsi="Times New Roman" w:cs="Times New Roman"/>
          <w:bCs/>
          <w:color w:val="000000" w:themeColor="text1"/>
          <w:sz w:val="24"/>
          <w:szCs w:val="24"/>
        </w:rPr>
        <w:t>/</w:t>
      </w:r>
      <w:r>
        <w:rPr>
          <w:rFonts w:ascii="Times New Roman" w:eastAsia="宋体" w:hAnsi="Times New Roman" w:cs="Times New Roman" w:hint="eastAsia"/>
          <w:bCs/>
          <w:color w:val="000000" w:themeColor="text1"/>
          <w:sz w:val="24"/>
          <w:szCs w:val="24"/>
        </w:rPr>
        <w:t>轻度肥胖、心力衰竭患者，利尿剂通过其独特的排钠、利尿、减重和降低容量负荷的机制发挥重要的作用，包含利尿剂的</w:t>
      </w:r>
      <w:r>
        <w:rPr>
          <w:rFonts w:ascii="Times New Roman" w:eastAsia="宋体" w:hAnsi="Times New Roman" w:cs="Times New Roman"/>
          <w:bCs/>
          <w:color w:val="000000" w:themeColor="text1"/>
          <w:sz w:val="24"/>
          <w:szCs w:val="24"/>
        </w:rPr>
        <w:t>A+D</w:t>
      </w:r>
      <w:r>
        <w:rPr>
          <w:rFonts w:ascii="Times New Roman" w:eastAsia="宋体" w:hAnsi="Times New Roman" w:cs="Times New Roman" w:hint="eastAsia"/>
          <w:bCs/>
          <w:color w:val="000000" w:themeColor="text1"/>
          <w:sz w:val="24"/>
          <w:szCs w:val="24"/>
        </w:rPr>
        <w:t>联合方案符合中国高血压人群特点，这与欧美指南以及中国指南把</w:t>
      </w:r>
      <w:r>
        <w:rPr>
          <w:rFonts w:ascii="Times New Roman" w:eastAsia="宋体" w:hAnsi="Times New Roman" w:cs="Times New Roman"/>
          <w:bCs/>
          <w:color w:val="000000" w:themeColor="text1"/>
          <w:sz w:val="24"/>
          <w:szCs w:val="24"/>
        </w:rPr>
        <w:t>A+C</w:t>
      </w:r>
      <w:r>
        <w:rPr>
          <w:rFonts w:ascii="Times New Roman" w:eastAsia="宋体" w:hAnsi="Times New Roman" w:cs="Times New Roman" w:hint="eastAsia"/>
          <w:bCs/>
          <w:color w:val="000000" w:themeColor="text1"/>
          <w:sz w:val="24"/>
          <w:szCs w:val="24"/>
        </w:rPr>
        <w:t>和</w:t>
      </w:r>
      <w:r>
        <w:rPr>
          <w:rFonts w:ascii="Times New Roman" w:eastAsia="宋体" w:hAnsi="Times New Roman" w:cs="Times New Roman"/>
          <w:bCs/>
          <w:color w:val="000000" w:themeColor="text1"/>
          <w:sz w:val="24"/>
          <w:szCs w:val="24"/>
        </w:rPr>
        <w:t>A+D</w:t>
      </w:r>
      <w:r>
        <w:rPr>
          <w:rFonts w:ascii="Times New Roman" w:eastAsia="宋体" w:hAnsi="Times New Roman" w:cs="Times New Roman" w:hint="eastAsia"/>
          <w:bCs/>
          <w:color w:val="000000" w:themeColor="text1"/>
          <w:sz w:val="24"/>
          <w:szCs w:val="24"/>
        </w:rPr>
        <w:t>都作为优化联合用药方案推荐有所不同</w:t>
      </w:r>
      <w:r>
        <w:rPr>
          <w:rFonts w:ascii="Times New Roman" w:eastAsia="宋体" w:hAnsi="Times New Roman" w:cs="Times New Roman"/>
          <w:color w:val="000000" w:themeColor="text1"/>
          <w:kern w:val="0"/>
          <w:sz w:val="24"/>
          <w:szCs w:val="24"/>
          <w:vertAlign w:val="superscript"/>
        </w:rPr>
        <w:t>[10-12]</w:t>
      </w:r>
      <w:r>
        <w:rPr>
          <w:rFonts w:ascii="Times New Roman" w:eastAsia="宋体" w:hAnsi="Times New Roman" w:cs="Times New Roman" w:hint="eastAsia"/>
          <w:bCs/>
          <w:color w:val="000000" w:themeColor="text1"/>
          <w:sz w:val="24"/>
          <w:szCs w:val="24"/>
        </w:rPr>
        <w:t>。对于</w:t>
      </w:r>
      <w:r>
        <w:rPr>
          <w:rFonts w:ascii="Times New Roman" w:eastAsia="宋体" w:hAnsi="Times New Roman" w:cs="Times New Roman"/>
          <w:bCs/>
          <w:color w:val="000000" w:themeColor="text1"/>
          <w:sz w:val="24"/>
          <w:szCs w:val="24"/>
        </w:rPr>
        <w:t>CKD</w:t>
      </w:r>
      <w:r>
        <w:rPr>
          <w:rFonts w:ascii="Times New Roman" w:eastAsia="宋体" w:hAnsi="Times New Roman" w:cs="Times New Roman" w:hint="eastAsia"/>
          <w:bCs/>
          <w:color w:val="000000" w:themeColor="text1"/>
          <w:sz w:val="24"/>
          <w:szCs w:val="24"/>
        </w:rPr>
        <w:t>合并高血压的患者，不管是选用</w:t>
      </w:r>
      <w:r>
        <w:rPr>
          <w:rFonts w:ascii="Times New Roman" w:eastAsia="宋体" w:hAnsi="Times New Roman" w:cs="Times New Roman"/>
          <w:bCs/>
          <w:color w:val="000000" w:themeColor="text1"/>
          <w:sz w:val="24"/>
          <w:szCs w:val="24"/>
        </w:rPr>
        <w:t>A+C</w:t>
      </w:r>
      <w:r>
        <w:rPr>
          <w:rFonts w:ascii="Times New Roman" w:eastAsia="宋体" w:hAnsi="Times New Roman" w:cs="Times New Roman" w:hint="eastAsia"/>
          <w:bCs/>
          <w:color w:val="000000" w:themeColor="text1"/>
          <w:sz w:val="24"/>
          <w:szCs w:val="24"/>
        </w:rPr>
        <w:t>还是</w:t>
      </w:r>
      <w:r>
        <w:rPr>
          <w:rFonts w:ascii="Times New Roman" w:eastAsia="宋体" w:hAnsi="Times New Roman" w:cs="Times New Roman"/>
          <w:bCs/>
          <w:color w:val="000000" w:themeColor="text1"/>
          <w:sz w:val="24"/>
          <w:szCs w:val="24"/>
        </w:rPr>
        <w:t>A+D</w:t>
      </w:r>
      <w:r>
        <w:rPr>
          <w:rFonts w:ascii="Times New Roman" w:eastAsia="宋体" w:hAnsi="Times New Roman" w:cs="Times New Roman" w:hint="eastAsia"/>
          <w:bCs/>
          <w:color w:val="000000" w:themeColor="text1"/>
          <w:sz w:val="24"/>
          <w:szCs w:val="24"/>
        </w:rPr>
        <w:t>，都需要警惕可能出现的药物不良反应。</w:t>
      </w:r>
      <w:r>
        <w:rPr>
          <w:rFonts w:ascii="Times New Roman" w:eastAsia="宋体" w:hAnsi="Times New Roman" w:cs="Times New Roman"/>
          <w:bCs/>
          <w:color w:val="000000" w:themeColor="text1"/>
          <w:sz w:val="24"/>
          <w:szCs w:val="24"/>
        </w:rPr>
        <w:t>CKD</w:t>
      </w:r>
      <w:r>
        <w:rPr>
          <w:rFonts w:ascii="Times New Roman" w:eastAsia="宋体" w:hAnsi="Times New Roman" w:cs="Times New Roman" w:hint="eastAsia"/>
          <w:bCs/>
          <w:color w:val="000000" w:themeColor="text1"/>
          <w:sz w:val="24"/>
          <w:szCs w:val="24"/>
        </w:rPr>
        <w:t>患者往往合并高尿酸血症、糖尿病等代谢紊乱，利尿剂可能加重代谢紊乱，升高血尿酸，导致低钾低钠低血容量和血糖升高，因此如果患者合并痛风、糖尿病、明显低钠或低钾血症者应慎用利尿剂，尤其糖尿病患者不建议首选利尿剂。</w:t>
      </w:r>
      <w:r>
        <w:rPr>
          <w:rFonts w:ascii="Times New Roman" w:eastAsia="宋体" w:hAnsi="Times New Roman" w:cs="Times New Roman" w:hint="eastAsia"/>
          <w:color w:val="000000" w:themeColor="text1"/>
          <w:sz w:val="24"/>
          <w:szCs w:val="24"/>
        </w:rPr>
        <w:t>对于两药联合仍不能达到目标血压者，可在原药基础上加量，或可能需要增加至</w:t>
      </w:r>
      <w:r>
        <w:rPr>
          <w:rFonts w:ascii="Times New Roman" w:eastAsia="宋体" w:hAnsi="Times New Roman" w:cs="Times New Roman"/>
          <w:color w:val="000000" w:themeColor="text1"/>
          <w:sz w:val="24"/>
          <w:szCs w:val="24"/>
        </w:rPr>
        <w:t>3</w:t>
      </w:r>
      <w:r>
        <w:rPr>
          <w:rFonts w:ascii="Times New Roman" w:eastAsia="宋体" w:hAnsi="Times New Roman" w:cs="Times New Roman" w:hint="eastAsia"/>
          <w:color w:val="000000" w:themeColor="text1"/>
          <w:sz w:val="24"/>
          <w:szCs w:val="24"/>
        </w:rPr>
        <w:t>种甚至</w:t>
      </w:r>
      <w:r>
        <w:rPr>
          <w:rFonts w:ascii="Times New Roman" w:eastAsia="宋体" w:hAnsi="Times New Roman" w:cs="Times New Roman"/>
          <w:color w:val="000000" w:themeColor="text1"/>
          <w:sz w:val="24"/>
          <w:szCs w:val="24"/>
        </w:rPr>
        <w:t>4</w:t>
      </w:r>
      <w:r>
        <w:rPr>
          <w:rFonts w:ascii="Times New Roman" w:eastAsia="宋体" w:hAnsi="Times New Roman" w:cs="Times New Roman" w:hint="eastAsia"/>
          <w:color w:val="000000" w:themeColor="text1"/>
          <w:sz w:val="24"/>
          <w:szCs w:val="24"/>
        </w:rPr>
        <w:t>种以上的降压药物，也可考虑初始小剂量联合降压药物治疗。多数难以控制的高血压患者可采用</w:t>
      </w:r>
      <w:r>
        <w:rPr>
          <w:rFonts w:ascii="Times New Roman" w:eastAsia="宋体" w:hAnsi="Times New Roman" w:cs="Times New Roman"/>
          <w:color w:val="000000" w:themeColor="text1"/>
          <w:sz w:val="24"/>
          <w:szCs w:val="24"/>
        </w:rPr>
        <w:t>ACEI</w:t>
      </w:r>
      <w:r>
        <w:rPr>
          <w:rFonts w:ascii="Times New Roman" w:eastAsia="宋体" w:hAnsi="Times New Roman" w:cs="Times New Roman" w:hint="eastAsia"/>
          <w:color w:val="000000" w:themeColor="text1"/>
          <w:sz w:val="24"/>
          <w:szCs w:val="24"/>
        </w:rPr>
        <w:t>或</w:t>
      </w:r>
      <w:r>
        <w:rPr>
          <w:rFonts w:ascii="Times New Roman" w:eastAsia="宋体" w:hAnsi="Times New Roman" w:cs="Times New Roman"/>
          <w:color w:val="000000" w:themeColor="text1"/>
          <w:sz w:val="24"/>
          <w:szCs w:val="24"/>
        </w:rPr>
        <w:t>ARB</w:t>
      </w:r>
      <w:r>
        <w:rPr>
          <w:rFonts w:ascii="Times New Roman" w:eastAsia="宋体" w:hAnsi="Times New Roman" w:cs="Times New Roman" w:hint="eastAsia"/>
          <w:color w:val="000000" w:themeColor="text1"/>
          <w:sz w:val="24"/>
          <w:szCs w:val="24"/>
        </w:rPr>
        <w:t>＋</w:t>
      </w:r>
      <w:r>
        <w:rPr>
          <w:rFonts w:ascii="Times New Roman" w:eastAsia="宋体" w:hAnsi="Times New Roman" w:cs="Times New Roman"/>
          <w:color w:val="000000" w:themeColor="text1"/>
          <w:sz w:val="24"/>
          <w:szCs w:val="24"/>
        </w:rPr>
        <w:t>CCB</w:t>
      </w:r>
      <w:r>
        <w:rPr>
          <w:rFonts w:ascii="Times New Roman" w:eastAsia="宋体" w:hAnsi="Times New Roman" w:cs="Times New Roman" w:hint="eastAsia"/>
          <w:color w:val="000000" w:themeColor="text1"/>
          <w:sz w:val="24"/>
          <w:szCs w:val="24"/>
        </w:rPr>
        <w:t>＋噻嗪类利尿剂组成的三药联合方案。对</w:t>
      </w:r>
      <w:r>
        <w:rPr>
          <w:rFonts w:ascii="Times New Roman" w:eastAsia="宋体" w:hAnsi="Times New Roman" w:cs="Times New Roman"/>
          <w:color w:val="000000" w:themeColor="text1"/>
          <w:sz w:val="24"/>
          <w:szCs w:val="24"/>
        </w:rPr>
        <w:t>ACEI</w:t>
      </w:r>
      <w:r>
        <w:rPr>
          <w:rFonts w:ascii="Times New Roman" w:eastAsia="宋体" w:hAnsi="Times New Roman" w:cs="Times New Roman" w:hint="eastAsia"/>
          <w:color w:val="000000" w:themeColor="text1"/>
          <w:sz w:val="24"/>
          <w:szCs w:val="24"/>
        </w:rPr>
        <w:t>或</w:t>
      </w:r>
      <w:r>
        <w:rPr>
          <w:rFonts w:ascii="Times New Roman" w:eastAsia="宋体" w:hAnsi="Times New Roman" w:cs="Times New Roman"/>
          <w:color w:val="000000" w:themeColor="text1"/>
          <w:sz w:val="24"/>
          <w:szCs w:val="24"/>
        </w:rPr>
        <w:t>ARB</w:t>
      </w:r>
      <w:r>
        <w:rPr>
          <w:rFonts w:ascii="Times New Roman" w:eastAsia="宋体" w:hAnsi="Times New Roman" w:cs="Times New Roman" w:hint="eastAsia"/>
          <w:color w:val="000000" w:themeColor="text1"/>
          <w:sz w:val="24"/>
          <w:szCs w:val="24"/>
        </w:rPr>
        <w:t>＋</w:t>
      </w:r>
      <w:r>
        <w:rPr>
          <w:rFonts w:ascii="Times New Roman" w:eastAsia="宋体" w:hAnsi="Times New Roman" w:cs="Times New Roman"/>
          <w:color w:val="000000" w:themeColor="text1"/>
          <w:sz w:val="24"/>
          <w:szCs w:val="24"/>
        </w:rPr>
        <w:t>CCB</w:t>
      </w:r>
      <w:r>
        <w:rPr>
          <w:rFonts w:ascii="Times New Roman" w:eastAsia="宋体" w:hAnsi="Times New Roman" w:cs="Times New Roman" w:hint="eastAsia"/>
          <w:color w:val="000000" w:themeColor="text1"/>
          <w:sz w:val="24"/>
          <w:szCs w:val="24"/>
        </w:rPr>
        <w:t>＋噻嗪类利尿剂充分治疗后血压仍不能达标的难治性高血压患者，可将螺内酯作为第</w:t>
      </w:r>
      <w:r>
        <w:rPr>
          <w:rFonts w:ascii="Times New Roman" w:eastAsia="宋体" w:hAnsi="Times New Roman" w:cs="Times New Roman"/>
          <w:color w:val="000000" w:themeColor="text1"/>
          <w:sz w:val="24"/>
          <w:szCs w:val="24"/>
        </w:rPr>
        <w:t>4</w:t>
      </w:r>
      <w:r>
        <w:rPr>
          <w:rFonts w:ascii="Times New Roman" w:eastAsia="宋体" w:hAnsi="Times New Roman" w:cs="Times New Roman" w:hint="eastAsia"/>
          <w:color w:val="000000" w:themeColor="text1"/>
          <w:sz w:val="24"/>
          <w:szCs w:val="24"/>
        </w:rPr>
        <w:t>种降压药物</w:t>
      </w:r>
      <w:r w:rsidR="00B411DC">
        <w:rPr>
          <w:rFonts w:ascii="Times New Roman" w:eastAsia="宋体" w:hAnsi="Times New Roman" w:cs="Times New Roman"/>
          <w:color w:val="000000" w:themeColor="text1"/>
          <w:sz w:val="24"/>
          <w:szCs w:val="24"/>
        </w:rPr>
        <w:fldChar w:fldCharType="begin"/>
      </w:r>
      <w:r>
        <w:rPr>
          <w:rFonts w:ascii="Times New Roman" w:eastAsia="宋体" w:hAnsi="Times New Roman" w:cs="Times New Roman"/>
          <w:color w:val="000000" w:themeColor="text1"/>
          <w:sz w:val="24"/>
          <w:szCs w:val="24"/>
        </w:rPr>
        <w:instrText xml:space="preserve"> ADDIN NE.Ref.{89F6087F-F5FD-4773-9D84-D52A7658624C}</w:instrText>
      </w:r>
      <w:r w:rsidR="00B411DC">
        <w:rPr>
          <w:rFonts w:ascii="Times New Roman" w:eastAsia="宋体" w:hAnsi="Times New Roman" w:cs="Times New Roman"/>
          <w:color w:val="000000" w:themeColor="text1"/>
          <w:sz w:val="24"/>
          <w:szCs w:val="24"/>
        </w:rPr>
        <w:fldChar w:fldCharType="end"/>
      </w:r>
      <w:r>
        <w:rPr>
          <w:rFonts w:ascii="Times New Roman" w:eastAsia="宋体" w:hAnsi="Times New Roman" w:cs="Times New Roman" w:hint="eastAsia"/>
          <w:color w:val="000000" w:themeColor="text1"/>
          <w:sz w:val="24"/>
          <w:szCs w:val="24"/>
        </w:rPr>
        <w:t>。经过这一方案足量充分治疗后，若血压仍不达标，可以考虑加用</w:t>
      </w:r>
      <w:r>
        <w:rPr>
          <w:rFonts w:ascii="Times New Roman" w:eastAsia="宋体" w:hAnsi="Times New Roman" w:cs="Times New Roman"/>
          <w:color w:val="000000" w:themeColor="text1"/>
          <w:sz w:val="24"/>
          <w:szCs w:val="24"/>
        </w:rPr>
        <w:t>α</w:t>
      </w:r>
      <w:r>
        <w:rPr>
          <w:rFonts w:ascii="Times New Roman" w:eastAsia="宋体" w:hAnsi="Times New Roman" w:cs="Times New Roman" w:hint="eastAsia"/>
          <w:color w:val="000000" w:themeColor="text1"/>
          <w:sz w:val="24"/>
          <w:szCs w:val="24"/>
        </w:rPr>
        <w:t>受体阻滞剂、</w:t>
      </w:r>
      <w:r>
        <w:rPr>
          <w:rFonts w:ascii="Times New Roman" w:eastAsia="宋体" w:hAnsi="Times New Roman" w:cs="Times New Roman"/>
          <w:color w:val="000000" w:themeColor="text1"/>
          <w:sz w:val="24"/>
          <w:szCs w:val="24"/>
        </w:rPr>
        <w:t>β</w:t>
      </w:r>
      <w:r>
        <w:rPr>
          <w:rFonts w:ascii="Times New Roman" w:eastAsia="宋体" w:hAnsi="Times New Roman" w:cs="Times New Roman" w:hint="eastAsia"/>
          <w:color w:val="000000" w:themeColor="text1"/>
          <w:sz w:val="24"/>
          <w:szCs w:val="24"/>
        </w:rPr>
        <w:t>受体阻滞剂、</w:t>
      </w:r>
      <w:r>
        <w:rPr>
          <w:rFonts w:ascii="Times New Roman" w:eastAsia="宋体" w:hAnsi="Times New Roman" w:cs="Times New Roman"/>
          <w:color w:val="000000" w:themeColor="text1"/>
          <w:sz w:val="24"/>
          <w:szCs w:val="24"/>
        </w:rPr>
        <w:t>α/β</w:t>
      </w:r>
      <w:r>
        <w:rPr>
          <w:rFonts w:ascii="Times New Roman" w:eastAsia="宋体" w:hAnsi="Times New Roman" w:cs="Times New Roman" w:hint="eastAsia"/>
          <w:color w:val="000000" w:themeColor="text1"/>
          <w:sz w:val="24"/>
          <w:szCs w:val="24"/>
        </w:rPr>
        <w:t>受体阻滞剂、中枢降压药等，但加用哪种药物疗效最佳尚缺乏充分研究，必须遵循个体化原则选择适合患者的降压药物。</w:t>
      </w:r>
    </w:p>
    <w:p w:rsidR="002E5476" w:rsidRDefault="002E5476">
      <w:pPr>
        <w:spacing w:line="360" w:lineRule="auto"/>
        <w:ind w:firstLineChars="200" w:firstLine="480"/>
        <w:jc w:val="left"/>
        <w:outlineLvl w:val="1"/>
        <w:rPr>
          <w:rFonts w:ascii="Times New Roman" w:eastAsia="宋体" w:hAnsi="Times New Roman" w:cs="Times New Roman"/>
          <w:color w:val="000000" w:themeColor="text1"/>
          <w:sz w:val="24"/>
          <w:szCs w:val="24"/>
        </w:rPr>
      </w:pPr>
    </w:p>
    <w:p w:rsidR="002E5476" w:rsidRDefault="00423E71">
      <w:pPr>
        <w:pStyle w:val="20"/>
        <w:numPr>
          <w:ilvl w:val="255"/>
          <w:numId w:val="0"/>
        </w:numPr>
        <w:spacing w:line="360" w:lineRule="auto"/>
        <w:jc w:val="left"/>
        <w:outlineLvl w:val="1"/>
        <w:rPr>
          <w:rFonts w:ascii="Times New Roman" w:eastAsia="宋体" w:hAnsi="Times New Roman" w:cs="Times New Roman"/>
          <w:b/>
          <w:bCs/>
          <w:color w:val="000000" w:themeColor="text1"/>
          <w:sz w:val="24"/>
          <w:szCs w:val="24"/>
        </w:rPr>
      </w:pPr>
      <w:bookmarkStart w:id="25" w:name="_Toc1885774516_WPSOffice_Level1"/>
      <w:r>
        <w:rPr>
          <w:rFonts w:ascii="Times New Roman" w:eastAsia="宋体" w:hAnsi="Times New Roman" w:cs="Times New Roman"/>
          <w:b/>
          <w:bCs/>
          <w:color w:val="000000" w:themeColor="text1"/>
          <w:sz w:val="24"/>
          <w:szCs w:val="24"/>
        </w:rPr>
        <w:t>3. CKD</w:t>
      </w:r>
      <w:r>
        <w:rPr>
          <w:rFonts w:ascii="Times New Roman" w:eastAsia="宋体" w:hAnsi="Times New Roman" w:cs="Times New Roman" w:hint="eastAsia"/>
          <w:b/>
          <w:bCs/>
          <w:color w:val="000000" w:themeColor="text1"/>
          <w:sz w:val="24"/>
          <w:szCs w:val="24"/>
        </w:rPr>
        <w:t>透析人群高血压的治疗</w:t>
      </w:r>
      <w:bookmarkEnd w:id="25"/>
    </w:p>
    <w:p w:rsidR="002E5476" w:rsidRDefault="00423E71">
      <w:pPr>
        <w:numPr>
          <w:ilvl w:val="255"/>
          <w:numId w:val="0"/>
        </w:numPr>
        <w:spacing w:line="360" w:lineRule="auto"/>
        <w:jc w:val="left"/>
        <w:outlineLvl w:val="1"/>
        <w:rPr>
          <w:rFonts w:ascii="Times New Roman" w:eastAsia="宋体" w:hAnsi="Times New Roman" w:cs="Times New Roman"/>
          <w:b/>
          <w:bCs/>
          <w:color w:val="000000" w:themeColor="text1"/>
          <w:sz w:val="24"/>
          <w:szCs w:val="24"/>
        </w:rPr>
      </w:pPr>
      <w:bookmarkStart w:id="26" w:name="_Toc1656547108_WPSOffice_Level2"/>
      <w:r>
        <w:rPr>
          <w:rFonts w:ascii="Times New Roman" w:eastAsia="宋体" w:hAnsi="Times New Roman" w:cs="Times New Roman"/>
          <w:b/>
          <w:bCs/>
          <w:color w:val="000000" w:themeColor="text1"/>
          <w:sz w:val="24"/>
          <w:szCs w:val="24"/>
        </w:rPr>
        <w:t xml:space="preserve">3.1 </w:t>
      </w:r>
      <w:r>
        <w:rPr>
          <w:rFonts w:ascii="Times New Roman" w:eastAsia="宋体" w:hAnsi="Times New Roman" w:cs="Times New Roman" w:hint="eastAsia"/>
          <w:b/>
          <w:bCs/>
          <w:color w:val="000000" w:themeColor="text1"/>
          <w:sz w:val="24"/>
          <w:szCs w:val="24"/>
        </w:rPr>
        <w:t>血液透析</w:t>
      </w:r>
      <w:bookmarkEnd w:id="26"/>
    </w:p>
    <w:p w:rsidR="002E5476" w:rsidRDefault="00B411DC">
      <w:pPr>
        <w:numPr>
          <w:ilvl w:val="255"/>
          <w:numId w:val="0"/>
        </w:numPr>
        <w:spacing w:line="360" w:lineRule="auto"/>
        <w:ind w:firstLine="440"/>
        <w:jc w:val="left"/>
        <w:outlineLvl w:val="1"/>
        <w:rPr>
          <w:rFonts w:ascii="Times New Roman" w:eastAsia="宋体" w:hAnsi="Times New Roman" w:cs="Times New Roman"/>
          <w:b/>
          <w:bCs/>
          <w:color w:val="000000" w:themeColor="text1"/>
          <w:sz w:val="24"/>
          <w:szCs w:val="24"/>
        </w:rPr>
      </w:pPr>
      <w:r w:rsidRPr="00B411DC">
        <w:rPr>
          <w:rFonts w:ascii="Times New Roman" w:eastAsia="宋体" w:hAnsi="Times New Roman" w:cs="Times New Roman"/>
          <w:color w:val="000000" w:themeColor="text1"/>
          <w:sz w:val="24"/>
        </w:rPr>
      </w:r>
      <w:r w:rsidRPr="00B411DC">
        <w:rPr>
          <w:rFonts w:ascii="Times New Roman" w:eastAsia="宋体" w:hAnsi="Times New Roman" w:cs="Times New Roman"/>
          <w:color w:val="000000" w:themeColor="text1"/>
          <w:sz w:val="24"/>
        </w:rPr>
        <w:pict>
          <v:roundrect id="_x0000_s2054" style="width:442.35pt;height:29.5pt;mso-position-horizontal-relative:char;mso-position-vertical-relative:line;v-text-anchor:middle" arcsize="10923f" filled="f" strokecolor="#f79646" strokeweight="2pt">
            <v:textbox>
              <w:txbxContent>
                <w:p w:rsidR="00F47729" w:rsidRDefault="00F47729">
                  <w:pPr>
                    <w:jc w:val="left"/>
                  </w:pPr>
                  <w:r>
                    <w:rPr>
                      <w:rFonts w:ascii="Times New Roman" w:hAnsi="Times New Roman" w:cs="Times New Roman" w:hint="eastAsia"/>
                      <w:b/>
                      <w:bCs/>
                      <w:sz w:val="24"/>
                      <w:szCs w:val="24"/>
                    </w:rPr>
                    <w:t>所有透析患者强调干体重达标，还应考虑透析对降压药物清除的影响。</w:t>
                  </w:r>
                </w:p>
              </w:txbxContent>
            </v:textbox>
            <w10:wrap type="none"/>
            <w10:anchorlock/>
          </v:roundrect>
        </w:pict>
      </w:r>
    </w:p>
    <w:p w:rsidR="002E5476" w:rsidRDefault="00423E71">
      <w:pPr>
        <w:numPr>
          <w:ilvl w:val="255"/>
          <w:numId w:val="0"/>
        </w:numPr>
        <w:spacing w:line="360" w:lineRule="auto"/>
        <w:ind w:firstLine="440"/>
        <w:jc w:val="left"/>
        <w:outlineLvl w:val="1"/>
        <w:rPr>
          <w:rFonts w:ascii="Times New Roman" w:eastAsia="宋体" w:hAnsi="Times New Roman" w:cs="Times New Roman"/>
          <w:color w:val="000000" w:themeColor="text1"/>
          <w:sz w:val="24"/>
          <w:szCs w:val="24"/>
        </w:rPr>
      </w:pPr>
      <w:r>
        <w:rPr>
          <w:rFonts w:ascii="Times New Roman" w:eastAsia="宋体" w:hAnsi="Times New Roman" w:cs="Times New Roman" w:hint="eastAsia"/>
          <w:color w:val="000000" w:themeColor="text1"/>
          <w:sz w:val="24"/>
          <w:szCs w:val="24"/>
        </w:rPr>
        <w:t>血液透析（</w:t>
      </w:r>
      <w:r>
        <w:rPr>
          <w:rFonts w:ascii="Times New Roman" w:eastAsia="宋体" w:hAnsi="Times New Roman" w:cs="Times New Roman"/>
          <w:color w:val="000000" w:themeColor="text1"/>
          <w:sz w:val="24"/>
          <w:szCs w:val="24"/>
        </w:rPr>
        <w:t>hemodialysis</w:t>
      </w:r>
      <w:r>
        <w:rPr>
          <w:rFonts w:ascii="Times New Roman" w:eastAsia="宋体" w:hAnsi="Times New Roman" w:cs="Times New Roman" w:hint="eastAsia"/>
          <w:color w:val="000000" w:themeColor="text1"/>
          <w:sz w:val="24"/>
          <w:szCs w:val="24"/>
        </w:rPr>
        <w:t>，</w:t>
      </w:r>
      <w:r>
        <w:rPr>
          <w:rFonts w:ascii="Times New Roman" w:eastAsia="宋体" w:hAnsi="Times New Roman" w:cs="Times New Roman"/>
          <w:color w:val="000000" w:themeColor="text1"/>
          <w:sz w:val="24"/>
          <w:szCs w:val="24"/>
        </w:rPr>
        <w:t>HD</w:t>
      </w:r>
      <w:r>
        <w:rPr>
          <w:rFonts w:ascii="Times New Roman" w:eastAsia="宋体" w:hAnsi="Times New Roman" w:cs="Times New Roman" w:hint="eastAsia"/>
          <w:color w:val="000000" w:themeColor="text1"/>
          <w:sz w:val="24"/>
          <w:szCs w:val="24"/>
        </w:rPr>
        <w:t>）患者高血压如何诊断还具有争议，目前评估</w:t>
      </w:r>
      <w:r>
        <w:rPr>
          <w:rFonts w:ascii="Times New Roman" w:eastAsia="宋体" w:hAnsi="Times New Roman" w:cs="Times New Roman"/>
          <w:color w:val="000000" w:themeColor="text1"/>
          <w:sz w:val="24"/>
          <w:szCs w:val="24"/>
        </w:rPr>
        <w:t>HD</w:t>
      </w:r>
      <w:r>
        <w:rPr>
          <w:rFonts w:ascii="Times New Roman" w:eastAsia="宋体" w:hAnsi="Times New Roman" w:cs="Times New Roman" w:hint="eastAsia"/>
          <w:color w:val="000000" w:themeColor="text1"/>
          <w:sz w:val="24"/>
          <w:szCs w:val="24"/>
        </w:rPr>
        <w:t>患者高血压的方法主要有：透析室的血压（透析开始前</w:t>
      </w:r>
      <w:r>
        <w:rPr>
          <w:rFonts w:ascii="Times New Roman" w:eastAsia="宋体" w:hAnsi="Times New Roman" w:cs="Times New Roman"/>
          <w:color w:val="000000" w:themeColor="text1"/>
          <w:sz w:val="24"/>
          <w:szCs w:val="24"/>
        </w:rPr>
        <w:t>/</w:t>
      </w:r>
      <w:r>
        <w:rPr>
          <w:rFonts w:ascii="Times New Roman" w:eastAsia="宋体" w:hAnsi="Times New Roman" w:cs="Times New Roman" w:hint="eastAsia"/>
          <w:color w:val="000000" w:themeColor="text1"/>
          <w:sz w:val="24"/>
          <w:szCs w:val="24"/>
        </w:rPr>
        <w:t>后不久的血压）、透析间期的血压（家庭血压、动态血压或诊室血压）。</w:t>
      </w:r>
    </w:p>
    <w:p w:rsidR="002E5476" w:rsidRDefault="00423E71">
      <w:pPr>
        <w:spacing w:line="360" w:lineRule="auto"/>
        <w:ind w:firstLineChars="200" w:firstLine="480"/>
        <w:rPr>
          <w:rFonts w:ascii="Times New Roman" w:eastAsia="宋体" w:hAnsi="Times New Roman" w:cs="Times New Roman"/>
          <w:color w:val="000000" w:themeColor="text1"/>
          <w:sz w:val="24"/>
          <w:szCs w:val="24"/>
        </w:rPr>
      </w:pPr>
      <w:r>
        <w:rPr>
          <w:rFonts w:ascii="Times New Roman" w:eastAsia="宋体" w:hAnsi="Times New Roman" w:cs="Times New Roman"/>
          <w:color w:val="000000" w:themeColor="text1"/>
          <w:sz w:val="24"/>
          <w:szCs w:val="24"/>
        </w:rPr>
        <w:t>2005</w:t>
      </w:r>
      <w:r>
        <w:rPr>
          <w:rFonts w:ascii="Times New Roman" w:eastAsia="宋体" w:hAnsi="Times New Roman" w:cs="Times New Roman" w:hint="eastAsia"/>
          <w:color w:val="000000" w:themeColor="text1"/>
          <w:sz w:val="24"/>
          <w:szCs w:val="24"/>
        </w:rPr>
        <w:t>年</w:t>
      </w:r>
      <w:r>
        <w:rPr>
          <w:rFonts w:ascii="Times New Roman" w:eastAsia="宋体" w:hAnsi="Times New Roman" w:cs="Times New Roman"/>
          <w:color w:val="000000" w:themeColor="text1"/>
          <w:sz w:val="24"/>
          <w:szCs w:val="24"/>
        </w:rPr>
        <w:t>KDIGO</w:t>
      </w:r>
      <w:r>
        <w:rPr>
          <w:rFonts w:ascii="Times New Roman" w:eastAsia="宋体" w:hAnsi="Times New Roman" w:cs="Times New Roman" w:hint="eastAsia"/>
          <w:color w:val="000000" w:themeColor="text1"/>
          <w:sz w:val="24"/>
          <w:szCs w:val="24"/>
        </w:rPr>
        <w:t>指南</w:t>
      </w:r>
      <w:r w:rsidR="00B411DC">
        <w:rPr>
          <w:rFonts w:ascii="Times New Roman" w:eastAsia="宋体" w:hAnsi="Times New Roman" w:cs="Times New Roman"/>
          <w:color w:val="000000" w:themeColor="text1"/>
          <w:sz w:val="24"/>
          <w:szCs w:val="24"/>
        </w:rPr>
        <w:fldChar w:fldCharType="begin"/>
      </w:r>
      <w:r>
        <w:rPr>
          <w:rFonts w:ascii="Times New Roman" w:eastAsia="宋体" w:hAnsi="Times New Roman" w:cs="Times New Roman"/>
          <w:color w:val="000000" w:themeColor="text1"/>
          <w:sz w:val="24"/>
          <w:szCs w:val="24"/>
        </w:rPr>
        <w:instrText xml:space="preserve"> ADDIN NE.Ref.{3F121542-4AE2-4D01-8939-9DB64D5CE383}</w:instrText>
      </w:r>
      <w:r w:rsidR="00B411DC">
        <w:rPr>
          <w:rFonts w:ascii="Times New Roman" w:eastAsia="宋体" w:hAnsi="Times New Roman" w:cs="Times New Roman"/>
          <w:color w:val="000000" w:themeColor="text1"/>
          <w:sz w:val="24"/>
          <w:szCs w:val="24"/>
        </w:rPr>
        <w:fldChar w:fldCharType="separate"/>
      </w:r>
      <w:r>
        <w:rPr>
          <w:rFonts w:ascii="Times New Roman" w:eastAsia="宋体" w:hAnsi="Times New Roman" w:cs="Times New Roman"/>
          <w:color w:val="000000" w:themeColor="text1"/>
          <w:kern w:val="0"/>
          <w:sz w:val="24"/>
          <w:szCs w:val="24"/>
          <w:vertAlign w:val="superscript"/>
        </w:rPr>
        <w:t>[54]</w:t>
      </w:r>
      <w:r w:rsidR="00B411DC">
        <w:rPr>
          <w:rFonts w:ascii="Times New Roman" w:eastAsia="宋体" w:hAnsi="Times New Roman" w:cs="Times New Roman"/>
          <w:color w:val="000000" w:themeColor="text1"/>
          <w:sz w:val="24"/>
          <w:szCs w:val="24"/>
        </w:rPr>
        <w:fldChar w:fldCharType="end"/>
      </w:r>
      <w:r>
        <w:rPr>
          <w:rFonts w:ascii="Times New Roman" w:eastAsia="宋体" w:hAnsi="Times New Roman" w:cs="Times New Roman" w:hint="eastAsia"/>
          <w:color w:val="000000" w:themeColor="text1"/>
          <w:sz w:val="24"/>
          <w:szCs w:val="24"/>
        </w:rPr>
        <w:t>建议，透析前和透析后的血压值应分别</w:t>
      </w:r>
      <w:r>
        <w:rPr>
          <w:rFonts w:ascii="Times New Roman" w:eastAsia="宋体" w:hAnsi="Times New Roman" w:cs="Times New Roman"/>
          <w:color w:val="000000" w:themeColor="text1"/>
          <w:sz w:val="24"/>
          <w:szCs w:val="24"/>
        </w:rPr>
        <w:t>&lt;140/90 mmHg</w:t>
      </w:r>
      <w:r>
        <w:rPr>
          <w:rFonts w:ascii="Times New Roman" w:eastAsia="宋体" w:hAnsi="Times New Roman" w:cs="Times New Roman" w:hint="eastAsia"/>
          <w:color w:val="000000" w:themeColor="text1"/>
          <w:sz w:val="24"/>
          <w:szCs w:val="24"/>
        </w:rPr>
        <w:t>和</w:t>
      </w:r>
      <w:r>
        <w:rPr>
          <w:rFonts w:ascii="Times New Roman" w:eastAsia="宋体" w:hAnsi="Times New Roman" w:cs="Times New Roman"/>
          <w:color w:val="000000" w:themeColor="text1"/>
          <w:sz w:val="24"/>
          <w:szCs w:val="24"/>
        </w:rPr>
        <w:t>&lt;130/80 mmHg</w:t>
      </w:r>
      <w:r>
        <w:rPr>
          <w:rFonts w:ascii="Times New Roman" w:eastAsia="宋体" w:hAnsi="Times New Roman" w:cs="Times New Roman" w:hint="eastAsia"/>
          <w:color w:val="000000" w:themeColor="text1"/>
          <w:sz w:val="24"/>
          <w:szCs w:val="24"/>
        </w:rPr>
        <w:t>。但透析前和透析后血压与透析间期非卧床血压的一致性较差</w:t>
      </w:r>
      <w:r w:rsidR="00B411DC">
        <w:rPr>
          <w:rFonts w:ascii="Times New Roman" w:eastAsia="宋体" w:hAnsi="Times New Roman" w:cs="Times New Roman"/>
          <w:color w:val="000000" w:themeColor="text1"/>
          <w:sz w:val="24"/>
          <w:szCs w:val="24"/>
        </w:rPr>
        <w:fldChar w:fldCharType="begin"/>
      </w:r>
      <w:r>
        <w:rPr>
          <w:rFonts w:ascii="Times New Roman" w:eastAsia="宋体" w:hAnsi="Times New Roman" w:cs="Times New Roman"/>
          <w:color w:val="000000" w:themeColor="text1"/>
          <w:sz w:val="24"/>
          <w:szCs w:val="24"/>
        </w:rPr>
        <w:instrText xml:space="preserve"> ADDIN NE.Ref.{2FEEE8FD-D7BE-4638-A087-5E67A9B9A513}</w:instrText>
      </w:r>
      <w:r w:rsidR="00B411DC">
        <w:rPr>
          <w:rFonts w:ascii="Times New Roman" w:eastAsia="宋体" w:hAnsi="Times New Roman" w:cs="Times New Roman"/>
          <w:color w:val="000000" w:themeColor="text1"/>
          <w:sz w:val="24"/>
          <w:szCs w:val="24"/>
        </w:rPr>
        <w:fldChar w:fldCharType="separate"/>
      </w:r>
      <w:r>
        <w:rPr>
          <w:rFonts w:ascii="Times New Roman" w:eastAsia="宋体" w:hAnsi="Times New Roman" w:cs="Times New Roman"/>
          <w:color w:val="000000" w:themeColor="text1"/>
          <w:kern w:val="0"/>
          <w:sz w:val="24"/>
          <w:szCs w:val="24"/>
          <w:vertAlign w:val="superscript"/>
        </w:rPr>
        <w:t>[55]</w:t>
      </w:r>
      <w:r w:rsidR="00B411DC">
        <w:rPr>
          <w:rFonts w:ascii="Times New Roman" w:eastAsia="宋体" w:hAnsi="Times New Roman" w:cs="Times New Roman"/>
          <w:color w:val="000000" w:themeColor="text1"/>
          <w:sz w:val="24"/>
          <w:szCs w:val="24"/>
        </w:rPr>
        <w:fldChar w:fldCharType="end"/>
      </w:r>
      <w:r>
        <w:rPr>
          <w:rFonts w:ascii="Times New Roman" w:eastAsia="宋体" w:hAnsi="Times New Roman" w:cs="Times New Roman" w:hint="eastAsia"/>
          <w:color w:val="000000" w:themeColor="text1"/>
          <w:sz w:val="24"/>
          <w:szCs w:val="24"/>
        </w:rPr>
        <w:t>，采用透析前或透析后血压来预测透析间期血压也存在较大误差</w:t>
      </w:r>
      <w:r w:rsidR="00B411DC">
        <w:rPr>
          <w:rFonts w:ascii="Times New Roman" w:eastAsia="宋体" w:hAnsi="Times New Roman" w:cs="Times New Roman"/>
          <w:color w:val="000000" w:themeColor="text1"/>
          <w:sz w:val="24"/>
          <w:szCs w:val="24"/>
        </w:rPr>
        <w:fldChar w:fldCharType="begin"/>
      </w:r>
      <w:r>
        <w:rPr>
          <w:rFonts w:ascii="Times New Roman" w:eastAsia="宋体" w:hAnsi="Times New Roman" w:cs="Times New Roman"/>
          <w:color w:val="000000" w:themeColor="text1"/>
          <w:sz w:val="24"/>
          <w:szCs w:val="24"/>
        </w:rPr>
        <w:instrText xml:space="preserve"> ADDIN NE.Ref.{0254D85A-9368-4165-AF29-48678BFE0CFF}</w:instrText>
      </w:r>
      <w:r w:rsidR="00B411DC">
        <w:rPr>
          <w:rFonts w:ascii="Times New Roman" w:eastAsia="宋体" w:hAnsi="Times New Roman" w:cs="Times New Roman"/>
          <w:color w:val="000000" w:themeColor="text1"/>
          <w:sz w:val="24"/>
          <w:szCs w:val="24"/>
        </w:rPr>
        <w:fldChar w:fldCharType="separate"/>
      </w:r>
      <w:r>
        <w:rPr>
          <w:rFonts w:ascii="Times New Roman" w:eastAsia="宋体" w:hAnsi="Times New Roman" w:cs="Times New Roman"/>
          <w:color w:val="000000" w:themeColor="text1"/>
          <w:kern w:val="0"/>
          <w:sz w:val="24"/>
          <w:szCs w:val="24"/>
          <w:vertAlign w:val="superscript"/>
        </w:rPr>
        <w:t>[56]</w:t>
      </w:r>
      <w:r w:rsidR="00B411DC">
        <w:rPr>
          <w:rFonts w:ascii="Times New Roman" w:eastAsia="宋体" w:hAnsi="Times New Roman" w:cs="Times New Roman"/>
          <w:color w:val="000000" w:themeColor="text1"/>
          <w:sz w:val="24"/>
          <w:szCs w:val="24"/>
        </w:rPr>
        <w:fldChar w:fldCharType="end"/>
      </w:r>
      <w:r>
        <w:rPr>
          <w:rFonts w:ascii="Times New Roman" w:eastAsia="宋体" w:hAnsi="Times New Roman" w:cs="Times New Roman" w:hint="eastAsia"/>
          <w:color w:val="000000" w:themeColor="text1"/>
          <w:sz w:val="24"/>
          <w:szCs w:val="24"/>
        </w:rPr>
        <w:t>。由于透析前后血压与死亡率无关联或呈“</w:t>
      </w:r>
      <w:r>
        <w:rPr>
          <w:rFonts w:ascii="Times New Roman" w:eastAsia="宋体" w:hAnsi="Times New Roman" w:cs="Times New Roman"/>
          <w:color w:val="000000" w:themeColor="text1"/>
          <w:sz w:val="24"/>
          <w:szCs w:val="24"/>
        </w:rPr>
        <w:t>U</w:t>
      </w:r>
      <w:r>
        <w:rPr>
          <w:rFonts w:ascii="Times New Roman" w:eastAsia="宋体" w:hAnsi="Times New Roman" w:cs="Times New Roman" w:hint="eastAsia"/>
          <w:color w:val="000000" w:themeColor="text1"/>
          <w:sz w:val="24"/>
          <w:szCs w:val="24"/>
        </w:rPr>
        <w:t>”形或“</w:t>
      </w:r>
      <w:r>
        <w:rPr>
          <w:rFonts w:ascii="Times New Roman" w:eastAsia="宋体" w:hAnsi="Times New Roman" w:cs="Times New Roman"/>
          <w:color w:val="000000" w:themeColor="text1"/>
          <w:sz w:val="24"/>
          <w:szCs w:val="24"/>
        </w:rPr>
        <w:t>J</w:t>
      </w:r>
      <w:r>
        <w:rPr>
          <w:rFonts w:ascii="Times New Roman" w:eastAsia="宋体" w:hAnsi="Times New Roman" w:cs="Times New Roman" w:hint="eastAsia"/>
          <w:color w:val="000000" w:themeColor="text1"/>
          <w:sz w:val="24"/>
          <w:szCs w:val="24"/>
        </w:rPr>
        <w:t>”形关联，无法</w:t>
      </w:r>
      <w:r>
        <w:rPr>
          <w:rFonts w:ascii="Times New Roman" w:eastAsia="宋体" w:hAnsi="Times New Roman" w:cs="Times New Roman" w:hint="eastAsia"/>
          <w:color w:val="000000" w:themeColor="text1"/>
          <w:sz w:val="24"/>
          <w:szCs w:val="24"/>
        </w:rPr>
        <w:lastRenderedPageBreak/>
        <w:t>评估心血管风险</w:t>
      </w:r>
      <w:r w:rsidR="00B411DC">
        <w:rPr>
          <w:rFonts w:ascii="Times New Roman" w:eastAsia="宋体" w:hAnsi="Times New Roman" w:cs="Times New Roman"/>
          <w:color w:val="000000" w:themeColor="text1"/>
          <w:sz w:val="24"/>
          <w:szCs w:val="24"/>
        </w:rPr>
        <w:fldChar w:fldCharType="begin"/>
      </w:r>
      <w:r>
        <w:rPr>
          <w:rFonts w:ascii="Times New Roman" w:eastAsia="宋体" w:hAnsi="Times New Roman" w:cs="Times New Roman"/>
          <w:color w:val="000000" w:themeColor="text1"/>
          <w:sz w:val="24"/>
          <w:szCs w:val="24"/>
        </w:rPr>
        <w:instrText xml:space="preserve"> ADDIN NE.Ref.{B00B0E83-2EC9-460C-B887-58AA54D246CD}</w:instrText>
      </w:r>
      <w:r w:rsidR="00B411DC">
        <w:rPr>
          <w:rFonts w:ascii="Times New Roman" w:eastAsia="宋体" w:hAnsi="Times New Roman" w:cs="Times New Roman"/>
          <w:color w:val="000000" w:themeColor="text1"/>
          <w:sz w:val="24"/>
          <w:szCs w:val="24"/>
        </w:rPr>
        <w:fldChar w:fldCharType="separate"/>
      </w:r>
      <w:r>
        <w:rPr>
          <w:rFonts w:ascii="Times New Roman" w:eastAsia="宋体" w:hAnsi="Times New Roman" w:cs="Times New Roman"/>
          <w:color w:val="000000" w:themeColor="text1"/>
          <w:kern w:val="0"/>
          <w:sz w:val="24"/>
          <w:szCs w:val="24"/>
          <w:vertAlign w:val="superscript"/>
        </w:rPr>
        <w:t>[54, 57-59]</w:t>
      </w:r>
      <w:r w:rsidR="00B411DC">
        <w:rPr>
          <w:rFonts w:ascii="Times New Roman" w:eastAsia="宋体" w:hAnsi="Times New Roman" w:cs="Times New Roman"/>
          <w:color w:val="000000" w:themeColor="text1"/>
          <w:sz w:val="24"/>
          <w:szCs w:val="24"/>
        </w:rPr>
        <w:fldChar w:fldCharType="end"/>
      </w:r>
      <w:r>
        <w:rPr>
          <w:rFonts w:ascii="Times New Roman" w:eastAsia="宋体" w:hAnsi="Times New Roman" w:cs="Times New Roman" w:hint="eastAsia"/>
          <w:color w:val="000000" w:themeColor="text1"/>
          <w:sz w:val="24"/>
          <w:szCs w:val="24"/>
        </w:rPr>
        <w:t>。而透析中的血压也不适用于诊断</w:t>
      </w:r>
      <w:r>
        <w:rPr>
          <w:rFonts w:ascii="Times New Roman" w:eastAsia="宋体" w:hAnsi="Times New Roman" w:cs="Times New Roman"/>
          <w:color w:val="000000" w:themeColor="text1"/>
          <w:sz w:val="24"/>
          <w:szCs w:val="24"/>
        </w:rPr>
        <w:t>HD</w:t>
      </w:r>
      <w:r>
        <w:rPr>
          <w:rFonts w:ascii="Times New Roman" w:eastAsia="宋体" w:hAnsi="Times New Roman" w:cs="Times New Roman" w:hint="eastAsia"/>
          <w:color w:val="000000" w:themeColor="text1"/>
          <w:sz w:val="24"/>
          <w:szCs w:val="24"/>
        </w:rPr>
        <w:t>患者的高血压，仅对</w:t>
      </w:r>
      <w:r>
        <w:rPr>
          <w:rFonts w:ascii="Times New Roman" w:eastAsia="宋体" w:hAnsi="Times New Roman" w:cs="Times New Roman"/>
          <w:color w:val="000000" w:themeColor="text1"/>
          <w:sz w:val="24"/>
          <w:szCs w:val="24"/>
        </w:rPr>
        <w:t>HD</w:t>
      </w:r>
      <w:r>
        <w:rPr>
          <w:rFonts w:ascii="Times New Roman" w:eastAsia="宋体" w:hAnsi="Times New Roman" w:cs="Times New Roman" w:hint="eastAsia"/>
          <w:color w:val="000000" w:themeColor="text1"/>
          <w:sz w:val="24"/>
          <w:szCs w:val="24"/>
        </w:rPr>
        <w:t>期间的血液动力学稳定性有临床意义</w:t>
      </w:r>
      <w:r w:rsidR="00B411DC">
        <w:rPr>
          <w:rFonts w:ascii="Times New Roman" w:eastAsia="宋体" w:hAnsi="Times New Roman" w:cs="Times New Roman"/>
          <w:color w:val="000000" w:themeColor="text1"/>
          <w:sz w:val="24"/>
          <w:szCs w:val="24"/>
        </w:rPr>
        <w:fldChar w:fldCharType="begin"/>
      </w:r>
      <w:r>
        <w:rPr>
          <w:rFonts w:ascii="Times New Roman" w:eastAsia="宋体" w:hAnsi="Times New Roman" w:cs="Times New Roman"/>
          <w:color w:val="000000" w:themeColor="text1"/>
          <w:sz w:val="24"/>
          <w:szCs w:val="24"/>
        </w:rPr>
        <w:instrText xml:space="preserve"> ADDIN NE.Ref.{29322E82-6B65-4F2F-B66C-912579B87650}</w:instrText>
      </w:r>
      <w:r w:rsidR="00B411DC">
        <w:rPr>
          <w:rFonts w:ascii="Times New Roman" w:eastAsia="宋体" w:hAnsi="Times New Roman" w:cs="Times New Roman"/>
          <w:color w:val="000000" w:themeColor="text1"/>
          <w:sz w:val="24"/>
          <w:szCs w:val="24"/>
        </w:rPr>
        <w:fldChar w:fldCharType="separate"/>
      </w:r>
      <w:r>
        <w:rPr>
          <w:rFonts w:ascii="Times New Roman" w:eastAsia="宋体" w:hAnsi="Times New Roman" w:cs="Times New Roman"/>
          <w:color w:val="000000" w:themeColor="text1"/>
          <w:kern w:val="0"/>
          <w:sz w:val="24"/>
          <w:szCs w:val="24"/>
          <w:vertAlign w:val="superscript"/>
        </w:rPr>
        <w:t>[60]</w:t>
      </w:r>
      <w:r w:rsidR="00B411DC">
        <w:rPr>
          <w:rFonts w:ascii="Times New Roman" w:eastAsia="宋体" w:hAnsi="Times New Roman" w:cs="Times New Roman"/>
          <w:color w:val="000000" w:themeColor="text1"/>
          <w:sz w:val="24"/>
          <w:szCs w:val="24"/>
        </w:rPr>
        <w:fldChar w:fldCharType="end"/>
      </w:r>
      <w:r>
        <w:rPr>
          <w:rFonts w:ascii="Times New Roman" w:eastAsia="宋体" w:hAnsi="Times New Roman" w:cs="Times New Roman" w:hint="eastAsia"/>
          <w:color w:val="000000" w:themeColor="text1"/>
          <w:sz w:val="24"/>
          <w:szCs w:val="24"/>
        </w:rPr>
        <w:t>。</w:t>
      </w:r>
    </w:p>
    <w:p w:rsidR="002E5476" w:rsidRDefault="00423E71">
      <w:pPr>
        <w:spacing w:line="360" w:lineRule="auto"/>
        <w:ind w:firstLineChars="200" w:firstLine="480"/>
        <w:rPr>
          <w:rFonts w:ascii="Times New Roman" w:eastAsia="宋体" w:hAnsi="Times New Roman" w:cs="Times New Roman"/>
          <w:color w:val="000000" w:themeColor="text1"/>
          <w:sz w:val="24"/>
          <w:szCs w:val="24"/>
        </w:rPr>
      </w:pPr>
      <w:r>
        <w:rPr>
          <w:rFonts w:ascii="Times New Roman" w:eastAsia="宋体" w:hAnsi="Times New Roman" w:cs="Times New Roman" w:hint="eastAsia"/>
          <w:color w:val="000000" w:themeColor="text1"/>
          <w:sz w:val="24"/>
          <w:szCs w:val="24"/>
        </w:rPr>
        <w:t>动态血压监测（</w:t>
      </w:r>
      <w:r>
        <w:rPr>
          <w:rFonts w:ascii="Times New Roman" w:eastAsia="宋体" w:hAnsi="Times New Roman" w:cs="Times New Roman"/>
          <w:color w:val="000000" w:themeColor="text1"/>
          <w:sz w:val="24"/>
          <w:szCs w:val="24"/>
        </w:rPr>
        <w:t>ambulatory blood pressure monitoring</w:t>
      </w:r>
      <w:r>
        <w:rPr>
          <w:rFonts w:ascii="Times New Roman" w:eastAsia="宋体" w:hAnsi="Times New Roman" w:cs="Times New Roman" w:hint="eastAsia"/>
          <w:color w:val="000000" w:themeColor="text1"/>
          <w:sz w:val="24"/>
          <w:szCs w:val="24"/>
        </w:rPr>
        <w:t>，</w:t>
      </w:r>
      <w:r>
        <w:rPr>
          <w:rFonts w:ascii="Times New Roman" w:eastAsia="宋体" w:hAnsi="Times New Roman" w:cs="Times New Roman"/>
          <w:color w:val="000000" w:themeColor="text1"/>
          <w:sz w:val="24"/>
          <w:szCs w:val="24"/>
        </w:rPr>
        <w:t>ABPM</w:t>
      </w:r>
      <w:r>
        <w:rPr>
          <w:rFonts w:ascii="Times New Roman" w:eastAsia="宋体" w:hAnsi="Times New Roman" w:cs="Times New Roman" w:hint="eastAsia"/>
          <w:color w:val="000000" w:themeColor="text1"/>
          <w:sz w:val="24"/>
          <w:szCs w:val="24"/>
        </w:rPr>
        <w:t>）是评估</w:t>
      </w:r>
      <w:r>
        <w:rPr>
          <w:rFonts w:ascii="Times New Roman" w:eastAsia="宋体" w:hAnsi="Times New Roman" w:cs="Times New Roman"/>
          <w:color w:val="000000" w:themeColor="text1"/>
          <w:sz w:val="24"/>
          <w:szCs w:val="24"/>
        </w:rPr>
        <w:t>HD</w:t>
      </w:r>
      <w:r>
        <w:rPr>
          <w:rFonts w:ascii="Times New Roman" w:eastAsia="宋体" w:hAnsi="Times New Roman" w:cs="Times New Roman" w:hint="eastAsia"/>
          <w:color w:val="000000" w:themeColor="text1"/>
          <w:sz w:val="24"/>
          <w:szCs w:val="24"/>
        </w:rPr>
        <w:t>患者血压的金标准，尤其是</w:t>
      </w:r>
      <w:r>
        <w:rPr>
          <w:rFonts w:ascii="Times New Roman" w:eastAsia="宋体" w:hAnsi="Times New Roman" w:cs="Times New Roman"/>
          <w:color w:val="000000" w:themeColor="text1"/>
          <w:sz w:val="24"/>
          <w:szCs w:val="24"/>
        </w:rPr>
        <w:t>44 h</w:t>
      </w:r>
      <w:r>
        <w:rPr>
          <w:rFonts w:ascii="Times New Roman" w:eastAsia="宋体" w:hAnsi="Times New Roman" w:cs="Times New Roman" w:hint="eastAsia"/>
          <w:color w:val="000000" w:themeColor="text1"/>
          <w:sz w:val="24"/>
          <w:szCs w:val="24"/>
        </w:rPr>
        <w:t>动态血压监测</w:t>
      </w:r>
      <w:r w:rsidR="00B411DC">
        <w:rPr>
          <w:rFonts w:ascii="Times New Roman" w:eastAsia="宋体" w:hAnsi="Times New Roman" w:cs="Times New Roman"/>
          <w:color w:val="000000" w:themeColor="text1"/>
          <w:sz w:val="24"/>
          <w:szCs w:val="24"/>
        </w:rPr>
        <w:fldChar w:fldCharType="begin"/>
      </w:r>
      <w:r>
        <w:rPr>
          <w:rFonts w:ascii="Times New Roman" w:eastAsia="宋体" w:hAnsi="Times New Roman" w:cs="Times New Roman"/>
          <w:color w:val="000000" w:themeColor="text1"/>
          <w:sz w:val="24"/>
          <w:szCs w:val="24"/>
        </w:rPr>
        <w:instrText xml:space="preserve"> ADDIN NE.Ref.{4EA6DA22-B9BC-43AE-9163-D500B6FA3977}</w:instrText>
      </w:r>
      <w:r w:rsidR="00B411DC">
        <w:rPr>
          <w:rFonts w:ascii="Times New Roman" w:eastAsia="宋体" w:hAnsi="Times New Roman" w:cs="Times New Roman"/>
          <w:color w:val="000000" w:themeColor="text1"/>
          <w:sz w:val="24"/>
          <w:szCs w:val="24"/>
        </w:rPr>
        <w:fldChar w:fldCharType="separate"/>
      </w:r>
      <w:r>
        <w:rPr>
          <w:rFonts w:ascii="Times New Roman" w:eastAsia="宋体" w:hAnsi="Times New Roman" w:cs="Times New Roman"/>
          <w:color w:val="000000" w:themeColor="text1"/>
          <w:kern w:val="0"/>
          <w:sz w:val="24"/>
          <w:szCs w:val="24"/>
          <w:vertAlign w:val="superscript"/>
        </w:rPr>
        <w:t>[26, 61-63]</w:t>
      </w:r>
      <w:r w:rsidR="00B411DC">
        <w:rPr>
          <w:rFonts w:ascii="Times New Roman" w:eastAsia="宋体" w:hAnsi="Times New Roman" w:cs="Times New Roman"/>
          <w:color w:val="000000" w:themeColor="text1"/>
          <w:sz w:val="24"/>
          <w:szCs w:val="24"/>
        </w:rPr>
        <w:fldChar w:fldCharType="end"/>
      </w:r>
      <w:r>
        <w:rPr>
          <w:rFonts w:ascii="Times New Roman" w:eastAsia="宋体" w:hAnsi="Times New Roman" w:cs="Times New Roman" w:hint="eastAsia"/>
          <w:color w:val="000000" w:themeColor="text1"/>
          <w:sz w:val="24"/>
          <w:szCs w:val="24"/>
        </w:rPr>
        <w:t>。但是对于透析患者而言，</w:t>
      </w:r>
      <w:r>
        <w:rPr>
          <w:rFonts w:ascii="Times New Roman" w:eastAsia="宋体" w:hAnsi="Times New Roman" w:cs="Times New Roman"/>
          <w:color w:val="000000" w:themeColor="text1"/>
          <w:sz w:val="24"/>
          <w:szCs w:val="24"/>
        </w:rPr>
        <w:t>ABPM</w:t>
      </w:r>
      <w:r>
        <w:rPr>
          <w:rFonts w:ascii="Times New Roman" w:eastAsia="宋体" w:hAnsi="Times New Roman" w:cs="Times New Roman" w:hint="eastAsia"/>
          <w:color w:val="000000" w:themeColor="text1"/>
          <w:sz w:val="24"/>
          <w:szCs w:val="24"/>
        </w:rPr>
        <w:t>不方便、费用高、影响睡眠，还有损伤上肢动静脉内瘘的可能</w:t>
      </w:r>
      <w:r w:rsidR="00B411DC">
        <w:rPr>
          <w:rFonts w:ascii="Times New Roman" w:eastAsia="宋体" w:hAnsi="Times New Roman" w:cs="Times New Roman"/>
          <w:color w:val="000000" w:themeColor="text1"/>
          <w:sz w:val="24"/>
          <w:szCs w:val="24"/>
        </w:rPr>
        <w:fldChar w:fldCharType="begin"/>
      </w:r>
      <w:r>
        <w:rPr>
          <w:rFonts w:ascii="Times New Roman" w:eastAsia="宋体" w:hAnsi="Times New Roman" w:cs="Times New Roman"/>
          <w:color w:val="000000" w:themeColor="text1"/>
          <w:sz w:val="24"/>
          <w:szCs w:val="24"/>
        </w:rPr>
        <w:instrText xml:space="preserve"> ADDIN NE.Ref.{F6AFD73F-DB2E-46A9-85CB-EB288565AF12}</w:instrText>
      </w:r>
      <w:r w:rsidR="00B411DC">
        <w:rPr>
          <w:rFonts w:ascii="Times New Roman" w:eastAsia="宋体" w:hAnsi="Times New Roman" w:cs="Times New Roman"/>
          <w:color w:val="000000" w:themeColor="text1"/>
          <w:sz w:val="24"/>
          <w:szCs w:val="24"/>
        </w:rPr>
        <w:fldChar w:fldCharType="separate"/>
      </w:r>
      <w:r>
        <w:rPr>
          <w:rFonts w:ascii="Times New Roman" w:eastAsia="宋体" w:hAnsi="Times New Roman" w:cs="Times New Roman"/>
          <w:color w:val="000000" w:themeColor="text1"/>
          <w:kern w:val="0"/>
          <w:sz w:val="24"/>
          <w:szCs w:val="24"/>
          <w:vertAlign w:val="superscript"/>
        </w:rPr>
        <w:t>[64-65]</w:t>
      </w:r>
      <w:r w:rsidR="00B411DC">
        <w:rPr>
          <w:rFonts w:ascii="Times New Roman" w:eastAsia="宋体" w:hAnsi="Times New Roman" w:cs="Times New Roman"/>
          <w:color w:val="000000" w:themeColor="text1"/>
          <w:sz w:val="24"/>
          <w:szCs w:val="24"/>
        </w:rPr>
        <w:fldChar w:fldCharType="end"/>
      </w:r>
      <w:r>
        <w:rPr>
          <w:rFonts w:ascii="Times New Roman" w:eastAsia="宋体" w:hAnsi="Times New Roman" w:cs="Times New Roman" w:hint="eastAsia"/>
          <w:color w:val="000000" w:themeColor="text1"/>
          <w:sz w:val="24"/>
          <w:szCs w:val="24"/>
        </w:rPr>
        <w:t>。当无法进行</w:t>
      </w:r>
      <w:r>
        <w:rPr>
          <w:rFonts w:ascii="Times New Roman" w:eastAsia="宋体" w:hAnsi="Times New Roman" w:cs="Times New Roman"/>
          <w:color w:val="000000" w:themeColor="text1"/>
          <w:sz w:val="24"/>
          <w:szCs w:val="24"/>
        </w:rPr>
        <w:t>ABPM</w:t>
      </w:r>
      <w:r>
        <w:rPr>
          <w:rFonts w:ascii="Times New Roman" w:eastAsia="宋体" w:hAnsi="Times New Roman" w:cs="Times New Roman" w:hint="eastAsia"/>
          <w:color w:val="000000" w:themeColor="text1"/>
          <w:sz w:val="24"/>
          <w:szCs w:val="24"/>
        </w:rPr>
        <w:t>时，推荐</w:t>
      </w:r>
      <w:r>
        <w:rPr>
          <w:rFonts w:ascii="Times New Roman" w:eastAsia="宋体" w:hAnsi="Times New Roman" w:cs="Times New Roman"/>
          <w:color w:val="000000" w:themeColor="text1"/>
          <w:sz w:val="24"/>
          <w:szCs w:val="24"/>
        </w:rPr>
        <w:t>HD</w:t>
      </w:r>
      <w:r>
        <w:rPr>
          <w:rFonts w:ascii="Times New Roman" w:eastAsia="宋体" w:hAnsi="Times New Roman" w:cs="Times New Roman" w:hint="eastAsia"/>
          <w:color w:val="000000" w:themeColor="text1"/>
          <w:sz w:val="24"/>
          <w:szCs w:val="24"/>
        </w:rPr>
        <w:t>患者进行每天两次的家庭血压测量（</w:t>
      </w:r>
      <w:r>
        <w:rPr>
          <w:rFonts w:ascii="Times New Roman" w:eastAsia="宋体" w:hAnsi="Times New Roman" w:cs="Times New Roman"/>
          <w:color w:val="000000" w:themeColor="text1"/>
          <w:sz w:val="24"/>
          <w:szCs w:val="24"/>
        </w:rPr>
        <w:t>home blood pressure monitoring</w:t>
      </w:r>
      <w:r>
        <w:rPr>
          <w:rFonts w:ascii="Times New Roman" w:eastAsia="宋体" w:hAnsi="Times New Roman" w:cs="Times New Roman" w:hint="eastAsia"/>
          <w:color w:val="000000" w:themeColor="text1"/>
          <w:sz w:val="24"/>
          <w:szCs w:val="24"/>
        </w:rPr>
        <w:t>，</w:t>
      </w:r>
      <w:r>
        <w:rPr>
          <w:rFonts w:ascii="Times New Roman" w:eastAsia="宋体" w:hAnsi="Times New Roman" w:cs="Times New Roman"/>
          <w:color w:val="000000" w:themeColor="text1"/>
          <w:sz w:val="24"/>
          <w:szCs w:val="24"/>
        </w:rPr>
        <w:t>HBPM</w:t>
      </w:r>
      <w:r>
        <w:rPr>
          <w:rFonts w:ascii="Times New Roman" w:eastAsia="宋体" w:hAnsi="Times New Roman" w:cs="Times New Roman" w:hint="eastAsia"/>
          <w:color w:val="000000" w:themeColor="text1"/>
          <w:sz w:val="24"/>
          <w:szCs w:val="24"/>
        </w:rPr>
        <w:t>）</w:t>
      </w:r>
      <w:r w:rsidR="00B411DC">
        <w:rPr>
          <w:rFonts w:ascii="Times New Roman" w:eastAsia="宋体" w:hAnsi="Times New Roman" w:cs="Times New Roman"/>
          <w:color w:val="000000" w:themeColor="text1"/>
          <w:sz w:val="24"/>
          <w:szCs w:val="24"/>
        </w:rPr>
        <w:fldChar w:fldCharType="begin"/>
      </w:r>
      <w:r>
        <w:rPr>
          <w:rFonts w:ascii="Times New Roman" w:eastAsia="宋体" w:hAnsi="Times New Roman" w:cs="Times New Roman"/>
          <w:color w:val="000000" w:themeColor="text1"/>
          <w:sz w:val="24"/>
          <w:szCs w:val="24"/>
        </w:rPr>
        <w:instrText xml:space="preserve"> ADDIN NE.Ref.{82F04A2D-7F91-403D-8933-1EEBA3F08CC4}</w:instrText>
      </w:r>
      <w:r w:rsidR="00B411DC">
        <w:rPr>
          <w:rFonts w:ascii="Times New Roman" w:eastAsia="宋体" w:hAnsi="Times New Roman" w:cs="Times New Roman"/>
          <w:color w:val="000000" w:themeColor="text1"/>
          <w:sz w:val="24"/>
          <w:szCs w:val="24"/>
        </w:rPr>
        <w:fldChar w:fldCharType="separate"/>
      </w:r>
      <w:r>
        <w:rPr>
          <w:rFonts w:ascii="Times New Roman" w:eastAsia="宋体" w:hAnsi="Times New Roman" w:cs="Times New Roman"/>
          <w:color w:val="000000" w:themeColor="text1"/>
          <w:kern w:val="0"/>
          <w:sz w:val="24"/>
          <w:szCs w:val="24"/>
          <w:vertAlign w:val="superscript"/>
        </w:rPr>
        <w:t>[41,65]</w:t>
      </w:r>
      <w:r w:rsidR="00B411DC">
        <w:rPr>
          <w:rFonts w:ascii="Times New Roman" w:eastAsia="宋体" w:hAnsi="Times New Roman" w:cs="Times New Roman"/>
          <w:color w:val="000000" w:themeColor="text1"/>
          <w:sz w:val="24"/>
          <w:szCs w:val="24"/>
        </w:rPr>
        <w:fldChar w:fldCharType="end"/>
      </w:r>
      <w:r>
        <w:rPr>
          <w:rFonts w:ascii="Times New Roman" w:eastAsia="宋体" w:hAnsi="Times New Roman" w:cs="Times New Roman" w:hint="eastAsia"/>
          <w:color w:val="000000" w:themeColor="text1"/>
          <w:sz w:val="24"/>
          <w:szCs w:val="24"/>
        </w:rPr>
        <w:t>。建议在周中透析后的连续</w:t>
      </w:r>
      <w:r>
        <w:rPr>
          <w:rFonts w:ascii="Times New Roman" w:eastAsia="宋体" w:hAnsi="Times New Roman" w:cs="Times New Roman"/>
          <w:color w:val="000000" w:themeColor="text1"/>
          <w:sz w:val="24"/>
          <w:szCs w:val="24"/>
        </w:rPr>
        <w:t>4 d</w:t>
      </w:r>
      <w:r>
        <w:rPr>
          <w:rFonts w:ascii="Times New Roman" w:eastAsia="宋体" w:hAnsi="Times New Roman" w:cs="Times New Roman" w:hint="eastAsia"/>
          <w:color w:val="000000" w:themeColor="text1"/>
          <w:sz w:val="24"/>
          <w:szCs w:val="24"/>
        </w:rPr>
        <w:t>或者</w:t>
      </w:r>
      <w:r>
        <w:rPr>
          <w:rFonts w:ascii="Times New Roman" w:eastAsia="宋体" w:hAnsi="Times New Roman" w:cs="Times New Roman"/>
          <w:color w:val="000000" w:themeColor="text1"/>
          <w:sz w:val="24"/>
          <w:szCs w:val="24"/>
        </w:rPr>
        <w:t>1~2</w:t>
      </w:r>
      <w:r>
        <w:rPr>
          <w:rFonts w:ascii="Times New Roman" w:eastAsia="宋体" w:hAnsi="Times New Roman" w:cs="Times New Roman" w:hint="eastAsia"/>
          <w:color w:val="000000" w:themeColor="text1"/>
          <w:sz w:val="24"/>
          <w:szCs w:val="24"/>
        </w:rPr>
        <w:t>周内的透析间隔日，每天进行</w:t>
      </w:r>
      <w:r>
        <w:rPr>
          <w:rFonts w:ascii="Times New Roman" w:eastAsia="宋体" w:hAnsi="Times New Roman" w:cs="Times New Roman"/>
          <w:color w:val="000000" w:themeColor="text1"/>
          <w:sz w:val="24"/>
          <w:szCs w:val="24"/>
        </w:rPr>
        <w:t>2</w:t>
      </w:r>
      <w:r>
        <w:rPr>
          <w:rFonts w:ascii="Times New Roman" w:eastAsia="宋体" w:hAnsi="Times New Roman" w:cs="Times New Roman" w:hint="eastAsia"/>
          <w:color w:val="000000" w:themeColor="text1"/>
          <w:sz w:val="24"/>
          <w:szCs w:val="24"/>
        </w:rPr>
        <w:t>次血压测量（晨起和睡前）</w:t>
      </w:r>
      <w:r w:rsidR="00B411DC">
        <w:rPr>
          <w:rFonts w:ascii="Times New Roman" w:eastAsia="宋体" w:hAnsi="Times New Roman" w:cs="Times New Roman"/>
          <w:color w:val="000000" w:themeColor="text1"/>
          <w:sz w:val="24"/>
          <w:szCs w:val="24"/>
        </w:rPr>
        <w:fldChar w:fldCharType="begin"/>
      </w:r>
      <w:r>
        <w:rPr>
          <w:rFonts w:ascii="Times New Roman" w:eastAsia="宋体" w:hAnsi="Times New Roman" w:cs="Times New Roman"/>
          <w:color w:val="000000" w:themeColor="text1"/>
          <w:sz w:val="24"/>
          <w:szCs w:val="24"/>
        </w:rPr>
        <w:instrText xml:space="preserve"> ADDIN NE.Ref.{5FD8955A-2C49-43C3-BF38-1B7F425861D9}</w:instrText>
      </w:r>
      <w:r w:rsidR="00B411DC">
        <w:rPr>
          <w:rFonts w:ascii="Times New Roman" w:eastAsia="宋体" w:hAnsi="Times New Roman" w:cs="Times New Roman"/>
          <w:color w:val="000000" w:themeColor="text1"/>
          <w:sz w:val="24"/>
          <w:szCs w:val="24"/>
        </w:rPr>
        <w:fldChar w:fldCharType="separate"/>
      </w:r>
      <w:r>
        <w:rPr>
          <w:rFonts w:ascii="Times New Roman" w:eastAsia="宋体" w:hAnsi="Times New Roman" w:cs="Times New Roman"/>
          <w:color w:val="000000" w:themeColor="text1"/>
          <w:kern w:val="0"/>
          <w:sz w:val="24"/>
          <w:szCs w:val="24"/>
          <w:vertAlign w:val="superscript"/>
        </w:rPr>
        <w:t>[26, 66]</w:t>
      </w:r>
      <w:r w:rsidR="00B411DC">
        <w:rPr>
          <w:rFonts w:ascii="Times New Roman" w:eastAsia="宋体" w:hAnsi="Times New Roman" w:cs="Times New Roman"/>
          <w:color w:val="000000" w:themeColor="text1"/>
          <w:sz w:val="24"/>
          <w:szCs w:val="24"/>
        </w:rPr>
        <w:fldChar w:fldCharType="end"/>
      </w:r>
      <w:r>
        <w:rPr>
          <w:rFonts w:ascii="Times New Roman" w:eastAsia="宋体" w:hAnsi="Times New Roman" w:cs="Times New Roman" w:hint="eastAsia"/>
          <w:color w:val="000000" w:themeColor="text1"/>
          <w:sz w:val="24"/>
          <w:szCs w:val="24"/>
        </w:rPr>
        <w:t>。与</w:t>
      </w:r>
      <w:r>
        <w:rPr>
          <w:rFonts w:ascii="Times New Roman" w:eastAsia="宋体" w:hAnsi="Times New Roman" w:cs="Times New Roman"/>
          <w:color w:val="000000" w:themeColor="text1"/>
          <w:sz w:val="24"/>
          <w:szCs w:val="24"/>
        </w:rPr>
        <w:t>HD</w:t>
      </w:r>
      <w:r>
        <w:rPr>
          <w:rFonts w:ascii="Times New Roman" w:eastAsia="宋体" w:hAnsi="Times New Roman" w:cs="Times New Roman" w:hint="eastAsia"/>
          <w:color w:val="000000" w:themeColor="text1"/>
          <w:sz w:val="24"/>
          <w:szCs w:val="24"/>
        </w:rPr>
        <w:t>患者的透前血压相比，</w:t>
      </w:r>
      <w:r>
        <w:rPr>
          <w:rFonts w:ascii="Times New Roman" w:eastAsia="宋体" w:hAnsi="Times New Roman" w:cs="Times New Roman"/>
          <w:color w:val="000000" w:themeColor="text1"/>
          <w:sz w:val="24"/>
          <w:szCs w:val="24"/>
        </w:rPr>
        <w:t>HBPM</w:t>
      </w:r>
      <w:r>
        <w:rPr>
          <w:rFonts w:ascii="Times New Roman" w:eastAsia="宋体" w:hAnsi="Times New Roman" w:cs="Times New Roman" w:hint="eastAsia"/>
          <w:color w:val="000000" w:themeColor="text1"/>
          <w:sz w:val="24"/>
          <w:szCs w:val="24"/>
        </w:rPr>
        <w:t>与</w:t>
      </w:r>
      <w:r>
        <w:rPr>
          <w:rFonts w:ascii="Times New Roman" w:eastAsia="宋体" w:hAnsi="Times New Roman" w:cs="Times New Roman"/>
          <w:color w:val="000000" w:themeColor="text1"/>
          <w:sz w:val="24"/>
          <w:szCs w:val="24"/>
        </w:rPr>
        <w:t>ABPM</w:t>
      </w:r>
      <w:r>
        <w:rPr>
          <w:rFonts w:ascii="Times New Roman" w:eastAsia="宋体" w:hAnsi="Times New Roman" w:cs="Times New Roman" w:hint="eastAsia"/>
          <w:color w:val="000000" w:themeColor="text1"/>
          <w:sz w:val="24"/>
          <w:szCs w:val="24"/>
        </w:rPr>
        <w:t>的一致性好</w:t>
      </w:r>
      <w:r w:rsidR="00B411DC">
        <w:rPr>
          <w:rFonts w:ascii="Times New Roman" w:eastAsia="宋体" w:hAnsi="Times New Roman" w:cs="Times New Roman"/>
          <w:color w:val="000000" w:themeColor="text1"/>
          <w:sz w:val="24"/>
          <w:szCs w:val="24"/>
        </w:rPr>
        <w:fldChar w:fldCharType="begin"/>
      </w:r>
      <w:r>
        <w:rPr>
          <w:rFonts w:ascii="Times New Roman" w:eastAsia="宋体" w:hAnsi="Times New Roman" w:cs="Times New Roman"/>
          <w:color w:val="000000" w:themeColor="text1"/>
          <w:sz w:val="24"/>
          <w:szCs w:val="24"/>
        </w:rPr>
        <w:instrText xml:space="preserve"> ADDIN NE.Ref.{17A9039A-9E8D-4FD5-80D1-1BAF0143F35B}</w:instrText>
      </w:r>
      <w:r w:rsidR="00B411DC">
        <w:rPr>
          <w:rFonts w:ascii="Times New Roman" w:eastAsia="宋体" w:hAnsi="Times New Roman" w:cs="Times New Roman"/>
          <w:color w:val="000000" w:themeColor="text1"/>
          <w:sz w:val="24"/>
          <w:szCs w:val="24"/>
        </w:rPr>
        <w:fldChar w:fldCharType="separate"/>
      </w:r>
      <w:r>
        <w:rPr>
          <w:rFonts w:ascii="Times New Roman" w:eastAsia="宋体" w:hAnsi="Times New Roman" w:cs="Times New Roman"/>
          <w:color w:val="000000" w:themeColor="text1"/>
          <w:kern w:val="0"/>
          <w:sz w:val="24"/>
          <w:szCs w:val="24"/>
          <w:vertAlign w:val="superscript"/>
        </w:rPr>
        <w:t>[41, 65]</w:t>
      </w:r>
      <w:r w:rsidR="00B411DC">
        <w:rPr>
          <w:rFonts w:ascii="Times New Roman" w:eastAsia="宋体" w:hAnsi="Times New Roman" w:cs="Times New Roman"/>
          <w:color w:val="000000" w:themeColor="text1"/>
          <w:sz w:val="24"/>
          <w:szCs w:val="24"/>
        </w:rPr>
        <w:fldChar w:fldCharType="end"/>
      </w:r>
      <w:r>
        <w:rPr>
          <w:rFonts w:ascii="Times New Roman" w:eastAsia="宋体" w:hAnsi="Times New Roman" w:cs="Times New Roman" w:hint="eastAsia"/>
          <w:color w:val="000000" w:themeColor="text1"/>
          <w:sz w:val="24"/>
          <w:szCs w:val="24"/>
        </w:rPr>
        <w:t>，短期再现性好</w:t>
      </w:r>
      <w:r w:rsidR="00B411DC">
        <w:rPr>
          <w:rFonts w:ascii="Times New Roman" w:eastAsia="宋体" w:hAnsi="Times New Roman" w:cs="Times New Roman"/>
          <w:color w:val="000000" w:themeColor="text1"/>
          <w:sz w:val="24"/>
          <w:szCs w:val="24"/>
        </w:rPr>
        <w:fldChar w:fldCharType="begin"/>
      </w:r>
      <w:r>
        <w:rPr>
          <w:rFonts w:ascii="Times New Roman" w:eastAsia="宋体" w:hAnsi="Times New Roman" w:cs="Times New Roman"/>
          <w:color w:val="000000" w:themeColor="text1"/>
          <w:sz w:val="24"/>
          <w:szCs w:val="24"/>
        </w:rPr>
        <w:instrText xml:space="preserve"> ADDIN NE.Ref.{F15D5EC9-889A-4146-8789-73F2EFF188CE}</w:instrText>
      </w:r>
      <w:r w:rsidR="00B411DC">
        <w:rPr>
          <w:rFonts w:ascii="Times New Roman" w:eastAsia="宋体" w:hAnsi="Times New Roman" w:cs="Times New Roman"/>
          <w:color w:val="000000" w:themeColor="text1"/>
          <w:sz w:val="24"/>
          <w:szCs w:val="24"/>
        </w:rPr>
        <w:fldChar w:fldCharType="separate"/>
      </w:r>
      <w:r>
        <w:rPr>
          <w:rFonts w:ascii="Times New Roman" w:eastAsia="宋体" w:hAnsi="Times New Roman" w:cs="Times New Roman"/>
          <w:color w:val="000000" w:themeColor="text1"/>
          <w:kern w:val="0"/>
          <w:sz w:val="24"/>
          <w:szCs w:val="24"/>
          <w:vertAlign w:val="superscript"/>
        </w:rPr>
        <w:t>[67]</w:t>
      </w:r>
      <w:r w:rsidR="00B411DC">
        <w:rPr>
          <w:rFonts w:ascii="Times New Roman" w:eastAsia="宋体" w:hAnsi="Times New Roman" w:cs="Times New Roman"/>
          <w:color w:val="000000" w:themeColor="text1"/>
          <w:sz w:val="24"/>
          <w:szCs w:val="24"/>
        </w:rPr>
        <w:fldChar w:fldCharType="end"/>
      </w:r>
      <w:r w:rsidR="00B411DC">
        <w:rPr>
          <w:rFonts w:ascii="Times New Roman" w:eastAsia="宋体" w:hAnsi="Times New Roman" w:cs="Times New Roman"/>
          <w:color w:val="000000" w:themeColor="text1"/>
          <w:sz w:val="24"/>
          <w:szCs w:val="24"/>
        </w:rPr>
        <w:fldChar w:fldCharType="begin"/>
      </w:r>
      <w:r>
        <w:rPr>
          <w:rFonts w:ascii="Times New Roman" w:eastAsia="宋体" w:hAnsi="Times New Roman" w:cs="Times New Roman"/>
          <w:color w:val="000000" w:themeColor="text1"/>
          <w:sz w:val="24"/>
          <w:szCs w:val="24"/>
        </w:rPr>
        <w:instrText xml:space="preserve"> ADDIN NE.Ref.{A8CBD077-F034-4D81-A6D2-D9505442569C}</w:instrText>
      </w:r>
      <w:r w:rsidR="00B411DC">
        <w:rPr>
          <w:rFonts w:ascii="Times New Roman" w:eastAsia="宋体" w:hAnsi="Times New Roman" w:cs="Times New Roman"/>
          <w:color w:val="000000" w:themeColor="text1"/>
          <w:sz w:val="24"/>
          <w:szCs w:val="24"/>
        </w:rPr>
        <w:fldChar w:fldCharType="end"/>
      </w:r>
      <w:r>
        <w:rPr>
          <w:rFonts w:ascii="Times New Roman" w:eastAsia="宋体" w:hAnsi="Times New Roman" w:cs="Times New Roman" w:hint="eastAsia"/>
          <w:color w:val="000000" w:themeColor="text1"/>
          <w:sz w:val="24"/>
          <w:szCs w:val="24"/>
        </w:rPr>
        <w:t>。</w:t>
      </w:r>
      <w:r>
        <w:rPr>
          <w:rFonts w:ascii="Times New Roman" w:eastAsia="宋体" w:hAnsi="Times New Roman" w:cs="Times New Roman"/>
          <w:color w:val="000000" w:themeColor="text1"/>
          <w:sz w:val="24"/>
          <w:szCs w:val="24"/>
        </w:rPr>
        <w:t>HBPM</w:t>
      </w:r>
      <w:r>
        <w:rPr>
          <w:rFonts w:ascii="Times New Roman" w:eastAsia="宋体" w:hAnsi="Times New Roman" w:cs="Times New Roman" w:hint="eastAsia"/>
          <w:color w:val="000000" w:themeColor="text1"/>
          <w:sz w:val="24"/>
          <w:szCs w:val="24"/>
        </w:rPr>
        <w:t>的主要缺点是缺乏夜间血压</w:t>
      </w:r>
      <w:r w:rsidR="00B411DC">
        <w:rPr>
          <w:rFonts w:ascii="Times New Roman" w:eastAsia="宋体" w:hAnsi="Times New Roman" w:cs="Times New Roman"/>
          <w:color w:val="000000" w:themeColor="text1"/>
          <w:sz w:val="24"/>
          <w:szCs w:val="24"/>
        </w:rPr>
        <w:fldChar w:fldCharType="begin"/>
      </w:r>
      <w:r>
        <w:rPr>
          <w:rFonts w:ascii="Times New Roman" w:eastAsia="宋体" w:hAnsi="Times New Roman" w:cs="Times New Roman"/>
          <w:color w:val="000000" w:themeColor="text1"/>
          <w:sz w:val="24"/>
          <w:szCs w:val="24"/>
        </w:rPr>
        <w:instrText xml:space="preserve"> ADDIN NE.Ref.{92F2EDF6-46ED-4048-8036-A2A0F6A05CBF}</w:instrText>
      </w:r>
      <w:r w:rsidR="00B411DC">
        <w:rPr>
          <w:rFonts w:ascii="Times New Roman" w:eastAsia="宋体" w:hAnsi="Times New Roman" w:cs="Times New Roman"/>
          <w:color w:val="000000" w:themeColor="text1"/>
          <w:sz w:val="24"/>
          <w:szCs w:val="24"/>
        </w:rPr>
        <w:fldChar w:fldCharType="separate"/>
      </w:r>
      <w:r>
        <w:rPr>
          <w:rFonts w:ascii="Times New Roman" w:eastAsia="宋体" w:hAnsi="Times New Roman" w:cs="Times New Roman"/>
          <w:color w:val="000000" w:themeColor="text1"/>
          <w:kern w:val="0"/>
          <w:sz w:val="24"/>
          <w:szCs w:val="24"/>
          <w:vertAlign w:val="superscript"/>
        </w:rPr>
        <w:t>[68-69]</w:t>
      </w:r>
      <w:r w:rsidR="00B411DC">
        <w:rPr>
          <w:rFonts w:ascii="Times New Roman" w:eastAsia="宋体" w:hAnsi="Times New Roman" w:cs="Times New Roman"/>
          <w:color w:val="000000" w:themeColor="text1"/>
          <w:sz w:val="24"/>
          <w:szCs w:val="24"/>
        </w:rPr>
        <w:fldChar w:fldCharType="end"/>
      </w:r>
      <w:r>
        <w:rPr>
          <w:rFonts w:ascii="Times New Roman" w:eastAsia="宋体" w:hAnsi="Times New Roman" w:cs="Times New Roman" w:hint="eastAsia"/>
          <w:color w:val="000000" w:themeColor="text1"/>
          <w:sz w:val="24"/>
          <w:szCs w:val="24"/>
        </w:rPr>
        <w:t>。如果</w:t>
      </w:r>
      <w:r>
        <w:rPr>
          <w:rFonts w:ascii="Times New Roman" w:eastAsia="宋体" w:hAnsi="Times New Roman" w:cs="Times New Roman"/>
          <w:color w:val="000000" w:themeColor="text1"/>
          <w:sz w:val="24"/>
          <w:szCs w:val="24"/>
        </w:rPr>
        <w:t>HD</w:t>
      </w:r>
      <w:r>
        <w:rPr>
          <w:rFonts w:ascii="Times New Roman" w:eastAsia="宋体" w:hAnsi="Times New Roman" w:cs="Times New Roman" w:hint="eastAsia"/>
          <w:color w:val="000000" w:themeColor="text1"/>
          <w:sz w:val="24"/>
          <w:szCs w:val="24"/>
        </w:rPr>
        <w:t>患者既不能做</w:t>
      </w:r>
      <w:r>
        <w:rPr>
          <w:rFonts w:ascii="Times New Roman" w:eastAsia="宋体" w:hAnsi="Times New Roman" w:cs="Times New Roman"/>
          <w:color w:val="000000" w:themeColor="text1"/>
          <w:sz w:val="24"/>
          <w:szCs w:val="24"/>
        </w:rPr>
        <w:t>ABPM</w:t>
      </w:r>
      <w:r>
        <w:rPr>
          <w:rFonts w:ascii="Times New Roman" w:eastAsia="宋体" w:hAnsi="Times New Roman" w:cs="Times New Roman" w:hint="eastAsia"/>
          <w:color w:val="000000" w:themeColor="text1"/>
          <w:sz w:val="24"/>
          <w:szCs w:val="24"/>
        </w:rPr>
        <w:t>又没有</w:t>
      </w:r>
      <w:r>
        <w:rPr>
          <w:rFonts w:ascii="Times New Roman" w:eastAsia="宋体" w:hAnsi="Times New Roman" w:cs="Times New Roman"/>
          <w:color w:val="000000" w:themeColor="text1"/>
          <w:sz w:val="24"/>
          <w:szCs w:val="24"/>
        </w:rPr>
        <w:t>HBPM</w:t>
      </w:r>
      <w:r>
        <w:rPr>
          <w:rFonts w:ascii="Times New Roman" w:eastAsia="宋体" w:hAnsi="Times New Roman" w:cs="Times New Roman" w:hint="eastAsia"/>
          <w:color w:val="000000" w:themeColor="text1"/>
          <w:sz w:val="24"/>
          <w:szCs w:val="24"/>
        </w:rPr>
        <w:t>，可以采用非</w:t>
      </w:r>
      <w:r>
        <w:rPr>
          <w:rFonts w:ascii="Times New Roman" w:eastAsia="宋体" w:hAnsi="Times New Roman" w:cs="Times New Roman"/>
          <w:color w:val="000000" w:themeColor="text1"/>
          <w:sz w:val="24"/>
          <w:szCs w:val="24"/>
        </w:rPr>
        <w:t>HD</w:t>
      </w:r>
      <w:r>
        <w:rPr>
          <w:rFonts w:ascii="Times New Roman" w:eastAsia="宋体" w:hAnsi="Times New Roman" w:cs="Times New Roman" w:hint="eastAsia"/>
          <w:color w:val="000000" w:themeColor="text1"/>
          <w:sz w:val="24"/>
          <w:szCs w:val="24"/>
        </w:rPr>
        <w:t>日诊室血压</w:t>
      </w:r>
      <w:r w:rsidR="00B411DC">
        <w:rPr>
          <w:rFonts w:ascii="Times New Roman" w:eastAsia="宋体" w:hAnsi="Times New Roman" w:cs="Times New Roman"/>
          <w:color w:val="000000" w:themeColor="text1"/>
          <w:sz w:val="24"/>
          <w:szCs w:val="24"/>
        </w:rPr>
        <w:fldChar w:fldCharType="begin"/>
      </w:r>
      <w:r>
        <w:rPr>
          <w:rFonts w:ascii="Times New Roman" w:eastAsia="宋体" w:hAnsi="Times New Roman" w:cs="Times New Roman"/>
          <w:color w:val="000000" w:themeColor="text1"/>
          <w:sz w:val="24"/>
          <w:szCs w:val="24"/>
        </w:rPr>
        <w:instrText xml:space="preserve"> ADDIN NE.Ref.{F09CF603-791B-47DF-BB70-34B82C97FA76}</w:instrText>
      </w:r>
      <w:r w:rsidR="00B411DC">
        <w:rPr>
          <w:rFonts w:ascii="Times New Roman" w:eastAsia="宋体" w:hAnsi="Times New Roman" w:cs="Times New Roman"/>
          <w:color w:val="000000" w:themeColor="text1"/>
          <w:sz w:val="24"/>
          <w:szCs w:val="24"/>
        </w:rPr>
        <w:fldChar w:fldCharType="separate"/>
      </w:r>
      <w:r>
        <w:rPr>
          <w:rFonts w:ascii="Times New Roman" w:eastAsia="宋体" w:hAnsi="Times New Roman" w:cs="Times New Roman"/>
          <w:color w:val="000000" w:themeColor="text1"/>
          <w:kern w:val="0"/>
          <w:sz w:val="24"/>
          <w:szCs w:val="24"/>
          <w:vertAlign w:val="superscript"/>
        </w:rPr>
        <w:t>[66]</w:t>
      </w:r>
      <w:r w:rsidR="00B411DC">
        <w:rPr>
          <w:rFonts w:ascii="Times New Roman" w:eastAsia="宋体" w:hAnsi="Times New Roman" w:cs="Times New Roman"/>
          <w:color w:val="000000" w:themeColor="text1"/>
          <w:sz w:val="24"/>
          <w:szCs w:val="24"/>
        </w:rPr>
        <w:fldChar w:fldCharType="end"/>
      </w:r>
      <w:r>
        <w:rPr>
          <w:rFonts w:ascii="Times New Roman" w:eastAsia="宋体" w:hAnsi="Times New Roman" w:cs="Times New Roman" w:hint="eastAsia"/>
          <w:color w:val="000000" w:themeColor="text1"/>
          <w:sz w:val="24"/>
          <w:szCs w:val="24"/>
        </w:rPr>
        <w:t>。另一种替代方法是</w:t>
      </w:r>
      <w:r>
        <w:rPr>
          <w:rFonts w:ascii="Times New Roman" w:eastAsia="宋体" w:hAnsi="Times New Roman" w:cs="Times New Roman"/>
          <w:color w:val="000000" w:themeColor="text1"/>
          <w:sz w:val="24"/>
          <w:szCs w:val="24"/>
        </w:rPr>
        <w:t>HD</w:t>
      </w:r>
      <w:r>
        <w:rPr>
          <w:rFonts w:ascii="Times New Roman" w:eastAsia="宋体" w:hAnsi="Times New Roman" w:cs="Times New Roman" w:hint="eastAsia"/>
          <w:color w:val="000000" w:themeColor="text1"/>
          <w:sz w:val="24"/>
          <w:szCs w:val="24"/>
        </w:rPr>
        <w:t>的透前、透中和透后</w:t>
      </w:r>
      <w:r>
        <w:rPr>
          <w:rFonts w:ascii="Times New Roman" w:eastAsia="宋体" w:hAnsi="Times New Roman" w:cs="Times New Roman"/>
          <w:color w:val="000000" w:themeColor="text1"/>
          <w:sz w:val="24"/>
          <w:szCs w:val="24"/>
        </w:rPr>
        <w:t>BP</w:t>
      </w:r>
      <w:r>
        <w:rPr>
          <w:rFonts w:ascii="Times New Roman" w:eastAsia="宋体" w:hAnsi="Times New Roman" w:cs="Times New Roman" w:hint="eastAsia"/>
          <w:color w:val="000000" w:themeColor="text1"/>
          <w:sz w:val="24"/>
          <w:szCs w:val="24"/>
        </w:rPr>
        <w:t>的平均值</w:t>
      </w:r>
      <w:r>
        <w:rPr>
          <w:rFonts w:ascii="Times New Roman" w:eastAsia="宋体" w:hAnsi="Times New Roman" w:cs="Times New Roman"/>
          <w:color w:val="000000" w:themeColor="text1"/>
          <w:sz w:val="24"/>
          <w:szCs w:val="24"/>
        </w:rPr>
        <w:t>/</w:t>
      </w:r>
      <w:r>
        <w:rPr>
          <w:rFonts w:ascii="Times New Roman" w:eastAsia="宋体" w:hAnsi="Times New Roman" w:cs="Times New Roman" w:hint="eastAsia"/>
          <w:color w:val="000000" w:themeColor="text1"/>
          <w:sz w:val="24"/>
          <w:szCs w:val="24"/>
        </w:rPr>
        <w:t>中位数值</w:t>
      </w:r>
      <w:r w:rsidR="00B411DC">
        <w:rPr>
          <w:rFonts w:ascii="Times New Roman" w:eastAsia="宋体" w:hAnsi="Times New Roman" w:cs="Times New Roman"/>
          <w:color w:val="000000" w:themeColor="text1"/>
          <w:sz w:val="24"/>
          <w:szCs w:val="24"/>
        </w:rPr>
        <w:fldChar w:fldCharType="begin"/>
      </w:r>
      <w:r>
        <w:rPr>
          <w:rFonts w:ascii="Times New Roman" w:eastAsia="宋体" w:hAnsi="Times New Roman" w:cs="Times New Roman"/>
          <w:color w:val="000000" w:themeColor="text1"/>
          <w:sz w:val="24"/>
          <w:szCs w:val="24"/>
        </w:rPr>
        <w:instrText xml:space="preserve"> ADDIN NE.Ref.{B9A61825-25D0-4A48-ADAC-EA7F09B23080}</w:instrText>
      </w:r>
      <w:r w:rsidR="00B411DC">
        <w:rPr>
          <w:rFonts w:ascii="Times New Roman" w:eastAsia="宋体" w:hAnsi="Times New Roman" w:cs="Times New Roman"/>
          <w:color w:val="000000" w:themeColor="text1"/>
          <w:sz w:val="24"/>
          <w:szCs w:val="24"/>
        </w:rPr>
        <w:fldChar w:fldCharType="separate"/>
      </w:r>
      <w:r>
        <w:rPr>
          <w:rFonts w:ascii="Times New Roman" w:eastAsia="宋体" w:hAnsi="Times New Roman" w:cs="Times New Roman"/>
          <w:color w:val="000000" w:themeColor="text1"/>
          <w:kern w:val="0"/>
          <w:sz w:val="24"/>
          <w:szCs w:val="24"/>
          <w:vertAlign w:val="superscript"/>
        </w:rPr>
        <w:t>[70-71]</w:t>
      </w:r>
      <w:r w:rsidR="00B411DC">
        <w:rPr>
          <w:rFonts w:ascii="Times New Roman" w:eastAsia="宋体" w:hAnsi="Times New Roman" w:cs="Times New Roman"/>
          <w:color w:val="000000" w:themeColor="text1"/>
          <w:sz w:val="24"/>
          <w:szCs w:val="24"/>
        </w:rPr>
        <w:fldChar w:fldCharType="end"/>
      </w:r>
      <w:r>
        <w:rPr>
          <w:rFonts w:ascii="Times New Roman" w:eastAsia="宋体" w:hAnsi="Times New Roman" w:cs="Times New Roman" w:hint="eastAsia"/>
          <w:color w:val="000000" w:themeColor="text1"/>
          <w:sz w:val="24"/>
          <w:szCs w:val="24"/>
        </w:rPr>
        <w:t>。</w:t>
      </w:r>
    </w:p>
    <w:p w:rsidR="002E5476" w:rsidRDefault="00423E71">
      <w:pPr>
        <w:spacing w:line="360" w:lineRule="auto"/>
        <w:ind w:firstLineChars="200" w:firstLine="480"/>
        <w:rPr>
          <w:rFonts w:ascii="Times New Roman" w:eastAsia="宋体" w:hAnsi="Times New Roman" w:cs="Times New Roman"/>
          <w:color w:val="000000" w:themeColor="text1"/>
          <w:sz w:val="24"/>
          <w:szCs w:val="24"/>
        </w:rPr>
      </w:pPr>
      <w:r>
        <w:rPr>
          <w:rFonts w:ascii="Times New Roman" w:eastAsia="宋体" w:hAnsi="Times New Roman" w:cs="Times New Roman" w:hint="eastAsia"/>
          <w:color w:val="000000" w:themeColor="text1"/>
          <w:sz w:val="24"/>
          <w:szCs w:val="24"/>
        </w:rPr>
        <w:t>由于缺乏大样本高质量的</w:t>
      </w:r>
      <w:r>
        <w:rPr>
          <w:rFonts w:ascii="Times New Roman" w:eastAsia="宋体" w:hAnsi="Times New Roman" w:cs="Times New Roman"/>
          <w:color w:val="000000" w:themeColor="text1"/>
          <w:sz w:val="24"/>
          <w:szCs w:val="24"/>
        </w:rPr>
        <w:t>随机对照试验</w:t>
      </w:r>
      <w:r>
        <w:rPr>
          <w:rFonts w:ascii="Times New Roman" w:eastAsia="宋体" w:hAnsi="Times New Roman" w:cs="Times New Roman" w:hint="eastAsia"/>
          <w:color w:val="000000" w:themeColor="text1"/>
          <w:sz w:val="24"/>
          <w:szCs w:val="24"/>
        </w:rPr>
        <w:t>（</w:t>
      </w:r>
      <w:r>
        <w:rPr>
          <w:rFonts w:ascii="Times New Roman" w:eastAsia="宋体" w:hAnsi="Times New Roman" w:cs="Times New Roman"/>
          <w:color w:val="000000" w:themeColor="text1"/>
          <w:sz w:val="24"/>
          <w:szCs w:val="24"/>
        </w:rPr>
        <w:t>randomized-controlled trial, RCT</w:t>
      </w:r>
      <w:r>
        <w:rPr>
          <w:rFonts w:ascii="Times New Roman" w:eastAsia="宋体" w:hAnsi="Times New Roman" w:cs="Times New Roman" w:hint="eastAsia"/>
          <w:color w:val="000000" w:themeColor="text1"/>
          <w:sz w:val="24"/>
          <w:szCs w:val="24"/>
        </w:rPr>
        <w:t>）临床研究证据，目前透析人群尚无血压正常值范围和透析间血压（即非透析前或透析后）的目标值。</w:t>
      </w:r>
      <w:r>
        <w:rPr>
          <w:rFonts w:ascii="Times New Roman" w:eastAsia="宋体" w:hAnsi="Times New Roman" w:cs="Times New Roman"/>
          <w:color w:val="000000" w:themeColor="text1"/>
          <w:sz w:val="24"/>
          <w:szCs w:val="24"/>
        </w:rPr>
        <w:t>2017</w:t>
      </w:r>
      <w:r>
        <w:rPr>
          <w:rFonts w:ascii="Times New Roman" w:eastAsia="宋体" w:hAnsi="Times New Roman" w:cs="Times New Roman" w:hint="eastAsia"/>
          <w:color w:val="000000" w:themeColor="text1"/>
          <w:sz w:val="24"/>
          <w:szCs w:val="24"/>
        </w:rPr>
        <w:t>年</w:t>
      </w:r>
      <w:r>
        <w:rPr>
          <w:rFonts w:ascii="Times New Roman" w:eastAsia="宋体" w:hAnsi="Times New Roman" w:cs="Times New Roman"/>
          <w:color w:val="000000" w:themeColor="text1"/>
          <w:sz w:val="24"/>
          <w:szCs w:val="24"/>
        </w:rPr>
        <w:t>ERA-EDTA</w:t>
      </w:r>
      <w:r>
        <w:rPr>
          <w:rFonts w:ascii="Times New Roman" w:eastAsia="宋体" w:hAnsi="Times New Roman" w:cs="Times New Roman" w:hint="eastAsia"/>
          <w:color w:val="000000" w:themeColor="text1"/>
          <w:sz w:val="24"/>
          <w:szCs w:val="24"/>
        </w:rPr>
        <w:t>关于透析患者高血压的共识文件主要依据普通人群高血压的指南推荐（见表</w:t>
      </w:r>
      <w:r>
        <w:rPr>
          <w:rFonts w:ascii="Times New Roman" w:eastAsia="宋体" w:hAnsi="Times New Roman" w:cs="Times New Roman"/>
          <w:color w:val="000000" w:themeColor="text1"/>
          <w:sz w:val="24"/>
          <w:szCs w:val="24"/>
        </w:rPr>
        <w:t>2</w:t>
      </w:r>
      <w:r>
        <w:rPr>
          <w:rFonts w:ascii="Times New Roman" w:eastAsia="宋体" w:hAnsi="Times New Roman" w:cs="Times New Roman" w:hint="eastAsia"/>
          <w:color w:val="000000" w:themeColor="text1"/>
          <w:sz w:val="24"/>
          <w:szCs w:val="24"/>
        </w:rPr>
        <w:t>）</w:t>
      </w:r>
      <w:r w:rsidR="00B411DC">
        <w:rPr>
          <w:rFonts w:ascii="Times New Roman" w:eastAsia="宋体" w:hAnsi="Times New Roman" w:cs="Times New Roman" w:hint="eastAsia"/>
          <w:color w:val="000000" w:themeColor="text1"/>
          <w:sz w:val="24"/>
          <w:szCs w:val="24"/>
        </w:rPr>
        <w:fldChar w:fldCharType="begin"/>
      </w:r>
      <w:r>
        <w:rPr>
          <w:rFonts w:ascii="Times New Roman" w:eastAsia="宋体" w:hAnsi="Times New Roman" w:cs="Times New Roman"/>
          <w:color w:val="000000" w:themeColor="text1"/>
          <w:sz w:val="24"/>
          <w:szCs w:val="24"/>
        </w:rPr>
        <w:instrText xml:space="preserve"> ADDIN NE.Ref.{C4E9169A-9FDF-4DF3-AC05-393422611392}</w:instrText>
      </w:r>
      <w:r w:rsidR="00B411DC">
        <w:rPr>
          <w:rFonts w:ascii="Times New Roman" w:eastAsia="宋体" w:hAnsi="Times New Roman" w:cs="Times New Roman" w:hint="eastAsia"/>
          <w:color w:val="000000" w:themeColor="text1"/>
          <w:sz w:val="24"/>
          <w:szCs w:val="24"/>
        </w:rPr>
        <w:fldChar w:fldCharType="separate"/>
      </w:r>
      <w:r>
        <w:rPr>
          <w:rFonts w:ascii="Times New Roman" w:eastAsia="宋体" w:hAnsi="Times New Roman" w:cs="Times New Roman"/>
          <w:color w:val="000000" w:themeColor="text1"/>
          <w:kern w:val="0"/>
          <w:sz w:val="24"/>
          <w:szCs w:val="24"/>
          <w:vertAlign w:val="superscript"/>
        </w:rPr>
        <w:t>[41]</w:t>
      </w:r>
      <w:r w:rsidR="00B411DC">
        <w:rPr>
          <w:rFonts w:ascii="Times New Roman" w:eastAsia="宋体" w:hAnsi="Times New Roman" w:cs="Times New Roman" w:hint="eastAsia"/>
          <w:color w:val="000000" w:themeColor="text1"/>
          <w:sz w:val="24"/>
          <w:szCs w:val="24"/>
        </w:rPr>
        <w:fldChar w:fldCharType="end"/>
      </w:r>
      <w:r>
        <w:rPr>
          <w:rFonts w:ascii="Times New Roman" w:eastAsia="宋体" w:hAnsi="Times New Roman" w:cs="Times New Roman" w:hint="eastAsia"/>
          <w:color w:val="000000" w:themeColor="text1"/>
          <w:sz w:val="24"/>
          <w:szCs w:val="24"/>
        </w:rPr>
        <w:t>，并未考虑到透析患者较高的心血管风险</w:t>
      </w:r>
      <w:r w:rsidR="00B411DC">
        <w:rPr>
          <w:rFonts w:ascii="Times New Roman" w:eastAsia="宋体" w:hAnsi="Times New Roman" w:cs="Times New Roman" w:hint="eastAsia"/>
          <w:color w:val="000000" w:themeColor="text1"/>
          <w:sz w:val="24"/>
          <w:szCs w:val="24"/>
        </w:rPr>
        <w:fldChar w:fldCharType="begin"/>
      </w:r>
      <w:r>
        <w:rPr>
          <w:rFonts w:ascii="Times New Roman" w:eastAsia="宋体" w:hAnsi="Times New Roman" w:cs="Times New Roman"/>
          <w:color w:val="000000" w:themeColor="text1"/>
          <w:sz w:val="24"/>
          <w:szCs w:val="24"/>
        </w:rPr>
        <w:instrText xml:space="preserve"> ADDIN NE.Ref.{24337222-3E85-4C41-8827-A1C85E59A050}</w:instrText>
      </w:r>
      <w:r w:rsidR="00B411DC">
        <w:rPr>
          <w:rFonts w:ascii="Times New Roman" w:eastAsia="宋体" w:hAnsi="Times New Roman" w:cs="Times New Roman" w:hint="eastAsia"/>
          <w:color w:val="000000" w:themeColor="text1"/>
          <w:sz w:val="24"/>
          <w:szCs w:val="24"/>
        </w:rPr>
        <w:fldChar w:fldCharType="separate"/>
      </w:r>
      <w:r>
        <w:rPr>
          <w:rFonts w:ascii="Times New Roman" w:eastAsia="宋体" w:hAnsi="Times New Roman" w:cs="Times New Roman"/>
          <w:color w:val="000000" w:themeColor="text1"/>
          <w:kern w:val="0"/>
          <w:sz w:val="24"/>
          <w:szCs w:val="24"/>
          <w:vertAlign w:val="superscript"/>
        </w:rPr>
        <w:t>[57-59, 72]</w:t>
      </w:r>
      <w:r w:rsidR="00B411DC">
        <w:rPr>
          <w:rFonts w:ascii="Times New Roman" w:eastAsia="宋体" w:hAnsi="Times New Roman" w:cs="Times New Roman" w:hint="eastAsia"/>
          <w:color w:val="000000" w:themeColor="text1"/>
          <w:sz w:val="24"/>
          <w:szCs w:val="24"/>
        </w:rPr>
        <w:fldChar w:fldCharType="end"/>
      </w:r>
      <w:r>
        <w:rPr>
          <w:rFonts w:ascii="Times New Roman" w:eastAsia="宋体" w:hAnsi="Times New Roman" w:cs="Times New Roman" w:hint="eastAsia"/>
          <w:color w:val="000000" w:themeColor="text1"/>
          <w:sz w:val="24"/>
          <w:szCs w:val="24"/>
        </w:rPr>
        <w:t>。根据现有证据，各指南尚无法提出</w:t>
      </w:r>
      <w:r>
        <w:rPr>
          <w:rFonts w:ascii="Times New Roman" w:eastAsia="宋体" w:hAnsi="Times New Roman" w:cs="Times New Roman"/>
          <w:color w:val="000000" w:themeColor="text1"/>
          <w:sz w:val="24"/>
          <w:szCs w:val="24"/>
        </w:rPr>
        <w:t>HD</w:t>
      </w:r>
      <w:r>
        <w:rPr>
          <w:rFonts w:ascii="Times New Roman" w:eastAsia="宋体" w:hAnsi="Times New Roman" w:cs="Times New Roman" w:hint="eastAsia"/>
          <w:color w:val="000000" w:themeColor="text1"/>
          <w:sz w:val="24"/>
          <w:szCs w:val="24"/>
        </w:rPr>
        <w:t>患者血压治疗目标的明确建议。《中国血液透析充分性临床实践指南》</w:t>
      </w:r>
      <w:r w:rsidR="00B411DC">
        <w:rPr>
          <w:rFonts w:ascii="Times New Roman" w:eastAsia="宋体" w:hAnsi="Times New Roman" w:cs="Times New Roman" w:hint="eastAsia"/>
          <w:color w:val="000000" w:themeColor="text1"/>
          <w:sz w:val="24"/>
          <w:szCs w:val="24"/>
        </w:rPr>
        <w:fldChar w:fldCharType="begin"/>
      </w:r>
      <w:r>
        <w:rPr>
          <w:rFonts w:ascii="Times New Roman" w:eastAsia="宋体" w:hAnsi="Times New Roman" w:cs="Times New Roman"/>
          <w:color w:val="000000" w:themeColor="text1"/>
          <w:sz w:val="24"/>
          <w:szCs w:val="24"/>
        </w:rPr>
        <w:instrText xml:space="preserve"> ADDIN NE.Ref.{974B7426-6487-4D70-8CAB-59743185F1F7}</w:instrText>
      </w:r>
      <w:r w:rsidR="00B411DC">
        <w:rPr>
          <w:rFonts w:ascii="Times New Roman" w:eastAsia="宋体" w:hAnsi="Times New Roman" w:cs="Times New Roman" w:hint="eastAsia"/>
          <w:color w:val="000000" w:themeColor="text1"/>
          <w:sz w:val="24"/>
          <w:szCs w:val="24"/>
        </w:rPr>
        <w:fldChar w:fldCharType="separate"/>
      </w:r>
      <w:r>
        <w:rPr>
          <w:rFonts w:ascii="Times New Roman" w:eastAsia="宋体" w:hAnsi="Times New Roman" w:cs="Times New Roman"/>
          <w:color w:val="000000" w:themeColor="text1"/>
          <w:kern w:val="0"/>
          <w:sz w:val="24"/>
          <w:szCs w:val="24"/>
          <w:vertAlign w:val="superscript"/>
        </w:rPr>
        <w:t>[73]</w:t>
      </w:r>
      <w:r w:rsidR="00B411DC">
        <w:rPr>
          <w:rFonts w:ascii="Times New Roman" w:eastAsia="宋体" w:hAnsi="Times New Roman" w:cs="Times New Roman" w:hint="eastAsia"/>
          <w:color w:val="000000" w:themeColor="text1"/>
          <w:sz w:val="24"/>
          <w:szCs w:val="24"/>
        </w:rPr>
        <w:fldChar w:fldCharType="end"/>
      </w:r>
      <w:r>
        <w:rPr>
          <w:rFonts w:ascii="Times New Roman" w:eastAsia="宋体" w:hAnsi="Times New Roman" w:cs="Times New Roman" w:hint="eastAsia"/>
          <w:color w:val="000000" w:themeColor="text1"/>
          <w:sz w:val="24"/>
          <w:szCs w:val="24"/>
        </w:rPr>
        <w:t>建议，无论是否使用降压药，</w:t>
      </w:r>
      <w:r>
        <w:rPr>
          <w:rFonts w:ascii="Times New Roman" w:eastAsia="宋体" w:hAnsi="Times New Roman" w:cs="Times New Roman"/>
          <w:color w:val="000000" w:themeColor="text1"/>
          <w:sz w:val="24"/>
          <w:szCs w:val="24"/>
        </w:rPr>
        <w:t>HD</w:t>
      </w:r>
      <w:r>
        <w:rPr>
          <w:rFonts w:ascii="Times New Roman" w:eastAsia="宋体" w:hAnsi="Times New Roman" w:cs="Times New Roman" w:hint="eastAsia"/>
          <w:color w:val="000000" w:themeColor="text1"/>
          <w:sz w:val="24"/>
          <w:szCs w:val="24"/>
        </w:rPr>
        <w:t>患者透析前</w:t>
      </w:r>
      <w:r>
        <w:rPr>
          <w:rFonts w:ascii="Times New Roman" w:eastAsia="宋体" w:hAnsi="Times New Roman" w:cs="Times New Roman"/>
          <w:color w:val="000000" w:themeColor="text1"/>
          <w:sz w:val="24"/>
          <w:szCs w:val="24"/>
        </w:rPr>
        <w:t>SBP</w:t>
      </w:r>
      <w:r>
        <w:rPr>
          <w:rFonts w:ascii="Times New Roman" w:eastAsia="宋体" w:hAnsi="Times New Roman" w:cs="Times New Roman" w:hint="eastAsia"/>
          <w:color w:val="000000" w:themeColor="text1"/>
          <w:sz w:val="24"/>
          <w:szCs w:val="24"/>
        </w:rPr>
        <w:t>应</w:t>
      </w:r>
      <w:r>
        <w:rPr>
          <w:rFonts w:ascii="Times New Roman" w:eastAsia="宋体" w:hAnsi="Times New Roman" w:cs="Times New Roman"/>
          <w:color w:val="000000" w:themeColor="text1"/>
          <w:sz w:val="24"/>
          <w:szCs w:val="24"/>
        </w:rPr>
        <w:t>&lt;160 mmHg</w:t>
      </w:r>
      <w:r>
        <w:rPr>
          <w:rFonts w:ascii="Times New Roman" w:eastAsia="宋体" w:hAnsi="Times New Roman" w:cs="Times New Roman" w:hint="eastAsia"/>
          <w:color w:val="000000" w:themeColor="text1"/>
          <w:sz w:val="24"/>
          <w:szCs w:val="24"/>
        </w:rPr>
        <w:t>。对于</w:t>
      </w:r>
      <w:r>
        <w:rPr>
          <w:rFonts w:ascii="Times New Roman" w:eastAsia="宋体" w:hAnsi="Times New Roman" w:cs="Times New Roman"/>
          <w:color w:val="000000" w:themeColor="text1"/>
          <w:sz w:val="24"/>
          <w:szCs w:val="24"/>
        </w:rPr>
        <w:t>HD</w:t>
      </w:r>
      <w:r>
        <w:rPr>
          <w:rFonts w:ascii="Times New Roman" w:eastAsia="宋体" w:hAnsi="Times New Roman" w:cs="Times New Roman" w:hint="eastAsia"/>
          <w:color w:val="000000" w:themeColor="text1"/>
          <w:sz w:val="24"/>
          <w:szCs w:val="24"/>
        </w:rPr>
        <w:t>后</w:t>
      </w:r>
      <w:r>
        <w:rPr>
          <w:rFonts w:ascii="Times New Roman" w:eastAsia="宋体" w:hAnsi="Times New Roman" w:cs="Times New Roman"/>
          <w:color w:val="000000" w:themeColor="text1"/>
          <w:sz w:val="24"/>
          <w:szCs w:val="24"/>
        </w:rPr>
        <w:t>SBP</w:t>
      </w:r>
      <w:r>
        <w:rPr>
          <w:rFonts w:ascii="Times New Roman" w:eastAsia="宋体" w:hAnsi="Times New Roman" w:cs="Times New Roman" w:hint="eastAsia"/>
          <w:color w:val="000000" w:themeColor="text1"/>
          <w:sz w:val="24"/>
          <w:szCs w:val="24"/>
        </w:rPr>
        <w:t>理想靶目标，有研究推荐为</w:t>
      </w:r>
      <w:r>
        <w:rPr>
          <w:rFonts w:ascii="Times New Roman" w:eastAsia="宋体" w:hAnsi="Times New Roman" w:cs="Times New Roman"/>
          <w:color w:val="000000" w:themeColor="text1"/>
          <w:sz w:val="24"/>
          <w:szCs w:val="24"/>
        </w:rPr>
        <w:t>120~140 mmHg</w:t>
      </w:r>
      <w:r w:rsidR="00B411DC">
        <w:rPr>
          <w:rFonts w:ascii="Times New Roman" w:eastAsia="宋体" w:hAnsi="Times New Roman" w:cs="Times New Roman" w:hint="eastAsia"/>
          <w:color w:val="000000" w:themeColor="text1"/>
          <w:sz w:val="24"/>
          <w:szCs w:val="24"/>
        </w:rPr>
        <w:fldChar w:fldCharType="begin"/>
      </w:r>
      <w:r>
        <w:rPr>
          <w:rFonts w:ascii="Times New Roman" w:eastAsia="宋体" w:hAnsi="Times New Roman" w:cs="Times New Roman"/>
          <w:color w:val="000000" w:themeColor="text1"/>
          <w:sz w:val="24"/>
          <w:szCs w:val="24"/>
        </w:rPr>
        <w:instrText xml:space="preserve"> ADDIN NE.Ref.{87336882-DEFC-4308-9D75-6E03FD30631D}</w:instrText>
      </w:r>
      <w:r w:rsidR="00B411DC">
        <w:rPr>
          <w:rFonts w:ascii="Times New Roman" w:eastAsia="宋体" w:hAnsi="Times New Roman" w:cs="Times New Roman" w:hint="eastAsia"/>
          <w:color w:val="000000" w:themeColor="text1"/>
          <w:sz w:val="24"/>
          <w:szCs w:val="24"/>
        </w:rPr>
        <w:fldChar w:fldCharType="separate"/>
      </w:r>
      <w:r>
        <w:rPr>
          <w:rFonts w:ascii="Times New Roman" w:eastAsia="宋体" w:hAnsi="Times New Roman" w:cs="Times New Roman"/>
          <w:color w:val="000000" w:themeColor="text1"/>
          <w:kern w:val="0"/>
          <w:sz w:val="24"/>
          <w:szCs w:val="24"/>
          <w:vertAlign w:val="superscript"/>
        </w:rPr>
        <w:t>[58]</w:t>
      </w:r>
      <w:r w:rsidR="00B411DC">
        <w:rPr>
          <w:rFonts w:ascii="Times New Roman" w:eastAsia="宋体" w:hAnsi="Times New Roman" w:cs="Times New Roman" w:hint="eastAsia"/>
          <w:color w:val="000000" w:themeColor="text1"/>
          <w:sz w:val="24"/>
          <w:szCs w:val="24"/>
        </w:rPr>
        <w:fldChar w:fldCharType="end"/>
      </w:r>
      <w:r>
        <w:rPr>
          <w:rFonts w:ascii="Times New Roman" w:eastAsia="宋体" w:hAnsi="Times New Roman" w:cs="Times New Roman" w:hint="eastAsia"/>
          <w:color w:val="000000" w:themeColor="text1"/>
          <w:sz w:val="24"/>
          <w:szCs w:val="24"/>
        </w:rPr>
        <w:t>。</w:t>
      </w:r>
    </w:p>
    <w:p w:rsidR="002E5476" w:rsidRDefault="00423E71">
      <w:pPr>
        <w:spacing w:line="360" w:lineRule="auto"/>
        <w:ind w:firstLineChars="200" w:firstLine="480"/>
        <w:rPr>
          <w:rFonts w:ascii="Times New Roman" w:eastAsia="宋体" w:hAnsi="Times New Roman" w:cs="Times New Roman"/>
          <w:color w:val="000000" w:themeColor="text1"/>
          <w:sz w:val="24"/>
          <w:szCs w:val="24"/>
        </w:rPr>
      </w:pPr>
      <w:r>
        <w:rPr>
          <w:rFonts w:ascii="Times New Roman" w:eastAsia="宋体" w:hAnsi="Times New Roman" w:cs="Times New Roman" w:hint="eastAsia"/>
          <w:color w:val="000000" w:themeColor="text1"/>
          <w:sz w:val="24"/>
          <w:szCs w:val="24"/>
        </w:rPr>
        <w:t>透析中高血压的发生机制尚不明确，可能与透析中交感神经、肾素</w:t>
      </w:r>
      <w:r>
        <w:rPr>
          <w:rFonts w:ascii="Times New Roman" w:eastAsia="宋体" w:hAnsi="Times New Roman" w:cs="Times New Roman"/>
          <w:color w:val="000000" w:themeColor="text1"/>
          <w:sz w:val="24"/>
          <w:szCs w:val="24"/>
        </w:rPr>
        <w:t>-</w:t>
      </w:r>
      <w:r>
        <w:rPr>
          <w:rFonts w:ascii="Times New Roman" w:eastAsia="宋体" w:hAnsi="Times New Roman" w:cs="Times New Roman" w:hint="eastAsia"/>
          <w:color w:val="000000" w:themeColor="text1"/>
          <w:sz w:val="24"/>
          <w:szCs w:val="24"/>
        </w:rPr>
        <w:t>血管紧张素系统的激活、血管硬化及容量负荷重有关。透析中高血压的发生率约为</w:t>
      </w:r>
      <w:r>
        <w:rPr>
          <w:rFonts w:ascii="Times New Roman" w:eastAsia="宋体" w:hAnsi="Times New Roman" w:cs="Times New Roman"/>
          <w:color w:val="000000" w:themeColor="text1"/>
          <w:sz w:val="24"/>
          <w:szCs w:val="24"/>
        </w:rPr>
        <w:t>5</w:t>
      </w:r>
      <w:r>
        <w:rPr>
          <w:rFonts w:ascii="Times New Roman" w:eastAsia="宋体" w:hAnsi="Times New Roman" w:cs="Times New Roman" w:hint="eastAsia"/>
          <w:color w:val="000000" w:themeColor="text1"/>
          <w:sz w:val="24"/>
          <w:szCs w:val="24"/>
        </w:rPr>
        <w:t>％</w:t>
      </w:r>
      <w:r>
        <w:rPr>
          <w:rFonts w:ascii="Times New Roman" w:eastAsia="宋体" w:hAnsi="Times New Roman" w:cs="Times New Roman"/>
          <w:color w:val="000000" w:themeColor="text1"/>
          <w:sz w:val="24"/>
          <w:szCs w:val="24"/>
        </w:rPr>
        <w:t>~15</w:t>
      </w:r>
      <w:r>
        <w:rPr>
          <w:rFonts w:ascii="Times New Roman" w:eastAsia="宋体" w:hAnsi="Times New Roman" w:cs="Times New Roman" w:hint="eastAsia"/>
          <w:color w:val="000000" w:themeColor="text1"/>
          <w:sz w:val="24"/>
          <w:szCs w:val="24"/>
        </w:rPr>
        <w:t>％，具体取决于所采用的定义</w:t>
      </w:r>
      <w:r w:rsidR="00B411DC">
        <w:rPr>
          <w:rFonts w:ascii="Times New Roman" w:eastAsia="宋体" w:hAnsi="Times New Roman" w:cs="Times New Roman" w:hint="eastAsia"/>
          <w:color w:val="000000" w:themeColor="text1"/>
          <w:sz w:val="24"/>
          <w:szCs w:val="24"/>
        </w:rPr>
        <w:fldChar w:fldCharType="begin"/>
      </w:r>
      <w:r>
        <w:rPr>
          <w:rFonts w:ascii="Times New Roman" w:eastAsia="宋体" w:hAnsi="Times New Roman" w:cs="Times New Roman"/>
          <w:color w:val="000000" w:themeColor="text1"/>
          <w:sz w:val="24"/>
          <w:szCs w:val="24"/>
        </w:rPr>
        <w:instrText xml:space="preserve"> ADDIN NE.Ref.{FC1152F0-BA2B-4918-96F9-7BC6B019F660}</w:instrText>
      </w:r>
      <w:r w:rsidR="00B411DC">
        <w:rPr>
          <w:rFonts w:ascii="Times New Roman" w:eastAsia="宋体" w:hAnsi="Times New Roman" w:cs="Times New Roman" w:hint="eastAsia"/>
          <w:color w:val="000000" w:themeColor="text1"/>
          <w:sz w:val="24"/>
          <w:szCs w:val="24"/>
        </w:rPr>
        <w:fldChar w:fldCharType="separate"/>
      </w:r>
      <w:r>
        <w:rPr>
          <w:rFonts w:ascii="Times New Roman" w:eastAsia="宋体" w:hAnsi="Times New Roman" w:cs="Times New Roman"/>
          <w:color w:val="000000" w:themeColor="text1"/>
          <w:kern w:val="0"/>
          <w:sz w:val="24"/>
          <w:szCs w:val="24"/>
          <w:vertAlign w:val="superscript"/>
        </w:rPr>
        <w:t>[74-75]</w:t>
      </w:r>
      <w:r w:rsidR="00B411DC">
        <w:rPr>
          <w:rFonts w:ascii="Times New Roman" w:eastAsia="宋体" w:hAnsi="Times New Roman" w:cs="Times New Roman" w:hint="eastAsia"/>
          <w:color w:val="000000" w:themeColor="text1"/>
          <w:sz w:val="24"/>
          <w:szCs w:val="24"/>
        </w:rPr>
        <w:fldChar w:fldCharType="end"/>
      </w:r>
      <w:r>
        <w:rPr>
          <w:rFonts w:ascii="Times New Roman" w:eastAsia="宋体" w:hAnsi="Times New Roman" w:cs="Times New Roman" w:hint="eastAsia"/>
          <w:color w:val="000000" w:themeColor="text1"/>
          <w:sz w:val="24"/>
          <w:szCs w:val="24"/>
        </w:rPr>
        <w:t>。目前推荐</w:t>
      </w:r>
      <w:r>
        <w:rPr>
          <w:rFonts w:ascii="Times New Roman" w:eastAsia="宋体" w:hAnsi="Times New Roman" w:cs="Times New Roman"/>
          <w:color w:val="000000" w:themeColor="text1"/>
          <w:sz w:val="24"/>
          <w:szCs w:val="24"/>
        </w:rPr>
        <w:t>HD</w:t>
      </w:r>
      <w:r>
        <w:rPr>
          <w:rFonts w:ascii="Times New Roman" w:eastAsia="宋体" w:hAnsi="Times New Roman" w:cs="Times New Roman" w:hint="eastAsia"/>
          <w:color w:val="000000" w:themeColor="text1"/>
          <w:sz w:val="24"/>
          <w:szCs w:val="24"/>
        </w:rPr>
        <w:t>中高血压的定义为在连续</w:t>
      </w:r>
      <w:r>
        <w:rPr>
          <w:rFonts w:ascii="Times New Roman" w:eastAsia="宋体" w:hAnsi="Times New Roman" w:cs="Times New Roman"/>
          <w:color w:val="000000" w:themeColor="text1"/>
          <w:sz w:val="24"/>
          <w:szCs w:val="24"/>
        </w:rPr>
        <w:t>6</w:t>
      </w:r>
      <w:r>
        <w:rPr>
          <w:rFonts w:ascii="Times New Roman" w:eastAsia="宋体" w:hAnsi="Times New Roman" w:cs="Times New Roman" w:hint="eastAsia"/>
          <w:color w:val="000000" w:themeColor="text1"/>
          <w:sz w:val="24"/>
          <w:szCs w:val="24"/>
        </w:rPr>
        <w:t>次透析治疗中，至少有</w:t>
      </w:r>
      <w:r>
        <w:rPr>
          <w:rFonts w:ascii="Times New Roman" w:eastAsia="宋体" w:hAnsi="Times New Roman" w:cs="Times New Roman"/>
          <w:color w:val="000000" w:themeColor="text1"/>
          <w:sz w:val="24"/>
          <w:szCs w:val="24"/>
        </w:rPr>
        <w:t>4</w:t>
      </w:r>
      <w:r>
        <w:rPr>
          <w:rFonts w:ascii="Times New Roman" w:eastAsia="宋体" w:hAnsi="Times New Roman" w:cs="Times New Roman" w:hint="eastAsia"/>
          <w:color w:val="000000" w:themeColor="text1"/>
          <w:sz w:val="24"/>
          <w:szCs w:val="24"/>
        </w:rPr>
        <w:t>次透析后较透析前</w:t>
      </w:r>
      <w:r>
        <w:rPr>
          <w:rFonts w:ascii="Times New Roman" w:eastAsia="宋体" w:hAnsi="Times New Roman" w:cs="Times New Roman"/>
          <w:color w:val="000000" w:themeColor="text1"/>
          <w:sz w:val="24"/>
          <w:szCs w:val="24"/>
        </w:rPr>
        <w:t>SBP</w:t>
      </w:r>
      <w:r>
        <w:rPr>
          <w:rFonts w:ascii="Times New Roman" w:eastAsia="宋体" w:hAnsi="Times New Roman" w:cs="Times New Roman" w:hint="eastAsia"/>
          <w:color w:val="000000" w:themeColor="text1"/>
          <w:sz w:val="24"/>
          <w:szCs w:val="24"/>
        </w:rPr>
        <w:t>升高</w:t>
      </w:r>
      <w:r>
        <w:rPr>
          <w:rFonts w:ascii="Times New Roman" w:eastAsia="宋体" w:hAnsi="Times New Roman" w:cs="Times New Roman"/>
          <w:color w:val="000000" w:themeColor="text1"/>
          <w:sz w:val="24"/>
          <w:szCs w:val="24"/>
        </w:rPr>
        <w:t>&gt;10 mmHg</w:t>
      </w:r>
      <w:r w:rsidR="00B411DC">
        <w:rPr>
          <w:rFonts w:ascii="Times New Roman" w:eastAsia="宋体" w:hAnsi="Times New Roman" w:cs="Times New Roman" w:hint="eastAsia"/>
          <w:color w:val="000000" w:themeColor="text1"/>
          <w:sz w:val="24"/>
          <w:szCs w:val="24"/>
        </w:rPr>
        <w:fldChar w:fldCharType="begin"/>
      </w:r>
      <w:r>
        <w:rPr>
          <w:rFonts w:ascii="Times New Roman" w:eastAsia="宋体" w:hAnsi="Times New Roman" w:cs="Times New Roman"/>
          <w:color w:val="000000" w:themeColor="text1"/>
          <w:sz w:val="24"/>
          <w:szCs w:val="24"/>
        </w:rPr>
        <w:instrText xml:space="preserve"> ADDIN NE.Ref.{365F7932-A9EB-46D6-8A37-C54351BF36AD}</w:instrText>
      </w:r>
      <w:r w:rsidR="00B411DC">
        <w:rPr>
          <w:rFonts w:ascii="Times New Roman" w:eastAsia="宋体" w:hAnsi="Times New Roman" w:cs="Times New Roman" w:hint="eastAsia"/>
          <w:color w:val="000000" w:themeColor="text1"/>
          <w:sz w:val="24"/>
          <w:szCs w:val="24"/>
        </w:rPr>
        <w:fldChar w:fldCharType="separate"/>
      </w:r>
      <w:r>
        <w:rPr>
          <w:rFonts w:ascii="Times New Roman" w:eastAsia="宋体" w:hAnsi="Times New Roman" w:cs="Times New Roman"/>
          <w:color w:val="000000" w:themeColor="text1"/>
          <w:kern w:val="0"/>
          <w:sz w:val="24"/>
          <w:szCs w:val="24"/>
          <w:vertAlign w:val="superscript"/>
        </w:rPr>
        <w:t>[66]</w:t>
      </w:r>
      <w:r w:rsidR="00B411DC">
        <w:rPr>
          <w:rFonts w:ascii="Times New Roman" w:eastAsia="宋体" w:hAnsi="Times New Roman" w:cs="Times New Roman" w:hint="eastAsia"/>
          <w:color w:val="000000" w:themeColor="text1"/>
          <w:sz w:val="24"/>
          <w:szCs w:val="24"/>
        </w:rPr>
        <w:fldChar w:fldCharType="end"/>
      </w:r>
      <w:r>
        <w:rPr>
          <w:rFonts w:ascii="Times New Roman" w:eastAsia="宋体" w:hAnsi="Times New Roman" w:cs="Times New Roman" w:hint="eastAsia"/>
          <w:color w:val="000000" w:themeColor="text1"/>
          <w:sz w:val="24"/>
          <w:szCs w:val="24"/>
        </w:rPr>
        <w:t>。</w:t>
      </w:r>
    </w:p>
    <w:p w:rsidR="002E5476" w:rsidRDefault="00423E71">
      <w:pPr>
        <w:spacing w:line="360" w:lineRule="auto"/>
        <w:ind w:left="420"/>
        <w:jc w:val="center"/>
        <w:outlineLvl w:val="1"/>
        <w:rPr>
          <w:rFonts w:ascii="Times New Roman" w:eastAsia="宋体" w:hAnsi="Times New Roman" w:cs="Times New Roman"/>
          <w:b/>
          <w:bCs/>
          <w:color w:val="000000" w:themeColor="text1"/>
          <w:sz w:val="24"/>
          <w:szCs w:val="24"/>
        </w:rPr>
      </w:pPr>
      <w:r>
        <w:rPr>
          <w:rFonts w:ascii="Times New Roman" w:eastAsia="宋体" w:hAnsi="Times New Roman" w:cs="Times New Roman" w:hint="eastAsia"/>
          <w:b/>
          <w:bCs/>
          <w:color w:val="000000" w:themeColor="text1"/>
          <w:sz w:val="24"/>
          <w:szCs w:val="24"/>
        </w:rPr>
        <w:t>表</w:t>
      </w:r>
      <w:r>
        <w:rPr>
          <w:rFonts w:ascii="Times New Roman" w:eastAsia="宋体" w:hAnsi="Times New Roman" w:cs="Times New Roman"/>
          <w:b/>
          <w:bCs/>
          <w:color w:val="000000" w:themeColor="text1"/>
          <w:sz w:val="24"/>
          <w:szCs w:val="24"/>
        </w:rPr>
        <w:t xml:space="preserve">2 </w:t>
      </w:r>
      <w:r>
        <w:rPr>
          <w:rFonts w:ascii="Times New Roman" w:eastAsia="宋体" w:hAnsi="Times New Roman" w:cs="Times New Roman" w:hint="eastAsia"/>
          <w:b/>
          <w:bCs/>
          <w:color w:val="000000" w:themeColor="text1"/>
          <w:sz w:val="24"/>
          <w:szCs w:val="24"/>
        </w:rPr>
        <w:t>透析患者高血压的诊断</w:t>
      </w:r>
    </w:p>
    <w:tbl>
      <w:tblPr>
        <w:tblpPr w:leftFromText="180" w:rightFromText="180" w:vertAnchor="text" w:horzAnchor="page" w:tblpX="720" w:tblpY="456"/>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09"/>
        <w:gridCol w:w="1083"/>
        <w:gridCol w:w="8608"/>
      </w:tblGrid>
      <w:tr w:rsidR="002E5476">
        <w:tc>
          <w:tcPr>
            <w:tcW w:w="709" w:type="dxa"/>
          </w:tcPr>
          <w:p w:rsidR="002E5476" w:rsidRDefault="00423E71">
            <w:pPr>
              <w:jc w:val="left"/>
              <w:rPr>
                <w:rFonts w:ascii="Times New Roman" w:eastAsia="宋体" w:hAnsi="Times New Roman" w:cs="Times New Roman"/>
                <w:b/>
                <w:bCs/>
                <w:color w:val="000000" w:themeColor="text1"/>
                <w:szCs w:val="21"/>
              </w:rPr>
            </w:pPr>
            <w:bookmarkStart w:id="27" w:name="_Toc1609244448_WPSOffice_Level3"/>
            <w:r>
              <w:rPr>
                <w:rFonts w:ascii="Times New Roman" w:eastAsia="宋体" w:hAnsi="Times New Roman" w:cs="Times New Roman" w:hint="eastAsia"/>
                <w:b/>
                <w:bCs/>
                <w:color w:val="000000" w:themeColor="text1"/>
                <w:szCs w:val="21"/>
              </w:rPr>
              <w:t>透析</w:t>
            </w:r>
          </w:p>
          <w:p w:rsidR="002E5476" w:rsidRDefault="00423E71">
            <w:pPr>
              <w:jc w:val="left"/>
              <w:rPr>
                <w:rFonts w:ascii="Times New Roman" w:eastAsia="宋体" w:hAnsi="Times New Roman" w:cs="Times New Roman"/>
                <w:b/>
                <w:bCs/>
                <w:color w:val="000000" w:themeColor="text1"/>
                <w:szCs w:val="21"/>
              </w:rPr>
            </w:pPr>
            <w:r>
              <w:rPr>
                <w:rFonts w:ascii="Times New Roman" w:eastAsia="宋体" w:hAnsi="Times New Roman" w:cs="Times New Roman" w:hint="eastAsia"/>
                <w:b/>
                <w:bCs/>
                <w:color w:val="000000" w:themeColor="text1"/>
                <w:szCs w:val="21"/>
              </w:rPr>
              <w:t>类型</w:t>
            </w:r>
          </w:p>
        </w:tc>
        <w:tc>
          <w:tcPr>
            <w:tcW w:w="1083" w:type="dxa"/>
            <w:vAlign w:val="center"/>
          </w:tcPr>
          <w:p w:rsidR="002E5476" w:rsidRDefault="00423E71">
            <w:pPr>
              <w:jc w:val="center"/>
              <w:rPr>
                <w:rFonts w:ascii="Times New Roman" w:eastAsia="宋体" w:hAnsi="Times New Roman" w:cs="Times New Roman"/>
                <w:b/>
                <w:bCs/>
                <w:color w:val="000000" w:themeColor="text1"/>
                <w:szCs w:val="21"/>
              </w:rPr>
            </w:pPr>
            <w:r>
              <w:rPr>
                <w:rFonts w:ascii="Times New Roman" w:eastAsia="宋体" w:hAnsi="Times New Roman" w:cs="Times New Roman" w:hint="eastAsia"/>
                <w:b/>
                <w:bCs/>
                <w:color w:val="000000" w:themeColor="text1"/>
                <w:szCs w:val="21"/>
              </w:rPr>
              <w:t>指标</w:t>
            </w:r>
          </w:p>
        </w:tc>
        <w:tc>
          <w:tcPr>
            <w:tcW w:w="8608" w:type="dxa"/>
            <w:vAlign w:val="center"/>
          </w:tcPr>
          <w:p w:rsidR="002E5476" w:rsidRDefault="00423E71">
            <w:pPr>
              <w:jc w:val="center"/>
              <w:rPr>
                <w:rFonts w:ascii="Times New Roman" w:eastAsia="宋体" w:hAnsi="Times New Roman" w:cs="Times New Roman"/>
                <w:b/>
                <w:bCs/>
                <w:color w:val="000000" w:themeColor="text1"/>
                <w:szCs w:val="21"/>
              </w:rPr>
            </w:pPr>
            <w:r>
              <w:rPr>
                <w:rFonts w:ascii="Times New Roman" w:eastAsia="宋体" w:hAnsi="Times New Roman" w:cs="Times New Roman" w:hint="eastAsia"/>
                <w:b/>
                <w:bCs/>
                <w:color w:val="000000" w:themeColor="text1"/>
                <w:szCs w:val="21"/>
              </w:rPr>
              <w:t>诊断依据</w:t>
            </w:r>
          </w:p>
        </w:tc>
      </w:tr>
      <w:tr w:rsidR="002E5476">
        <w:tc>
          <w:tcPr>
            <w:tcW w:w="709" w:type="dxa"/>
            <w:vMerge w:val="restart"/>
            <w:vAlign w:val="center"/>
          </w:tcPr>
          <w:p w:rsidR="002E5476" w:rsidRDefault="002E5476">
            <w:pPr>
              <w:jc w:val="center"/>
              <w:rPr>
                <w:rFonts w:ascii="Times New Roman" w:eastAsia="宋体" w:hAnsi="Times New Roman" w:cs="Times New Roman"/>
                <w:color w:val="000000" w:themeColor="text1"/>
                <w:szCs w:val="21"/>
              </w:rPr>
            </w:pPr>
          </w:p>
          <w:p w:rsidR="002E5476" w:rsidRDefault="00423E71">
            <w:pPr>
              <w:jc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血液</w:t>
            </w:r>
          </w:p>
          <w:p w:rsidR="002E5476" w:rsidRDefault="00423E71">
            <w:pPr>
              <w:jc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透析</w:t>
            </w:r>
          </w:p>
        </w:tc>
        <w:tc>
          <w:tcPr>
            <w:tcW w:w="1083" w:type="dxa"/>
            <w:vAlign w:val="center"/>
          </w:tcPr>
          <w:p w:rsidR="002E5476" w:rsidRDefault="00423E71">
            <w:pPr>
              <w:jc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HBPM</w:t>
            </w:r>
          </w:p>
        </w:tc>
        <w:tc>
          <w:tcPr>
            <w:tcW w:w="8608" w:type="dxa"/>
          </w:tcPr>
          <w:p w:rsidR="002E5476" w:rsidRDefault="00423E71">
            <w:pPr>
              <w:jc w:val="left"/>
              <w:rPr>
                <w:rFonts w:ascii="Times New Roman" w:hAnsi="Times New Roman" w:cs="Times New Roman"/>
                <w:color w:val="000000" w:themeColor="text1"/>
                <w:szCs w:val="21"/>
              </w:rPr>
            </w:pPr>
            <w:r>
              <w:rPr>
                <w:rFonts w:ascii="Times New Roman" w:hAnsi="Times New Roman" w:cs="Times New Roman" w:hint="eastAsia"/>
                <w:color w:val="000000" w:themeColor="text1"/>
                <w:szCs w:val="21"/>
              </w:rPr>
              <w:t>在</w:t>
            </w:r>
            <w:r>
              <w:rPr>
                <w:rFonts w:ascii="Times New Roman" w:hAnsi="Times New Roman" w:cs="Times New Roman"/>
                <w:color w:val="000000" w:themeColor="text1"/>
                <w:szCs w:val="21"/>
              </w:rPr>
              <w:t>6</w:t>
            </w:r>
            <w:r>
              <w:rPr>
                <w:rFonts w:ascii="Times New Roman" w:hAnsi="Times New Roman" w:cs="Times New Roman" w:hint="eastAsia"/>
                <w:color w:val="000000" w:themeColor="text1"/>
                <w:szCs w:val="21"/>
              </w:rPr>
              <w:t>个非透析日（包括</w:t>
            </w:r>
            <w:r>
              <w:rPr>
                <w:rFonts w:ascii="Times New Roman" w:hAnsi="Times New Roman" w:cs="Times New Roman"/>
                <w:color w:val="000000" w:themeColor="text1"/>
                <w:szCs w:val="21"/>
              </w:rPr>
              <w:t>2</w:t>
            </w:r>
            <w:r>
              <w:rPr>
                <w:rFonts w:ascii="Times New Roman" w:hAnsi="Times New Roman" w:cs="Times New Roman" w:hint="eastAsia"/>
                <w:color w:val="000000" w:themeColor="text1"/>
                <w:szCs w:val="21"/>
              </w:rPr>
              <w:t>周），早晨和晚上收集的平均血压≥</w:t>
            </w:r>
            <w:r>
              <w:rPr>
                <w:rFonts w:ascii="Times New Roman" w:hAnsi="Times New Roman" w:cs="Times New Roman"/>
                <w:color w:val="000000" w:themeColor="text1"/>
                <w:szCs w:val="21"/>
              </w:rPr>
              <w:t>135/80 mmHg</w:t>
            </w:r>
            <w:r>
              <w:rPr>
                <w:rFonts w:ascii="Times New Roman" w:hAnsi="Times New Roman" w:cs="Times New Roman" w:hint="eastAsia"/>
                <w:color w:val="000000" w:themeColor="text1"/>
                <w:szCs w:val="21"/>
              </w:rPr>
              <w:t>。在家中安静的房间中，测量前休息</w:t>
            </w:r>
            <w:r>
              <w:rPr>
                <w:rFonts w:ascii="Times New Roman" w:hAnsi="Times New Roman" w:cs="Times New Roman"/>
                <w:color w:val="000000" w:themeColor="text1"/>
                <w:szCs w:val="21"/>
              </w:rPr>
              <w:t>5 min</w:t>
            </w:r>
            <w:r>
              <w:rPr>
                <w:rFonts w:ascii="Times New Roman" w:hAnsi="Times New Roman" w:cs="Times New Roman" w:hint="eastAsia"/>
                <w:color w:val="000000" w:themeColor="text1"/>
                <w:szCs w:val="21"/>
              </w:rPr>
              <w:t>，患者坐下并保持后背与手臂有支撑，如需重复测量，两次之间要间隔</w:t>
            </w:r>
            <w:r>
              <w:rPr>
                <w:rFonts w:ascii="Times New Roman" w:hAnsi="Times New Roman" w:cs="Times New Roman"/>
                <w:color w:val="000000" w:themeColor="text1"/>
                <w:szCs w:val="21"/>
              </w:rPr>
              <w:t>1~2 min</w:t>
            </w:r>
          </w:p>
        </w:tc>
      </w:tr>
      <w:tr w:rsidR="002E5476">
        <w:tc>
          <w:tcPr>
            <w:tcW w:w="709" w:type="dxa"/>
            <w:vMerge/>
            <w:vAlign w:val="center"/>
          </w:tcPr>
          <w:p w:rsidR="002E5476" w:rsidRDefault="002E5476">
            <w:pPr>
              <w:jc w:val="center"/>
              <w:rPr>
                <w:rFonts w:ascii="Times New Roman" w:eastAsia="宋体" w:hAnsi="Times New Roman" w:cs="Times New Roman"/>
                <w:color w:val="000000" w:themeColor="text1"/>
                <w:szCs w:val="21"/>
              </w:rPr>
            </w:pPr>
          </w:p>
        </w:tc>
        <w:tc>
          <w:tcPr>
            <w:tcW w:w="1083" w:type="dxa"/>
            <w:vAlign w:val="center"/>
          </w:tcPr>
          <w:p w:rsidR="002E5476" w:rsidRDefault="00423E71">
            <w:pPr>
              <w:jc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ABPM</w:t>
            </w:r>
          </w:p>
        </w:tc>
        <w:tc>
          <w:tcPr>
            <w:tcW w:w="8608" w:type="dxa"/>
          </w:tcPr>
          <w:p w:rsidR="002E5476" w:rsidRDefault="00423E71">
            <w:pPr>
              <w:jc w:val="left"/>
              <w:rPr>
                <w:rFonts w:ascii="Times New Roman" w:hAnsi="Times New Roman" w:cs="Times New Roman"/>
                <w:color w:val="000000" w:themeColor="text1"/>
                <w:szCs w:val="21"/>
              </w:rPr>
            </w:pPr>
            <w:r>
              <w:rPr>
                <w:rFonts w:ascii="Times New Roman" w:hAnsi="Times New Roman" w:cs="Times New Roman" w:hint="eastAsia"/>
                <w:color w:val="000000" w:themeColor="text1"/>
                <w:szCs w:val="21"/>
              </w:rPr>
              <w:t>在无透析的周中一天进行</w:t>
            </w:r>
            <w:r>
              <w:rPr>
                <w:rFonts w:ascii="Times New Roman" w:hAnsi="Times New Roman" w:cs="Times New Roman"/>
                <w:color w:val="000000" w:themeColor="text1"/>
                <w:szCs w:val="21"/>
              </w:rPr>
              <w:t>24 h</w:t>
            </w:r>
            <w:r>
              <w:rPr>
                <w:rFonts w:ascii="Times New Roman" w:hAnsi="Times New Roman" w:cs="Times New Roman" w:hint="eastAsia"/>
                <w:color w:val="000000" w:themeColor="text1"/>
                <w:szCs w:val="21"/>
              </w:rPr>
              <w:t>监测，平均血压≥</w:t>
            </w:r>
            <w:r>
              <w:rPr>
                <w:rFonts w:ascii="Times New Roman" w:hAnsi="Times New Roman" w:cs="Times New Roman"/>
                <w:color w:val="000000" w:themeColor="text1"/>
                <w:szCs w:val="21"/>
              </w:rPr>
              <w:t>130/80 mmHg</w:t>
            </w:r>
            <w:r>
              <w:rPr>
                <w:rFonts w:ascii="Times New Roman" w:hAnsi="Times New Roman" w:cs="Times New Roman" w:hint="eastAsia"/>
                <w:color w:val="000000" w:themeColor="text1"/>
                <w:szCs w:val="21"/>
              </w:rPr>
              <w:t>。如可行，</w:t>
            </w:r>
            <w:r>
              <w:rPr>
                <w:rFonts w:ascii="Times New Roman" w:hAnsi="Times New Roman" w:cs="Times New Roman"/>
                <w:color w:val="000000" w:themeColor="text1"/>
                <w:szCs w:val="21"/>
              </w:rPr>
              <w:t>ABPM</w:t>
            </w:r>
            <w:r>
              <w:rPr>
                <w:rFonts w:ascii="Times New Roman" w:hAnsi="Times New Roman" w:cs="Times New Roman" w:hint="eastAsia"/>
                <w:color w:val="000000" w:themeColor="text1"/>
                <w:szCs w:val="21"/>
              </w:rPr>
              <w:t>应延长至</w:t>
            </w:r>
            <w:r>
              <w:rPr>
                <w:rFonts w:ascii="Times New Roman" w:hAnsi="Times New Roman" w:cs="Times New Roman"/>
                <w:color w:val="000000" w:themeColor="text1"/>
                <w:szCs w:val="21"/>
              </w:rPr>
              <w:t>44 h</w:t>
            </w:r>
            <w:r>
              <w:rPr>
                <w:rFonts w:ascii="Times New Roman" w:hAnsi="Times New Roman" w:cs="Times New Roman" w:hint="eastAsia"/>
                <w:color w:val="000000" w:themeColor="text1"/>
                <w:szCs w:val="21"/>
              </w:rPr>
              <w:t>，覆盖整个星期中的透析间隔</w:t>
            </w:r>
          </w:p>
        </w:tc>
      </w:tr>
      <w:tr w:rsidR="002E5476">
        <w:tc>
          <w:tcPr>
            <w:tcW w:w="709" w:type="dxa"/>
            <w:vMerge/>
            <w:vAlign w:val="center"/>
          </w:tcPr>
          <w:p w:rsidR="002E5476" w:rsidRDefault="002E5476">
            <w:pPr>
              <w:jc w:val="center"/>
              <w:rPr>
                <w:rFonts w:ascii="Times New Roman" w:eastAsia="宋体" w:hAnsi="Times New Roman" w:cs="Times New Roman"/>
                <w:color w:val="000000" w:themeColor="text1"/>
                <w:szCs w:val="21"/>
              </w:rPr>
            </w:pPr>
          </w:p>
        </w:tc>
        <w:tc>
          <w:tcPr>
            <w:tcW w:w="1083" w:type="dxa"/>
            <w:vAlign w:val="center"/>
          </w:tcPr>
          <w:p w:rsidR="002E5476" w:rsidRDefault="00423E71">
            <w:pPr>
              <w:jc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诊室血压</w:t>
            </w:r>
          </w:p>
        </w:tc>
        <w:tc>
          <w:tcPr>
            <w:tcW w:w="8608" w:type="dxa"/>
          </w:tcPr>
          <w:p w:rsidR="002E5476" w:rsidRDefault="00423E71">
            <w:pPr>
              <w:jc w:val="left"/>
              <w:rPr>
                <w:rFonts w:ascii="Times New Roman" w:hAnsi="Times New Roman" w:cs="Times New Roman"/>
                <w:color w:val="000000" w:themeColor="text1"/>
                <w:szCs w:val="21"/>
              </w:rPr>
            </w:pPr>
            <w:r>
              <w:rPr>
                <w:rFonts w:ascii="Times New Roman" w:hAnsi="Times New Roman" w:cs="Times New Roman" w:hint="eastAsia"/>
                <w:color w:val="000000" w:themeColor="text1"/>
                <w:szCs w:val="21"/>
              </w:rPr>
              <w:t>根据无透析周中的诊室血压测量值进行诊断；诊室血压≥</w:t>
            </w:r>
            <w:r>
              <w:rPr>
                <w:rFonts w:ascii="Times New Roman" w:hAnsi="Times New Roman" w:cs="Times New Roman"/>
                <w:color w:val="000000" w:themeColor="text1"/>
                <w:szCs w:val="21"/>
              </w:rPr>
              <w:t>140/90 mmHg</w:t>
            </w:r>
            <w:r>
              <w:rPr>
                <w:rFonts w:ascii="Times New Roman" w:hAnsi="Times New Roman" w:cs="Times New Roman" w:hint="eastAsia"/>
                <w:color w:val="000000" w:themeColor="text1"/>
                <w:szCs w:val="21"/>
              </w:rPr>
              <w:t>可诊断；患者至少静坐</w:t>
            </w:r>
            <w:r>
              <w:rPr>
                <w:rFonts w:ascii="Times New Roman" w:hAnsi="Times New Roman" w:cs="Times New Roman"/>
                <w:color w:val="000000" w:themeColor="text1"/>
                <w:szCs w:val="21"/>
              </w:rPr>
              <w:t>5 min</w:t>
            </w:r>
            <w:r>
              <w:rPr>
                <w:rFonts w:ascii="Times New Roman" w:hAnsi="Times New Roman" w:cs="Times New Roman" w:hint="eastAsia"/>
                <w:color w:val="000000" w:themeColor="text1"/>
                <w:szCs w:val="21"/>
              </w:rPr>
              <w:t>后，以</w:t>
            </w:r>
            <w:r>
              <w:rPr>
                <w:rFonts w:ascii="Times New Roman" w:hAnsi="Times New Roman" w:cs="Times New Roman"/>
                <w:color w:val="000000" w:themeColor="text1"/>
                <w:szCs w:val="21"/>
              </w:rPr>
              <w:t>1~2 min</w:t>
            </w:r>
            <w:r>
              <w:rPr>
                <w:rFonts w:ascii="Times New Roman" w:hAnsi="Times New Roman" w:cs="Times New Roman" w:hint="eastAsia"/>
                <w:color w:val="000000" w:themeColor="text1"/>
                <w:szCs w:val="21"/>
              </w:rPr>
              <w:t>为间隔进行</w:t>
            </w:r>
            <w:r>
              <w:rPr>
                <w:rFonts w:ascii="Times New Roman" w:hAnsi="Times New Roman" w:cs="Times New Roman"/>
                <w:color w:val="000000" w:themeColor="text1"/>
                <w:szCs w:val="21"/>
              </w:rPr>
              <w:t>3</w:t>
            </w:r>
            <w:r>
              <w:rPr>
                <w:rFonts w:ascii="Times New Roman" w:hAnsi="Times New Roman" w:cs="Times New Roman" w:hint="eastAsia"/>
                <w:color w:val="000000" w:themeColor="text1"/>
                <w:szCs w:val="21"/>
              </w:rPr>
              <w:t>次测量值的平均值作为诊室血压</w:t>
            </w:r>
          </w:p>
        </w:tc>
      </w:tr>
      <w:tr w:rsidR="002E5476">
        <w:trPr>
          <w:trHeight w:val="90"/>
        </w:trPr>
        <w:tc>
          <w:tcPr>
            <w:tcW w:w="709" w:type="dxa"/>
            <w:vMerge w:val="restart"/>
            <w:vAlign w:val="center"/>
          </w:tcPr>
          <w:p w:rsidR="002E5476" w:rsidRDefault="002E5476">
            <w:pPr>
              <w:jc w:val="center"/>
              <w:rPr>
                <w:rFonts w:ascii="Times New Roman" w:eastAsia="宋体" w:hAnsi="Times New Roman" w:cs="Times New Roman"/>
                <w:color w:val="000000" w:themeColor="text1"/>
                <w:szCs w:val="21"/>
              </w:rPr>
            </w:pPr>
          </w:p>
          <w:p w:rsidR="002E5476" w:rsidRDefault="002E5476">
            <w:pPr>
              <w:jc w:val="center"/>
              <w:rPr>
                <w:rFonts w:ascii="Times New Roman" w:eastAsia="宋体" w:hAnsi="Times New Roman" w:cs="Times New Roman"/>
                <w:color w:val="000000" w:themeColor="text1"/>
                <w:szCs w:val="21"/>
              </w:rPr>
            </w:pPr>
          </w:p>
          <w:p w:rsidR="002E5476" w:rsidRDefault="00423E71">
            <w:pPr>
              <w:jc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腹膜</w:t>
            </w:r>
          </w:p>
          <w:p w:rsidR="002E5476" w:rsidRDefault="00423E71">
            <w:pPr>
              <w:jc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lastRenderedPageBreak/>
              <w:t>透析</w:t>
            </w:r>
          </w:p>
          <w:p w:rsidR="002E5476" w:rsidRDefault="002E5476">
            <w:pPr>
              <w:jc w:val="center"/>
              <w:rPr>
                <w:rFonts w:ascii="Times New Roman" w:eastAsia="宋体" w:hAnsi="Times New Roman" w:cs="Times New Roman"/>
                <w:color w:val="000000" w:themeColor="text1"/>
                <w:szCs w:val="21"/>
              </w:rPr>
            </w:pPr>
          </w:p>
        </w:tc>
        <w:tc>
          <w:tcPr>
            <w:tcW w:w="1083" w:type="dxa"/>
            <w:vAlign w:val="center"/>
          </w:tcPr>
          <w:p w:rsidR="002E5476" w:rsidRDefault="00423E71">
            <w:pPr>
              <w:jc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lastRenderedPageBreak/>
              <w:t>HBPM</w:t>
            </w:r>
          </w:p>
        </w:tc>
        <w:tc>
          <w:tcPr>
            <w:tcW w:w="8608" w:type="dxa"/>
          </w:tcPr>
          <w:p w:rsidR="002E5476" w:rsidRDefault="00423E71">
            <w:pPr>
              <w:jc w:val="left"/>
              <w:rPr>
                <w:rFonts w:ascii="Times New Roman" w:hAnsi="Times New Roman" w:cs="Times New Roman"/>
                <w:color w:val="000000" w:themeColor="text1"/>
                <w:szCs w:val="21"/>
              </w:rPr>
            </w:pPr>
            <w:r>
              <w:rPr>
                <w:rFonts w:ascii="Times New Roman" w:hAnsi="Times New Roman" w:cs="Times New Roman" w:hint="eastAsia"/>
                <w:color w:val="000000" w:themeColor="text1"/>
                <w:szCs w:val="21"/>
              </w:rPr>
              <w:t>连续</w:t>
            </w:r>
            <w:r>
              <w:rPr>
                <w:rFonts w:ascii="Times New Roman" w:hAnsi="Times New Roman" w:cs="Times New Roman"/>
                <w:color w:val="000000" w:themeColor="text1"/>
                <w:szCs w:val="21"/>
              </w:rPr>
              <w:t xml:space="preserve"> 7 d</w:t>
            </w:r>
            <w:r>
              <w:rPr>
                <w:rFonts w:ascii="Times New Roman" w:hAnsi="Times New Roman" w:cs="Times New Roman" w:hint="eastAsia"/>
                <w:color w:val="000000" w:themeColor="text1"/>
                <w:szCs w:val="21"/>
              </w:rPr>
              <w:t>的平均血压≥</w:t>
            </w:r>
            <w:r>
              <w:rPr>
                <w:rFonts w:ascii="Times New Roman" w:hAnsi="Times New Roman" w:cs="Times New Roman"/>
                <w:color w:val="000000" w:themeColor="text1"/>
                <w:szCs w:val="21"/>
              </w:rPr>
              <w:t>135/80 mmHg</w:t>
            </w:r>
            <w:r>
              <w:rPr>
                <w:rFonts w:ascii="Times New Roman" w:hAnsi="Times New Roman" w:cs="Times New Roman" w:hint="eastAsia"/>
                <w:color w:val="000000" w:themeColor="text1"/>
                <w:szCs w:val="21"/>
              </w:rPr>
              <w:t>；在家中安静的房间中，测量前休息</w:t>
            </w:r>
            <w:r>
              <w:rPr>
                <w:rFonts w:ascii="Times New Roman" w:hAnsi="Times New Roman" w:cs="Times New Roman"/>
                <w:color w:val="000000" w:themeColor="text1"/>
                <w:szCs w:val="21"/>
              </w:rPr>
              <w:t>5 min</w:t>
            </w:r>
            <w:r>
              <w:rPr>
                <w:rFonts w:ascii="Times New Roman" w:hAnsi="Times New Roman" w:cs="Times New Roman" w:hint="eastAsia"/>
                <w:color w:val="000000" w:themeColor="text1"/>
                <w:szCs w:val="21"/>
              </w:rPr>
              <w:t>，患者坐下并保持后背与手臂有支撑，如需重复测量，两次之间要间隔</w:t>
            </w:r>
            <w:r>
              <w:rPr>
                <w:rFonts w:ascii="Times New Roman" w:hAnsi="Times New Roman" w:cs="Times New Roman"/>
                <w:color w:val="000000" w:themeColor="text1"/>
                <w:szCs w:val="21"/>
              </w:rPr>
              <w:t>1~2 min</w:t>
            </w:r>
          </w:p>
        </w:tc>
      </w:tr>
      <w:tr w:rsidR="002E5476">
        <w:tc>
          <w:tcPr>
            <w:tcW w:w="709" w:type="dxa"/>
            <w:vMerge/>
          </w:tcPr>
          <w:p w:rsidR="002E5476" w:rsidRDefault="002E5476">
            <w:pPr>
              <w:jc w:val="left"/>
              <w:rPr>
                <w:rFonts w:ascii="Times New Roman" w:eastAsia="宋体" w:hAnsi="Times New Roman" w:cs="Times New Roman"/>
                <w:color w:val="000000" w:themeColor="text1"/>
                <w:szCs w:val="21"/>
              </w:rPr>
            </w:pPr>
          </w:p>
        </w:tc>
        <w:tc>
          <w:tcPr>
            <w:tcW w:w="1083" w:type="dxa"/>
            <w:vAlign w:val="center"/>
          </w:tcPr>
          <w:p w:rsidR="002E5476" w:rsidRDefault="00423E71">
            <w:pPr>
              <w:jc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ABPM</w:t>
            </w:r>
          </w:p>
        </w:tc>
        <w:tc>
          <w:tcPr>
            <w:tcW w:w="8608" w:type="dxa"/>
          </w:tcPr>
          <w:p w:rsidR="002E5476" w:rsidRDefault="00423E71">
            <w:pPr>
              <w:jc w:val="left"/>
              <w:rPr>
                <w:rFonts w:ascii="Times New Roman" w:hAnsi="Times New Roman" w:cs="Times New Roman"/>
                <w:color w:val="000000" w:themeColor="text1"/>
                <w:szCs w:val="21"/>
              </w:rPr>
            </w:pPr>
            <w:r>
              <w:rPr>
                <w:rFonts w:ascii="Times New Roman" w:hAnsi="Times New Roman" w:cs="Times New Roman"/>
                <w:color w:val="000000" w:themeColor="text1"/>
                <w:szCs w:val="21"/>
              </w:rPr>
              <w:t>24 h</w:t>
            </w:r>
            <w:r>
              <w:rPr>
                <w:rFonts w:ascii="Times New Roman" w:hAnsi="Times New Roman" w:cs="Times New Roman" w:hint="eastAsia"/>
                <w:color w:val="000000" w:themeColor="text1"/>
                <w:szCs w:val="21"/>
              </w:rPr>
              <w:t>监测中的平均血压≥</w:t>
            </w:r>
            <w:r>
              <w:rPr>
                <w:rFonts w:ascii="Times New Roman" w:hAnsi="Times New Roman" w:cs="Times New Roman"/>
                <w:color w:val="000000" w:themeColor="text1"/>
                <w:szCs w:val="21"/>
              </w:rPr>
              <w:t>130/80 mmHg</w:t>
            </w:r>
            <w:r>
              <w:rPr>
                <w:rFonts w:ascii="Times New Roman" w:hAnsi="Times New Roman" w:cs="Times New Roman" w:hint="eastAsia"/>
                <w:color w:val="000000" w:themeColor="text1"/>
                <w:szCs w:val="21"/>
              </w:rPr>
              <w:t>；</w:t>
            </w:r>
            <w:r>
              <w:rPr>
                <w:rFonts w:ascii="Times New Roman" w:hAnsi="Times New Roman" w:cs="Times New Roman" w:hint="eastAsia"/>
                <w:color w:val="000000" w:themeColor="text1"/>
                <w:szCs w:val="21"/>
                <w:shd w:val="clear" w:color="auto" w:fill="FFFFFF"/>
              </w:rPr>
              <w:t>白天每</w:t>
            </w:r>
            <w:r>
              <w:rPr>
                <w:rFonts w:ascii="Times New Roman" w:hAnsi="Times New Roman" w:cs="Times New Roman"/>
                <w:color w:val="000000" w:themeColor="text1"/>
                <w:szCs w:val="21"/>
                <w:shd w:val="clear" w:color="auto" w:fill="FFFFFF"/>
              </w:rPr>
              <w:t>15~30</w:t>
            </w:r>
            <w:r>
              <w:rPr>
                <w:rFonts w:ascii="Times New Roman" w:hAnsi="Times New Roman" w:cs="Times New Roman" w:hint="eastAsia"/>
                <w:color w:val="000000" w:themeColor="text1"/>
                <w:szCs w:val="21"/>
                <w:shd w:val="clear" w:color="auto" w:fill="FFFFFF"/>
              </w:rPr>
              <w:t>分钟一次，夜间睡眠时每</w:t>
            </w:r>
            <w:r>
              <w:rPr>
                <w:rFonts w:ascii="Times New Roman" w:hAnsi="Times New Roman" w:cs="Times New Roman"/>
                <w:color w:val="000000" w:themeColor="text1"/>
                <w:szCs w:val="21"/>
                <w:shd w:val="clear" w:color="auto" w:fill="FFFFFF"/>
              </w:rPr>
              <w:t>30~60</w:t>
            </w:r>
            <w:r>
              <w:rPr>
                <w:rFonts w:ascii="Times New Roman" w:hAnsi="Times New Roman" w:cs="Times New Roman" w:hint="eastAsia"/>
                <w:color w:val="000000" w:themeColor="text1"/>
                <w:szCs w:val="21"/>
                <w:shd w:val="clear" w:color="auto" w:fill="FFFFFF"/>
              </w:rPr>
              <w:t>分钟</w:t>
            </w:r>
            <w:r>
              <w:rPr>
                <w:rFonts w:ascii="Times New Roman" w:hAnsi="Times New Roman" w:cs="Times New Roman" w:hint="eastAsia"/>
                <w:color w:val="000000" w:themeColor="text1"/>
                <w:szCs w:val="21"/>
                <w:shd w:val="clear" w:color="auto" w:fill="FFFFFF"/>
              </w:rPr>
              <w:lastRenderedPageBreak/>
              <w:t>一次</w:t>
            </w:r>
          </w:p>
        </w:tc>
      </w:tr>
      <w:tr w:rsidR="002E5476">
        <w:tc>
          <w:tcPr>
            <w:tcW w:w="709" w:type="dxa"/>
            <w:vMerge/>
          </w:tcPr>
          <w:p w:rsidR="002E5476" w:rsidRDefault="002E5476">
            <w:pPr>
              <w:jc w:val="left"/>
              <w:rPr>
                <w:rFonts w:ascii="Times New Roman" w:eastAsia="宋体" w:hAnsi="Times New Roman" w:cs="Times New Roman"/>
                <w:color w:val="000000" w:themeColor="text1"/>
                <w:szCs w:val="21"/>
              </w:rPr>
            </w:pPr>
          </w:p>
        </w:tc>
        <w:tc>
          <w:tcPr>
            <w:tcW w:w="1083" w:type="dxa"/>
            <w:vAlign w:val="center"/>
          </w:tcPr>
          <w:p w:rsidR="002E5476" w:rsidRDefault="00423E71">
            <w:pPr>
              <w:jc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诊室血压</w:t>
            </w:r>
          </w:p>
        </w:tc>
        <w:tc>
          <w:tcPr>
            <w:tcW w:w="8608" w:type="dxa"/>
          </w:tcPr>
          <w:p w:rsidR="002E5476" w:rsidRDefault="00423E71">
            <w:pPr>
              <w:jc w:val="left"/>
              <w:rPr>
                <w:rFonts w:ascii="Times New Roman" w:hAnsi="Times New Roman" w:cs="Times New Roman"/>
                <w:color w:val="000000" w:themeColor="text1"/>
                <w:szCs w:val="21"/>
              </w:rPr>
            </w:pPr>
            <w:r>
              <w:rPr>
                <w:rFonts w:ascii="Times New Roman" w:hAnsi="Times New Roman" w:cs="Times New Roman" w:hint="eastAsia"/>
                <w:color w:val="000000" w:themeColor="text1"/>
                <w:szCs w:val="21"/>
              </w:rPr>
              <w:t>根据诊室血压测量值进行诊断；诊室血压≥</w:t>
            </w:r>
            <w:r>
              <w:rPr>
                <w:rFonts w:ascii="Times New Roman" w:hAnsi="Times New Roman" w:cs="Times New Roman"/>
                <w:color w:val="000000" w:themeColor="text1"/>
                <w:szCs w:val="21"/>
              </w:rPr>
              <w:t>140/90 mmHg</w:t>
            </w:r>
            <w:r>
              <w:rPr>
                <w:rFonts w:ascii="Times New Roman" w:hAnsi="Times New Roman" w:cs="Times New Roman" w:hint="eastAsia"/>
                <w:color w:val="000000" w:themeColor="text1"/>
                <w:szCs w:val="21"/>
              </w:rPr>
              <w:t>可诊断；患者至少静坐</w:t>
            </w:r>
            <w:r>
              <w:rPr>
                <w:rFonts w:ascii="Times New Roman" w:hAnsi="Times New Roman" w:cs="Times New Roman"/>
                <w:color w:val="000000" w:themeColor="text1"/>
                <w:szCs w:val="21"/>
              </w:rPr>
              <w:t>5 min</w:t>
            </w:r>
            <w:r>
              <w:rPr>
                <w:rFonts w:ascii="Times New Roman" w:hAnsi="Times New Roman" w:cs="Times New Roman" w:hint="eastAsia"/>
                <w:color w:val="000000" w:themeColor="text1"/>
                <w:szCs w:val="21"/>
              </w:rPr>
              <w:t>后测量血压，以</w:t>
            </w:r>
            <w:r>
              <w:rPr>
                <w:rFonts w:ascii="Times New Roman" w:hAnsi="Times New Roman" w:cs="Times New Roman"/>
                <w:color w:val="000000" w:themeColor="text1"/>
                <w:szCs w:val="21"/>
              </w:rPr>
              <w:t>1~2 min</w:t>
            </w:r>
            <w:r>
              <w:rPr>
                <w:rFonts w:ascii="Times New Roman" w:hAnsi="Times New Roman" w:cs="Times New Roman" w:hint="eastAsia"/>
                <w:color w:val="000000" w:themeColor="text1"/>
                <w:szCs w:val="21"/>
              </w:rPr>
              <w:t>为间隔进行</w:t>
            </w:r>
            <w:r>
              <w:rPr>
                <w:rFonts w:ascii="Times New Roman" w:hAnsi="Times New Roman" w:cs="Times New Roman"/>
                <w:color w:val="000000" w:themeColor="text1"/>
                <w:szCs w:val="21"/>
              </w:rPr>
              <w:t>3</w:t>
            </w:r>
            <w:r>
              <w:rPr>
                <w:rFonts w:ascii="Times New Roman" w:hAnsi="Times New Roman" w:cs="Times New Roman" w:hint="eastAsia"/>
                <w:color w:val="000000" w:themeColor="text1"/>
                <w:szCs w:val="21"/>
              </w:rPr>
              <w:t>次测量值的平均值作为诊室血压</w:t>
            </w:r>
          </w:p>
        </w:tc>
      </w:tr>
    </w:tbl>
    <w:bookmarkEnd w:id="27"/>
    <w:p w:rsidR="002E5476" w:rsidRDefault="00423E71" w:rsidP="00423E71">
      <w:pPr>
        <w:spacing w:line="360" w:lineRule="auto"/>
        <w:jc w:val="left"/>
        <w:outlineLvl w:val="1"/>
        <w:rPr>
          <w:rFonts w:ascii="Times New Roman" w:eastAsia="宋体" w:hAnsi="Times New Roman" w:cs="Times New Roman"/>
          <w:bCs/>
          <w:color w:val="000000" w:themeColor="text1"/>
          <w:sz w:val="18"/>
          <w:szCs w:val="18"/>
        </w:rPr>
      </w:pPr>
      <w:r>
        <w:rPr>
          <w:rFonts w:ascii="Times New Roman" w:eastAsia="宋体" w:hAnsi="Times New Roman" w:cs="Times New Roman" w:hint="eastAsia"/>
          <w:color w:val="000000" w:themeColor="text1"/>
          <w:sz w:val="18"/>
          <w:szCs w:val="18"/>
        </w:rPr>
        <w:t>注：</w:t>
      </w:r>
      <w:r>
        <w:rPr>
          <w:rFonts w:ascii="Times New Roman" w:eastAsia="宋体" w:hAnsi="Times New Roman" w:cs="Times New Roman"/>
          <w:color w:val="000000" w:themeColor="text1"/>
          <w:sz w:val="18"/>
          <w:szCs w:val="18"/>
        </w:rPr>
        <w:t>HBPM</w:t>
      </w:r>
      <w:r>
        <w:rPr>
          <w:rFonts w:ascii="Times New Roman" w:eastAsia="宋体" w:hAnsi="Times New Roman" w:cs="Times New Roman" w:hint="eastAsia"/>
          <w:color w:val="000000" w:themeColor="text1"/>
          <w:sz w:val="18"/>
          <w:szCs w:val="18"/>
        </w:rPr>
        <w:t>：家庭血压测量（</w:t>
      </w:r>
      <w:r>
        <w:rPr>
          <w:rFonts w:ascii="Times New Roman" w:eastAsia="宋体" w:hAnsi="Times New Roman" w:cs="Times New Roman"/>
          <w:color w:val="000000" w:themeColor="text1"/>
          <w:sz w:val="18"/>
          <w:szCs w:val="18"/>
        </w:rPr>
        <w:t>home blood pressure monitoring</w:t>
      </w:r>
      <w:r>
        <w:rPr>
          <w:rFonts w:ascii="Times New Roman" w:eastAsia="宋体" w:hAnsi="Times New Roman" w:cs="Times New Roman" w:hint="eastAsia"/>
          <w:color w:val="000000" w:themeColor="text1"/>
          <w:sz w:val="18"/>
          <w:szCs w:val="18"/>
        </w:rPr>
        <w:t>）；</w:t>
      </w:r>
      <w:r>
        <w:rPr>
          <w:rFonts w:ascii="Times New Roman" w:eastAsia="宋体" w:hAnsi="Times New Roman" w:cs="Times New Roman"/>
          <w:color w:val="000000" w:themeColor="text1"/>
          <w:sz w:val="18"/>
          <w:szCs w:val="18"/>
        </w:rPr>
        <w:t>ABPM</w:t>
      </w:r>
      <w:r>
        <w:rPr>
          <w:rFonts w:ascii="Times New Roman" w:eastAsia="宋体" w:hAnsi="Times New Roman" w:cs="Times New Roman" w:hint="eastAsia"/>
          <w:color w:val="000000" w:themeColor="text1"/>
          <w:sz w:val="18"/>
          <w:szCs w:val="18"/>
        </w:rPr>
        <w:t>：动态血压监测（</w:t>
      </w:r>
      <w:r>
        <w:rPr>
          <w:rFonts w:ascii="Times New Roman" w:eastAsia="宋体" w:hAnsi="Times New Roman" w:cs="Times New Roman"/>
          <w:color w:val="000000" w:themeColor="text1"/>
          <w:sz w:val="18"/>
          <w:szCs w:val="18"/>
        </w:rPr>
        <w:t>ambulatory blood pressure monitoring</w:t>
      </w:r>
      <w:r>
        <w:rPr>
          <w:rFonts w:ascii="Times New Roman" w:eastAsia="宋体" w:hAnsi="Times New Roman" w:cs="Times New Roman" w:hint="eastAsia"/>
          <w:color w:val="000000" w:themeColor="text1"/>
          <w:sz w:val="18"/>
          <w:szCs w:val="18"/>
        </w:rPr>
        <w:t>）；透析患者高血压的诊断建议基于</w:t>
      </w:r>
      <w:r>
        <w:rPr>
          <w:rFonts w:ascii="Times New Roman" w:eastAsia="宋体" w:hAnsi="Times New Roman" w:cs="Times New Roman"/>
          <w:color w:val="000000" w:themeColor="text1"/>
          <w:sz w:val="18"/>
          <w:szCs w:val="18"/>
        </w:rPr>
        <w:t>ABPM</w:t>
      </w:r>
      <w:r>
        <w:rPr>
          <w:rFonts w:ascii="Times New Roman" w:eastAsia="宋体" w:hAnsi="Times New Roman" w:cs="Times New Roman" w:hint="eastAsia"/>
          <w:color w:val="000000" w:themeColor="text1"/>
          <w:sz w:val="18"/>
          <w:szCs w:val="18"/>
        </w:rPr>
        <w:t>或</w:t>
      </w:r>
      <w:r>
        <w:rPr>
          <w:rFonts w:ascii="Times New Roman" w:eastAsia="宋体" w:hAnsi="Times New Roman" w:cs="Times New Roman"/>
          <w:color w:val="000000" w:themeColor="text1"/>
          <w:sz w:val="18"/>
          <w:szCs w:val="18"/>
        </w:rPr>
        <w:t>HBPM</w:t>
      </w:r>
      <w:r>
        <w:rPr>
          <w:rFonts w:ascii="Times New Roman" w:eastAsia="宋体" w:hAnsi="Times New Roman" w:cs="Times New Roman" w:hint="eastAsia"/>
          <w:color w:val="000000" w:themeColor="text1"/>
          <w:sz w:val="18"/>
          <w:szCs w:val="18"/>
        </w:rPr>
        <w:t>进行</w:t>
      </w:r>
    </w:p>
    <w:p w:rsidR="00423E71" w:rsidRPr="00423E71" w:rsidRDefault="00423E71" w:rsidP="00423E71">
      <w:pPr>
        <w:spacing w:line="360" w:lineRule="auto"/>
        <w:jc w:val="left"/>
        <w:outlineLvl w:val="1"/>
        <w:rPr>
          <w:rFonts w:ascii="Times New Roman" w:eastAsia="宋体" w:hAnsi="Times New Roman" w:cs="Times New Roman"/>
          <w:bCs/>
          <w:color w:val="000000" w:themeColor="text1"/>
          <w:sz w:val="18"/>
          <w:szCs w:val="18"/>
        </w:rPr>
      </w:pPr>
    </w:p>
    <w:p w:rsidR="002E5476" w:rsidRDefault="00423E71">
      <w:pPr>
        <w:spacing w:line="360" w:lineRule="auto"/>
        <w:ind w:firstLineChars="200" w:firstLine="480"/>
        <w:jc w:val="left"/>
        <w:outlineLvl w:val="1"/>
        <w:rPr>
          <w:rFonts w:ascii="Times New Roman" w:eastAsia="宋体" w:hAnsi="Times New Roman" w:cs="Times New Roman"/>
          <w:color w:val="000000" w:themeColor="text1"/>
          <w:sz w:val="24"/>
          <w:szCs w:val="24"/>
        </w:rPr>
      </w:pPr>
      <w:r>
        <w:rPr>
          <w:rFonts w:ascii="Times New Roman" w:eastAsia="宋体" w:hAnsi="Times New Roman" w:cs="Times New Roman" w:hint="eastAsia"/>
          <w:color w:val="000000" w:themeColor="text1"/>
          <w:sz w:val="24"/>
          <w:szCs w:val="24"/>
        </w:rPr>
        <w:t>容量控制是透析人群高血压治疗的基础。</w:t>
      </w:r>
      <w:r>
        <w:rPr>
          <w:rFonts w:ascii="Times New Roman" w:eastAsia="宋体" w:hAnsi="Times New Roman" w:cs="Times New Roman"/>
          <w:color w:val="000000" w:themeColor="text1"/>
          <w:sz w:val="24"/>
          <w:szCs w:val="24"/>
        </w:rPr>
        <w:t>HD</w:t>
      </w:r>
      <w:r>
        <w:rPr>
          <w:rFonts w:ascii="Times New Roman" w:eastAsia="宋体" w:hAnsi="Times New Roman" w:cs="Times New Roman" w:hint="eastAsia"/>
          <w:color w:val="000000" w:themeColor="text1"/>
          <w:sz w:val="24"/>
          <w:szCs w:val="24"/>
        </w:rPr>
        <w:t>患者容量控制的措施包括：（</w:t>
      </w:r>
      <w:r>
        <w:rPr>
          <w:rFonts w:ascii="Times New Roman" w:eastAsia="宋体" w:hAnsi="Times New Roman" w:cs="Times New Roman"/>
          <w:color w:val="000000" w:themeColor="text1"/>
          <w:sz w:val="24"/>
          <w:szCs w:val="24"/>
        </w:rPr>
        <w:t>1</w:t>
      </w:r>
      <w:r>
        <w:rPr>
          <w:rFonts w:ascii="Times New Roman" w:eastAsia="宋体" w:hAnsi="Times New Roman" w:cs="Times New Roman" w:hint="eastAsia"/>
          <w:color w:val="000000" w:themeColor="text1"/>
          <w:sz w:val="24"/>
          <w:szCs w:val="24"/>
        </w:rPr>
        <w:t>）控制透析间期体重增长率＜</w:t>
      </w:r>
      <w:r>
        <w:rPr>
          <w:rFonts w:ascii="Times New Roman" w:eastAsia="宋体" w:hAnsi="Times New Roman" w:cs="Times New Roman"/>
          <w:color w:val="000000" w:themeColor="text1"/>
          <w:sz w:val="24"/>
          <w:szCs w:val="24"/>
        </w:rPr>
        <w:t>5%</w:t>
      </w:r>
      <w:r>
        <w:rPr>
          <w:rFonts w:ascii="Times New Roman" w:eastAsia="宋体" w:hAnsi="Times New Roman" w:cs="Times New Roman" w:hint="eastAsia"/>
          <w:color w:val="000000" w:themeColor="text1"/>
          <w:sz w:val="24"/>
          <w:szCs w:val="24"/>
        </w:rPr>
        <w:t>干体重；（</w:t>
      </w:r>
      <w:r>
        <w:rPr>
          <w:rFonts w:ascii="Times New Roman" w:eastAsia="宋体" w:hAnsi="Times New Roman" w:cs="Times New Roman"/>
          <w:color w:val="000000" w:themeColor="text1"/>
          <w:sz w:val="24"/>
          <w:szCs w:val="24"/>
        </w:rPr>
        <w:t>2</w:t>
      </w:r>
      <w:r>
        <w:rPr>
          <w:rFonts w:ascii="Times New Roman" w:eastAsia="宋体" w:hAnsi="Times New Roman" w:cs="Times New Roman" w:hint="eastAsia"/>
          <w:color w:val="000000" w:themeColor="text1"/>
          <w:sz w:val="24"/>
          <w:szCs w:val="24"/>
        </w:rPr>
        <w:t>）钠盐（氯化钠）摄入量＜</w:t>
      </w:r>
      <w:r>
        <w:rPr>
          <w:rFonts w:ascii="Times New Roman" w:eastAsia="宋体" w:hAnsi="Times New Roman" w:cs="Times New Roman"/>
          <w:color w:val="000000" w:themeColor="text1"/>
          <w:sz w:val="24"/>
          <w:szCs w:val="24"/>
        </w:rPr>
        <w:t>5 g/d</w:t>
      </w:r>
      <w:r>
        <w:rPr>
          <w:rFonts w:ascii="Times New Roman" w:eastAsia="宋体" w:hAnsi="Times New Roman" w:cs="Times New Roman" w:hint="eastAsia"/>
          <w:color w:val="000000" w:themeColor="text1"/>
          <w:sz w:val="24"/>
          <w:szCs w:val="24"/>
        </w:rPr>
        <w:t>，适当限制水摄入；（</w:t>
      </w:r>
      <w:r>
        <w:rPr>
          <w:rFonts w:ascii="Times New Roman" w:eastAsia="宋体" w:hAnsi="Times New Roman" w:cs="Times New Roman"/>
          <w:color w:val="000000" w:themeColor="text1"/>
          <w:sz w:val="24"/>
          <w:szCs w:val="24"/>
        </w:rPr>
        <w:t>3</w:t>
      </w:r>
      <w:r>
        <w:rPr>
          <w:rFonts w:ascii="Times New Roman" w:eastAsia="宋体" w:hAnsi="Times New Roman" w:cs="Times New Roman" w:hint="eastAsia"/>
          <w:color w:val="000000" w:themeColor="text1"/>
          <w:sz w:val="24"/>
          <w:szCs w:val="24"/>
        </w:rPr>
        <w:t>）采用序贯透析模式增加体内钠的清除，或采用个体化的透析液钠浓度有助于血压控制；（</w:t>
      </w:r>
      <w:r>
        <w:rPr>
          <w:rFonts w:ascii="Times New Roman" w:eastAsia="宋体" w:hAnsi="Times New Roman" w:cs="Times New Roman"/>
          <w:color w:val="000000" w:themeColor="text1"/>
          <w:sz w:val="24"/>
          <w:szCs w:val="24"/>
        </w:rPr>
        <w:t>4</w:t>
      </w:r>
      <w:r>
        <w:rPr>
          <w:rFonts w:ascii="Times New Roman" w:eastAsia="宋体" w:hAnsi="Times New Roman" w:cs="Times New Roman" w:hint="eastAsia"/>
          <w:color w:val="000000" w:themeColor="text1"/>
          <w:sz w:val="24"/>
          <w:szCs w:val="24"/>
        </w:rPr>
        <w:t>）通过限制水盐摄入仍不能有效控制透析间期体重增长的患者可增加透析时间。欧洲最佳实践指南</w:t>
      </w:r>
      <w:r w:rsidR="00B411DC">
        <w:rPr>
          <w:rFonts w:ascii="Times New Roman" w:eastAsia="宋体" w:hAnsi="Times New Roman" w:cs="Times New Roman"/>
          <w:color w:val="000000" w:themeColor="text1"/>
          <w:sz w:val="24"/>
          <w:szCs w:val="24"/>
        </w:rPr>
        <w:fldChar w:fldCharType="begin"/>
      </w:r>
      <w:r>
        <w:rPr>
          <w:rFonts w:ascii="Times New Roman" w:eastAsia="宋体" w:hAnsi="Times New Roman" w:cs="Times New Roman"/>
          <w:color w:val="000000" w:themeColor="text1"/>
          <w:sz w:val="24"/>
          <w:szCs w:val="24"/>
        </w:rPr>
        <w:instrText xml:space="preserve"> ADDIN NE.Ref.{EFAA27C9-B33C-40CE-BB93-D9D762030B62}</w:instrText>
      </w:r>
      <w:r w:rsidR="00B411DC">
        <w:rPr>
          <w:rFonts w:ascii="Times New Roman" w:eastAsia="宋体" w:hAnsi="Times New Roman" w:cs="Times New Roman"/>
          <w:color w:val="000000" w:themeColor="text1"/>
          <w:sz w:val="24"/>
          <w:szCs w:val="24"/>
        </w:rPr>
        <w:fldChar w:fldCharType="separate"/>
      </w:r>
      <w:r>
        <w:rPr>
          <w:rFonts w:ascii="Times New Roman" w:eastAsia="宋体" w:hAnsi="Times New Roman" w:cs="Times New Roman"/>
          <w:color w:val="000000" w:themeColor="text1"/>
          <w:kern w:val="0"/>
          <w:sz w:val="24"/>
          <w:szCs w:val="24"/>
          <w:vertAlign w:val="superscript"/>
        </w:rPr>
        <w:t>[76]</w:t>
      </w:r>
      <w:r w:rsidR="00B411DC">
        <w:rPr>
          <w:rFonts w:ascii="Times New Roman" w:eastAsia="宋体" w:hAnsi="Times New Roman" w:cs="Times New Roman"/>
          <w:color w:val="000000" w:themeColor="text1"/>
          <w:sz w:val="24"/>
          <w:szCs w:val="24"/>
        </w:rPr>
        <w:fldChar w:fldCharType="end"/>
      </w:r>
      <w:r>
        <w:rPr>
          <w:rFonts w:ascii="Times New Roman" w:eastAsia="宋体" w:hAnsi="Times New Roman" w:cs="Times New Roman" w:hint="eastAsia"/>
          <w:color w:val="000000" w:themeColor="text1"/>
          <w:sz w:val="24"/>
          <w:szCs w:val="24"/>
        </w:rPr>
        <w:t>建议，除非患者残留肾功能较多，</w:t>
      </w:r>
      <w:r>
        <w:rPr>
          <w:rFonts w:ascii="Times New Roman" w:eastAsia="宋体" w:hAnsi="Times New Roman" w:cs="Times New Roman"/>
          <w:color w:val="000000" w:themeColor="text1"/>
          <w:sz w:val="24"/>
          <w:szCs w:val="24"/>
        </w:rPr>
        <w:t>HD</w:t>
      </w:r>
      <w:r>
        <w:rPr>
          <w:rFonts w:ascii="Times New Roman" w:eastAsia="宋体" w:hAnsi="Times New Roman" w:cs="Times New Roman" w:hint="eastAsia"/>
          <w:color w:val="000000" w:themeColor="text1"/>
          <w:sz w:val="24"/>
          <w:szCs w:val="24"/>
        </w:rPr>
        <w:t>患者每周至少透析</w:t>
      </w:r>
      <w:r>
        <w:rPr>
          <w:rFonts w:ascii="Times New Roman" w:eastAsia="宋体" w:hAnsi="Times New Roman" w:cs="Times New Roman"/>
          <w:color w:val="000000" w:themeColor="text1"/>
          <w:sz w:val="24"/>
          <w:szCs w:val="24"/>
        </w:rPr>
        <w:t>3</w:t>
      </w:r>
      <w:r>
        <w:rPr>
          <w:rFonts w:ascii="Times New Roman" w:eastAsia="宋体" w:hAnsi="Times New Roman" w:cs="Times New Roman" w:hint="eastAsia"/>
          <w:color w:val="000000" w:themeColor="text1"/>
          <w:sz w:val="24"/>
          <w:szCs w:val="24"/>
        </w:rPr>
        <w:t>次，总治疗时间至少</w:t>
      </w:r>
      <w:r>
        <w:rPr>
          <w:rFonts w:ascii="Times New Roman" w:eastAsia="宋体" w:hAnsi="Times New Roman" w:cs="Times New Roman"/>
          <w:color w:val="000000" w:themeColor="text1"/>
          <w:sz w:val="24"/>
          <w:szCs w:val="24"/>
        </w:rPr>
        <w:t>12 h</w:t>
      </w:r>
      <w:r>
        <w:rPr>
          <w:rFonts w:ascii="Times New Roman" w:eastAsia="宋体" w:hAnsi="Times New Roman" w:cs="Times New Roman" w:hint="eastAsia"/>
          <w:color w:val="000000" w:themeColor="text1"/>
          <w:sz w:val="24"/>
          <w:szCs w:val="24"/>
        </w:rPr>
        <w:t>；对于血液动力学不稳定或容量控制良好仍高血压的患者，应考虑增加</w:t>
      </w:r>
      <w:r>
        <w:rPr>
          <w:rFonts w:ascii="Times New Roman" w:eastAsia="宋体" w:hAnsi="Times New Roman" w:cs="Times New Roman"/>
          <w:color w:val="000000" w:themeColor="text1"/>
          <w:sz w:val="24"/>
          <w:szCs w:val="24"/>
        </w:rPr>
        <w:t>HD</w:t>
      </w:r>
      <w:r>
        <w:rPr>
          <w:rFonts w:ascii="Times New Roman" w:eastAsia="宋体" w:hAnsi="Times New Roman" w:cs="Times New Roman" w:hint="eastAsia"/>
          <w:color w:val="000000" w:themeColor="text1"/>
          <w:sz w:val="24"/>
          <w:szCs w:val="24"/>
        </w:rPr>
        <w:t>时间和</w:t>
      </w:r>
      <w:r>
        <w:rPr>
          <w:rFonts w:ascii="Times New Roman" w:eastAsia="宋体" w:hAnsi="Times New Roman" w:cs="Times New Roman"/>
          <w:color w:val="000000" w:themeColor="text1"/>
          <w:sz w:val="24"/>
          <w:szCs w:val="24"/>
        </w:rPr>
        <w:t>/</w:t>
      </w:r>
      <w:r>
        <w:rPr>
          <w:rFonts w:ascii="Times New Roman" w:eastAsia="宋体" w:hAnsi="Times New Roman" w:cs="Times New Roman" w:hint="eastAsia"/>
          <w:color w:val="000000" w:themeColor="text1"/>
          <w:sz w:val="24"/>
          <w:szCs w:val="24"/>
        </w:rPr>
        <w:t>或频率，只有经过适当的非药物干预后血压仍高的患者才使用降压药。透析患者是否使用降压药需要考虑适用的状况是单纯降压还是心血管保护。如单纯降压，应首先考虑是否存在血容量过多，容量控制后血压仍高于目标水平，则必须开始或增加降压药物</w:t>
      </w:r>
      <w:r w:rsidR="00B411DC">
        <w:rPr>
          <w:rFonts w:ascii="Times New Roman" w:eastAsia="宋体" w:hAnsi="Times New Roman" w:cs="Times New Roman"/>
          <w:color w:val="000000" w:themeColor="text1"/>
          <w:sz w:val="24"/>
          <w:szCs w:val="24"/>
        </w:rPr>
        <w:fldChar w:fldCharType="begin"/>
      </w:r>
      <w:r>
        <w:rPr>
          <w:rFonts w:ascii="Times New Roman" w:eastAsia="宋体" w:hAnsi="Times New Roman" w:cs="Times New Roman"/>
          <w:color w:val="000000" w:themeColor="text1"/>
          <w:sz w:val="24"/>
          <w:szCs w:val="24"/>
        </w:rPr>
        <w:instrText xml:space="preserve"> ADDIN NE.Ref.{437016AC-FD3F-42B1-921B-F2CD29EF89E7}</w:instrText>
      </w:r>
      <w:r w:rsidR="00B411DC">
        <w:rPr>
          <w:rFonts w:ascii="Times New Roman" w:eastAsia="宋体" w:hAnsi="Times New Roman" w:cs="Times New Roman"/>
          <w:color w:val="000000" w:themeColor="text1"/>
          <w:sz w:val="24"/>
          <w:szCs w:val="24"/>
        </w:rPr>
        <w:fldChar w:fldCharType="separate"/>
      </w:r>
      <w:r>
        <w:rPr>
          <w:rFonts w:ascii="Times New Roman" w:eastAsia="宋体" w:hAnsi="Times New Roman" w:cs="Times New Roman"/>
          <w:color w:val="000000" w:themeColor="text1"/>
          <w:kern w:val="0"/>
          <w:sz w:val="24"/>
          <w:szCs w:val="24"/>
          <w:vertAlign w:val="superscript"/>
        </w:rPr>
        <w:t>[41, 77-79]</w:t>
      </w:r>
      <w:r w:rsidR="00B411DC">
        <w:rPr>
          <w:rFonts w:ascii="Times New Roman" w:eastAsia="宋体" w:hAnsi="Times New Roman" w:cs="Times New Roman"/>
          <w:color w:val="000000" w:themeColor="text1"/>
          <w:sz w:val="24"/>
          <w:szCs w:val="24"/>
        </w:rPr>
        <w:fldChar w:fldCharType="end"/>
      </w:r>
      <w:r>
        <w:rPr>
          <w:rFonts w:ascii="Times New Roman" w:eastAsia="宋体" w:hAnsi="Times New Roman" w:cs="Times New Roman" w:hint="eastAsia"/>
          <w:color w:val="000000" w:themeColor="text1"/>
          <w:sz w:val="24"/>
          <w:szCs w:val="24"/>
        </w:rPr>
        <w:t>。如血压控制良好但降压药物影响超滤，则应减少降压药用量以增加超滤。降压药如用于心血管保护则建议长期使用，除非影响到透析的容量控制。</w:t>
      </w:r>
    </w:p>
    <w:p w:rsidR="002E5476" w:rsidRDefault="00423E71">
      <w:pPr>
        <w:spacing w:line="360" w:lineRule="auto"/>
        <w:ind w:firstLineChars="200" w:firstLine="480"/>
        <w:jc w:val="left"/>
        <w:outlineLvl w:val="1"/>
        <w:rPr>
          <w:rStyle w:val="inline-tabletitle"/>
          <w:rFonts w:ascii="Times New Roman" w:eastAsia="宋体" w:hAnsi="Times New Roman" w:cs="Times New Roman"/>
          <w:b/>
          <w:bCs/>
          <w:color w:val="000000" w:themeColor="text1"/>
          <w:sz w:val="24"/>
          <w:szCs w:val="24"/>
        </w:rPr>
      </w:pPr>
      <w:r>
        <w:rPr>
          <w:rFonts w:ascii="Times New Roman" w:eastAsia="宋体" w:hAnsi="Times New Roman" w:cs="Times New Roman" w:hint="eastAsia"/>
          <w:color w:val="000000" w:themeColor="text1"/>
          <w:sz w:val="24"/>
          <w:szCs w:val="24"/>
        </w:rPr>
        <w:t>透析患者人群异质性大，降压药物选择相关的临床试验证据稀缺。普通人群应用的一线降压药物（如</w:t>
      </w:r>
      <w:r>
        <w:rPr>
          <w:rFonts w:ascii="Times New Roman" w:eastAsia="宋体" w:hAnsi="Times New Roman" w:cs="Times New Roman"/>
          <w:color w:val="000000" w:themeColor="text1"/>
          <w:sz w:val="24"/>
          <w:szCs w:val="24"/>
        </w:rPr>
        <w:t>ACEI/ARB</w:t>
      </w:r>
      <w:r>
        <w:rPr>
          <w:rFonts w:ascii="Times New Roman" w:eastAsia="宋体" w:hAnsi="Times New Roman" w:cs="Times New Roman" w:hint="eastAsia"/>
          <w:color w:val="000000" w:themeColor="text1"/>
          <w:sz w:val="24"/>
          <w:szCs w:val="24"/>
        </w:rPr>
        <w:t>和</w:t>
      </w:r>
      <w:r>
        <w:rPr>
          <w:rFonts w:ascii="Times New Roman" w:eastAsia="宋体" w:hAnsi="Times New Roman" w:cs="Times New Roman"/>
          <w:color w:val="000000" w:themeColor="text1"/>
          <w:sz w:val="24"/>
          <w:szCs w:val="24"/>
        </w:rPr>
        <w:t>CCB</w:t>
      </w:r>
      <w:r>
        <w:rPr>
          <w:rFonts w:ascii="Times New Roman" w:eastAsia="宋体" w:hAnsi="Times New Roman" w:cs="Times New Roman" w:hint="eastAsia"/>
          <w:color w:val="000000" w:themeColor="text1"/>
          <w:sz w:val="24"/>
          <w:szCs w:val="24"/>
        </w:rPr>
        <w:t>）也可作为透析患者降压的一线药物。此外，应根据患者状况和心血管适应证等个体化选择适宜的药物（表</w:t>
      </w:r>
      <w:r>
        <w:rPr>
          <w:rFonts w:ascii="Times New Roman" w:eastAsia="宋体" w:hAnsi="Times New Roman" w:cs="Times New Roman"/>
          <w:color w:val="000000" w:themeColor="text1"/>
          <w:sz w:val="24"/>
          <w:szCs w:val="24"/>
        </w:rPr>
        <w:t>3</w:t>
      </w:r>
      <w:r>
        <w:rPr>
          <w:rFonts w:ascii="Times New Roman" w:eastAsia="宋体" w:hAnsi="Times New Roman" w:cs="Times New Roman" w:hint="eastAsia"/>
          <w:color w:val="000000" w:themeColor="text1"/>
          <w:sz w:val="24"/>
          <w:szCs w:val="24"/>
        </w:rPr>
        <w:t>）。药代动力学和是否被透析清除也是重要的考虑因素。不可被透析清除的卡维地洛相对于大部分可被透析清除的美托洛尔在透析中发生低血压的可能性更高</w:t>
      </w:r>
      <w:r w:rsidR="00B411DC">
        <w:rPr>
          <w:rFonts w:ascii="Times New Roman" w:eastAsia="宋体" w:hAnsi="Times New Roman" w:cs="Times New Roman"/>
          <w:color w:val="000000" w:themeColor="text1"/>
          <w:sz w:val="24"/>
          <w:szCs w:val="24"/>
        </w:rPr>
        <w:fldChar w:fldCharType="begin"/>
      </w:r>
      <w:r>
        <w:rPr>
          <w:rFonts w:ascii="Times New Roman" w:eastAsia="宋体" w:hAnsi="Times New Roman" w:cs="Times New Roman"/>
          <w:color w:val="000000" w:themeColor="text1"/>
          <w:sz w:val="24"/>
          <w:szCs w:val="24"/>
        </w:rPr>
        <w:instrText xml:space="preserve"> ADDIN NE.Ref.{120ED79E-F3BF-40ED-9CA3-814DAB4DFC91}</w:instrText>
      </w:r>
      <w:r w:rsidR="00B411DC">
        <w:rPr>
          <w:rFonts w:ascii="Times New Roman" w:eastAsia="宋体" w:hAnsi="Times New Roman" w:cs="Times New Roman"/>
          <w:color w:val="000000" w:themeColor="text1"/>
          <w:sz w:val="24"/>
          <w:szCs w:val="24"/>
        </w:rPr>
        <w:fldChar w:fldCharType="separate"/>
      </w:r>
      <w:r>
        <w:rPr>
          <w:rFonts w:ascii="Times New Roman" w:eastAsia="宋体" w:hAnsi="Times New Roman" w:cs="Times New Roman"/>
          <w:color w:val="000000" w:themeColor="text1"/>
          <w:kern w:val="0"/>
          <w:sz w:val="24"/>
          <w:szCs w:val="24"/>
          <w:vertAlign w:val="superscript"/>
        </w:rPr>
        <w:t>[80]</w:t>
      </w:r>
      <w:r w:rsidR="00B411DC">
        <w:rPr>
          <w:rFonts w:ascii="Times New Roman" w:eastAsia="宋体" w:hAnsi="Times New Roman" w:cs="Times New Roman"/>
          <w:color w:val="000000" w:themeColor="text1"/>
          <w:sz w:val="24"/>
          <w:szCs w:val="24"/>
        </w:rPr>
        <w:fldChar w:fldCharType="end"/>
      </w:r>
      <w:r>
        <w:rPr>
          <w:rFonts w:ascii="Times New Roman" w:eastAsia="宋体" w:hAnsi="Times New Roman" w:cs="Times New Roman" w:hint="eastAsia"/>
          <w:color w:val="000000" w:themeColor="text1"/>
          <w:sz w:val="24"/>
          <w:szCs w:val="24"/>
        </w:rPr>
        <w:t>。如患者频繁发生透析中低血压，则应避免使用透析难以清除的药物</w:t>
      </w:r>
      <w:r w:rsidR="00B411DC">
        <w:rPr>
          <w:rFonts w:ascii="Times New Roman" w:eastAsia="宋体" w:hAnsi="Times New Roman" w:cs="Times New Roman"/>
          <w:color w:val="000000" w:themeColor="text1"/>
          <w:sz w:val="24"/>
          <w:szCs w:val="24"/>
        </w:rPr>
        <w:fldChar w:fldCharType="begin"/>
      </w:r>
      <w:r>
        <w:rPr>
          <w:rFonts w:ascii="Times New Roman" w:eastAsia="宋体" w:hAnsi="Times New Roman" w:cs="Times New Roman"/>
          <w:color w:val="000000" w:themeColor="text1"/>
          <w:sz w:val="24"/>
          <w:szCs w:val="24"/>
        </w:rPr>
        <w:instrText xml:space="preserve"> ADDIN NE.Ref.{6719F4A7-54C2-408B-A826-ED0508C9F3FB}</w:instrText>
      </w:r>
      <w:r w:rsidR="00B411DC">
        <w:rPr>
          <w:rFonts w:ascii="Times New Roman" w:eastAsia="宋体" w:hAnsi="Times New Roman" w:cs="Times New Roman"/>
          <w:color w:val="000000" w:themeColor="text1"/>
          <w:sz w:val="24"/>
          <w:szCs w:val="24"/>
        </w:rPr>
        <w:fldChar w:fldCharType="separate"/>
      </w:r>
      <w:r>
        <w:rPr>
          <w:rFonts w:ascii="Times New Roman" w:eastAsia="宋体" w:hAnsi="Times New Roman" w:cs="Times New Roman"/>
          <w:color w:val="000000" w:themeColor="text1"/>
          <w:kern w:val="0"/>
          <w:sz w:val="24"/>
          <w:szCs w:val="24"/>
          <w:vertAlign w:val="superscript"/>
        </w:rPr>
        <w:t>[81]</w:t>
      </w:r>
      <w:r w:rsidR="00B411DC">
        <w:rPr>
          <w:rFonts w:ascii="Times New Roman" w:eastAsia="宋体" w:hAnsi="Times New Roman" w:cs="Times New Roman"/>
          <w:color w:val="000000" w:themeColor="text1"/>
          <w:sz w:val="24"/>
          <w:szCs w:val="24"/>
        </w:rPr>
        <w:fldChar w:fldCharType="end"/>
      </w:r>
      <w:r>
        <w:rPr>
          <w:rFonts w:ascii="Times New Roman" w:eastAsia="宋体" w:hAnsi="Times New Roman" w:cs="Times New Roman" w:hint="eastAsia"/>
          <w:color w:val="000000" w:themeColor="text1"/>
          <w:sz w:val="24"/>
          <w:szCs w:val="24"/>
        </w:rPr>
        <w:t>。而透析中血压相对稳定的患者，使用长效、每日一次的药物则可改善依从性。</w:t>
      </w:r>
    </w:p>
    <w:p w:rsidR="002E5476" w:rsidRDefault="00423E71">
      <w:pPr>
        <w:spacing w:line="360" w:lineRule="auto"/>
        <w:jc w:val="left"/>
        <w:outlineLvl w:val="1"/>
        <w:rPr>
          <w:rFonts w:ascii="Times New Roman" w:eastAsia="宋体" w:hAnsi="Times New Roman" w:cs="Times New Roman"/>
          <w:b/>
          <w:bCs/>
          <w:color w:val="000000" w:themeColor="text1"/>
          <w:sz w:val="24"/>
          <w:szCs w:val="24"/>
        </w:rPr>
      </w:pPr>
      <w:bookmarkStart w:id="28" w:name="_Toc1609244448_WPSOffice_Level2"/>
      <w:r>
        <w:rPr>
          <w:rFonts w:ascii="Times New Roman" w:eastAsia="宋体" w:hAnsi="Times New Roman" w:cs="Times New Roman"/>
          <w:b/>
          <w:bCs/>
          <w:color w:val="000000" w:themeColor="text1"/>
          <w:sz w:val="24"/>
          <w:szCs w:val="24"/>
        </w:rPr>
        <w:t xml:space="preserve">3.2 </w:t>
      </w:r>
      <w:r>
        <w:rPr>
          <w:rFonts w:ascii="Times New Roman" w:eastAsia="宋体" w:hAnsi="Times New Roman" w:cs="Times New Roman" w:hint="eastAsia"/>
          <w:b/>
          <w:bCs/>
          <w:color w:val="000000" w:themeColor="text1"/>
          <w:sz w:val="24"/>
          <w:szCs w:val="24"/>
        </w:rPr>
        <w:t>腹膜透</w:t>
      </w:r>
      <w:bookmarkEnd w:id="28"/>
      <w:r>
        <w:rPr>
          <w:rFonts w:ascii="Times New Roman" w:eastAsia="宋体" w:hAnsi="Times New Roman" w:cs="Times New Roman" w:hint="eastAsia"/>
          <w:b/>
          <w:bCs/>
          <w:color w:val="000000" w:themeColor="text1"/>
          <w:sz w:val="24"/>
          <w:szCs w:val="24"/>
        </w:rPr>
        <w:t>析</w:t>
      </w:r>
    </w:p>
    <w:p w:rsidR="002E5476" w:rsidRDefault="00423E71">
      <w:pPr>
        <w:spacing w:line="360" w:lineRule="auto"/>
        <w:ind w:firstLineChars="200" w:firstLine="480"/>
        <w:jc w:val="left"/>
        <w:outlineLvl w:val="1"/>
        <w:rPr>
          <w:rFonts w:ascii="Times New Roman" w:eastAsia="宋体" w:hAnsi="Times New Roman" w:cs="Times New Roman"/>
          <w:color w:val="000000" w:themeColor="text1"/>
          <w:sz w:val="24"/>
          <w:szCs w:val="24"/>
        </w:rPr>
      </w:pPr>
      <w:r>
        <w:rPr>
          <w:rFonts w:ascii="Times New Roman" w:eastAsia="宋体" w:hAnsi="Times New Roman" w:cs="Times New Roman" w:hint="eastAsia"/>
          <w:color w:val="000000" w:themeColor="text1"/>
          <w:sz w:val="24"/>
          <w:szCs w:val="24"/>
        </w:rPr>
        <w:t>关于腹膜透析（</w:t>
      </w:r>
      <w:r>
        <w:rPr>
          <w:rFonts w:ascii="Times New Roman" w:eastAsia="宋体" w:hAnsi="Times New Roman" w:cs="Times New Roman"/>
          <w:color w:val="000000" w:themeColor="text1"/>
          <w:sz w:val="24"/>
          <w:szCs w:val="24"/>
        </w:rPr>
        <w:t>peritoneal dialysis</w:t>
      </w:r>
      <w:r>
        <w:rPr>
          <w:rFonts w:ascii="Times New Roman" w:eastAsia="宋体" w:hAnsi="Times New Roman" w:cs="Times New Roman" w:hint="eastAsia"/>
          <w:color w:val="000000" w:themeColor="text1"/>
          <w:sz w:val="24"/>
          <w:szCs w:val="24"/>
        </w:rPr>
        <w:t>，</w:t>
      </w:r>
      <w:r>
        <w:rPr>
          <w:rFonts w:ascii="Times New Roman" w:eastAsia="宋体" w:hAnsi="Times New Roman" w:cs="Times New Roman"/>
          <w:color w:val="000000" w:themeColor="text1"/>
          <w:sz w:val="24"/>
          <w:szCs w:val="24"/>
        </w:rPr>
        <w:t>PD</w:t>
      </w:r>
      <w:r>
        <w:rPr>
          <w:rFonts w:ascii="Times New Roman" w:eastAsia="宋体" w:hAnsi="Times New Roman" w:cs="Times New Roman" w:hint="eastAsia"/>
          <w:color w:val="000000" w:themeColor="text1"/>
          <w:sz w:val="24"/>
          <w:szCs w:val="24"/>
        </w:rPr>
        <w:t>）患者的降压靶目标目前尚缺乏大样本的</w:t>
      </w:r>
      <w:r>
        <w:rPr>
          <w:rFonts w:ascii="Times New Roman" w:eastAsia="宋体" w:hAnsi="Times New Roman" w:cs="Times New Roman"/>
          <w:color w:val="000000" w:themeColor="text1"/>
          <w:sz w:val="24"/>
          <w:szCs w:val="24"/>
        </w:rPr>
        <w:t>RCT</w:t>
      </w:r>
      <w:r>
        <w:rPr>
          <w:rFonts w:ascii="Times New Roman" w:eastAsia="宋体" w:hAnsi="Times New Roman" w:cs="Times New Roman" w:hint="eastAsia"/>
          <w:color w:val="000000" w:themeColor="text1"/>
          <w:sz w:val="24"/>
          <w:szCs w:val="24"/>
        </w:rPr>
        <w:t>研究证据。《中国肾性高血压管理指南</w:t>
      </w:r>
      <w:r>
        <w:rPr>
          <w:rFonts w:ascii="Times New Roman" w:eastAsia="宋体" w:hAnsi="Times New Roman" w:cs="Times New Roman"/>
          <w:color w:val="000000" w:themeColor="text1"/>
          <w:sz w:val="24"/>
          <w:szCs w:val="24"/>
        </w:rPr>
        <w:t>2016(</w:t>
      </w:r>
      <w:r>
        <w:rPr>
          <w:rFonts w:ascii="Times New Roman" w:eastAsia="宋体" w:hAnsi="Times New Roman" w:cs="Times New Roman" w:hint="eastAsia"/>
          <w:color w:val="000000" w:themeColor="text1"/>
          <w:sz w:val="24"/>
          <w:szCs w:val="24"/>
        </w:rPr>
        <w:t>简版</w:t>
      </w:r>
      <w:r>
        <w:rPr>
          <w:rFonts w:ascii="Times New Roman" w:eastAsia="宋体" w:hAnsi="Times New Roman" w:cs="Times New Roman"/>
          <w:color w:val="000000" w:themeColor="text1"/>
          <w:sz w:val="24"/>
          <w:szCs w:val="24"/>
        </w:rPr>
        <w:t>)</w:t>
      </w:r>
      <w:r>
        <w:rPr>
          <w:rFonts w:ascii="Times New Roman" w:eastAsia="宋体" w:hAnsi="Times New Roman" w:cs="Times New Roman" w:hint="eastAsia"/>
          <w:color w:val="000000" w:themeColor="text1"/>
          <w:sz w:val="24"/>
          <w:szCs w:val="24"/>
        </w:rPr>
        <w:t>》</w:t>
      </w:r>
      <w:r w:rsidR="00B411DC">
        <w:rPr>
          <w:rFonts w:ascii="Times New Roman" w:eastAsia="宋体" w:hAnsi="Times New Roman" w:cs="Times New Roman"/>
          <w:color w:val="000000" w:themeColor="text1"/>
          <w:sz w:val="24"/>
          <w:szCs w:val="24"/>
        </w:rPr>
        <w:fldChar w:fldCharType="begin"/>
      </w:r>
      <w:r>
        <w:rPr>
          <w:rFonts w:ascii="Times New Roman" w:eastAsia="宋体" w:hAnsi="Times New Roman" w:cs="Times New Roman"/>
          <w:color w:val="000000" w:themeColor="text1"/>
          <w:sz w:val="24"/>
          <w:szCs w:val="24"/>
        </w:rPr>
        <w:instrText xml:space="preserve"> ADDIN NE.Ref.{212816F9-213F-4B15-8174-E5CF41044DD7}</w:instrText>
      </w:r>
      <w:r w:rsidR="00B411DC">
        <w:rPr>
          <w:rFonts w:ascii="Times New Roman" w:eastAsia="宋体" w:hAnsi="Times New Roman" w:cs="Times New Roman"/>
          <w:color w:val="000000" w:themeColor="text1"/>
          <w:sz w:val="24"/>
          <w:szCs w:val="24"/>
        </w:rPr>
        <w:fldChar w:fldCharType="separate"/>
      </w:r>
      <w:r>
        <w:rPr>
          <w:rFonts w:ascii="Times New Roman" w:eastAsia="宋体" w:hAnsi="Times New Roman" w:cs="Times New Roman"/>
          <w:color w:val="000000" w:themeColor="text1"/>
          <w:kern w:val="0"/>
          <w:sz w:val="24"/>
          <w:szCs w:val="24"/>
          <w:vertAlign w:val="superscript"/>
        </w:rPr>
        <w:t>[82]</w:t>
      </w:r>
      <w:r w:rsidR="00B411DC">
        <w:rPr>
          <w:rFonts w:ascii="Times New Roman" w:eastAsia="宋体" w:hAnsi="Times New Roman" w:cs="Times New Roman"/>
          <w:color w:val="000000" w:themeColor="text1"/>
          <w:sz w:val="24"/>
          <w:szCs w:val="24"/>
        </w:rPr>
        <w:fldChar w:fldCharType="end"/>
      </w:r>
      <w:r>
        <w:rPr>
          <w:rFonts w:ascii="Times New Roman" w:eastAsia="宋体" w:hAnsi="Times New Roman" w:cs="Times New Roman" w:hint="eastAsia"/>
          <w:color w:val="000000" w:themeColor="text1"/>
          <w:sz w:val="24"/>
          <w:szCs w:val="24"/>
        </w:rPr>
        <w:t>建议，</w:t>
      </w:r>
      <w:r>
        <w:rPr>
          <w:rFonts w:ascii="Times New Roman" w:eastAsia="宋体" w:hAnsi="Times New Roman" w:cs="Times New Roman"/>
          <w:color w:val="000000" w:themeColor="text1"/>
          <w:sz w:val="24"/>
          <w:szCs w:val="24"/>
        </w:rPr>
        <w:t>PD</w:t>
      </w:r>
      <w:r>
        <w:rPr>
          <w:rFonts w:ascii="Times New Roman" w:eastAsia="宋体" w:hAnsi="Times New Roman" w:cs="Times New Roman" w:hint="eastAsia"/>
          <w:color w:val="000000" w:themeColor="text1"/>
          <w:sz w:val="24"/>
          <w:szCs w:val="24"/>
        </w:rPr>
        <w:t>患者血压应控制在</w:t>
      </w:r>
      <w:r>
        <w:rPr>
          <w:rFonts w:ascii="Times New Roman" w:eastAsia="宋体" w:hAnsi="Times New Roman" w:cs="Times New Roman"/>
          <w:color w:val="000000" w:themeColor="text1"/>
          <w:sz w:val="24"/>
          <w:szCs w:val="24"/>
        </w:rPr>
        <w:t>140/90 mmHg</w:t>
      </w:r>
      <w:r>
        <w:rPr>
          <w:rFonts w:ascii="Times New Roman" w:eastAsia="宋体" w:hAnsi="Times New Roman" w:cs="Times New Roman" w:hint="eastAsia"/>
          <w:color w:val="000000" w:themeColor="text1"/>
          <w:sz w:val="24"/>
          <w:szCs w:val="24"/>
        </w:rPr>
        <w:t>以下，年龄</w:t>
      </w:r>
      <w:r>
        <w:rPr>
          <w:rFonts w:ascii="Times New Roman" w:eastAsia="宋体" w:hAnsi="Times New Roman" w:cs="Times New Roman"/>
          <w:color w:val="000000" w:themeColor="text1"/>
          <w:sz w:val="24"/>
          <w:szCs w:val="24"/>
        </w:rPr>
        <w:t>&gt;60</w:t>
      </w:r>
      <w:r>
        <w:rPr>
          <w:rFonts w:ascii="Times New Roman" w:eastAsia="宋体" w:hAnsi="Times New Roman" w:cs="Times New Roman" w:hint="eastAsia"/>
          <w:color w:val="000000" w:themeColor="text1"/>
          <w:sz w:val="24"/>
          <w:szCs w:val="24"/>
        </w:rPr>
        <w:t>岁的患者血压控制目标可以放宽至</w:t>
      </w:r>
      <w:r>
        <w:rPr>
          <w:rFonts w:ascii="Times New Roman" w:eastAsia="宋体" w:hAnsi="Times New Roman" w:cs="Times New Roman"/>
          <w:color w:val="000000" w:themeColor="text1"/>
          <w:sz w:val="24"/>
          <w:szCs w:val="24"/>
        </w:rPr>
        <w:t xml:space="preserve">150/90 mmHg </w:t>
      </w:r>
      <w:r>
        <w:rPr>
          <w:rFonts w:ascii="Times New Roman" w:eastAsia="宋体" w:hAnsi="Times New Roman" w:cs="Times New Roman" w:hint="eastAsia"/>
          <w:color w:val="000000" w:themeColor="text1"/>
          <w:sz w:val="24"/>
          <w:szCs w:val="24"/>
        </w:rPr>
        <w:t>以下。</w:t>
      </w:r>
      <w:r>
        <w:rPr>
          <w:rFonts w:ascii="Times New Roman" w:eastAsia="宋体" w:hAnsi="Times New Roman" w:cs="Times New Roman"/>
          <w:color w:val="000000" w:themeColor="text1"/>
          <w:sz w:val="24"/>
          <w:szCs w:val="24"/>
        </w:rPr>
        <w:t xml:space="preserve"> </w:t>
      </w:r>
    </w:p>
    <w:p w:rsidR="002E5476" w:rsidRDefault="00423E71">
      <w:pPr>
        <w:spacing w:line="360" w:lineRule="auto"/>
        <w:ind w:firstLineChars="200" w:firstLine="480"/>
        <w:jc w:val="left"/>
        <w:outlineLvl w:val="1"/>
        <w:rPr>
          <w:rFonts w:ascii="Times New Roman" w:eastAsia="宋体" w:hAnsi="Times New Roman" w:cs="Times New Roman"/>
          <w:color w:val="000000" w:themeColor="text1"/>
          <w:sz w:val="24"/>
          <w:szCs w:val="24"/>
        </w:rPr>
      </w:pPr>
      <w:r>
        <w:rPr>
          <w:rFonts w:ascii="Times New Roman" w:eastAsia="宋体" w:hAnsi="Times New Roman" w:cs="Times New Roman"/>
          <w:color w:val="000000" w:themeColor="text1"/>
          <w:sz w:val="24"/>
          <w:szCs w:val="24"/>
        </w:rPr>
        <w:t>PD</w:t>
      </w:r>
      <w:r>
        <w:rPr>
          <w:rFonts w:ascii="Times New Roman" w:eastAsia="宋体" w:hAnsi="Times New Roman" w:cs="Times New Roman" w:hint="eastAsia"/>
          <w:color w:val="000000" w:themeColor="text1"/>
          <w:sz w:val="24"/>
          <w:szCs w:val="24"/>
        </w:rPr>
        <w:t>患者的血压同样与容量密切相关，故使用降压药物前应首先评估患者的容量状态，尽量控制好容量之后再启动或增加降压药物。容量过多的患者应限制盐和水的摄入。对有残余肾功能的患者，使用大剂量的利尿剂可以提高钠排泄和尿量</w:t>
      </w:r>
      <w:r w:rsidR="00B411DC">
        <w:rPr>
          <w:rFonts w:ascii="Times New Roman" w:eastAsia="宋体" w:hAnsi="Times New Roman" w:cs="Times New Roman"/>
          <w:color w:val="000000" w:themeColor="text1"/>
          <w:sz w:val="24"/>
          <w:szCs w:val="24"/>
        </w:rPr>
        <w:fldChar w:fldCharType="begin"/>
      </w:r>
      <w:r>
        <w:rPr>
          <w:rFonts w:ascii="Times New Roman" w:eastAsia="宋体" w:hAnsi="Times New Roman" w:cs="Times New Roman"/>
          <w:color w:val="000000" w:themeColor="text1"/>
          <w:sz w:val="24"/>
          <w:szCs w:val="24"/>
        </w:rPr>
        <w:instrText xml:space="preserve"> ADDIN NE.Ref.{0AA84AAA-FE17-4E25-8155-E09CD0D69F52}</w:instrText>
      </w:r>
      <w:r w:rsidR="00B411DC">
        <w:rPr>
          <w:rFonts w:ascii="Times New Roman" w:eastAsia="宋体" w:hAnsi="Times New Roman" w:cs="Times New Roman"/>
          <w:color w:val="000000" w:themeColor="text1"/>
          <w:sz w:val="24"/>
          <w:szCs w:val="24"/>
        </w:rPr>
        <w:fldChar w:fldCharType="end"/>
      </w:r>
      <w:r>
        <w:rPr>
          <w:rFonts w:ascii="Times New Roman" w:eastAsia="宋体" w:hAnsi="Times New Roman" w:cs="Times New Roman" w:hint="eastAsia"/>
          <w:color w:val="000000" w:themeColor="text1"/>
          <w:sz w:val="24"/>
          <w:szCs w:val="24"/>
        </w:rPr>
        <w:t>，减轻容量负荷。在透析处方调整方面，提高葡萄糖透析液的浓度可以增加超滤，但同时会加速腹膜超滤能力的损失</w:t>
      </w:r>
      <w:r w:rsidR="00B411DC">
        <w:rPr>
          <w:rFonts w:ascii="Times New Roman" w:eastAsia="宋体" w:hAnsi="Times New Roman" w:cs="Times New Roman"/>
          <w:color w:val="000000" w:themeColor="text1"/>
          <w:sz w:val="24"/>
          <w:szCs w:val="24"/>
        </w:rPr>
        <w:fldChar w:fldCharType="begin"/>
      </w:r>
      <w:r>
        <w:rPr>
          <w:rFonts w:ascii="Times New Roman" w:eastAsia="宋体" w:hAnsi="Times New Roman" w:cs="Times New Roman"/>
          <w:color w:val="000000" w:themeColor="text1"/>
          <w:sz w:val="24"/>
          <w:szCs w:val="24"/>
        </w:rPr>
        <w:instrText xml:space="preserve"> ADDIN NE.Ref.{FB2226AD-113D-457C-BBBF-4CE79D43FC81}</w:instrText>
      </w:r>
      <w:r w:rsidR="00B411DC">
        <w:rPr>
          <w:rFonts w:ascii="Times New Roman" w:eastAsia="宋体" w:hAnsi="Times New Roman" w:cs="Times New Roman"/>
          <w:color w:val="000000" w:themeColor="text1"/>
          <w:sz w:val="24"/>
          <w:szCs w:val="24"/>
        </w:rPr>
        <w:fldChar w:fldCharType="separate"/>
      </w:r>
      <w:r>
        <w:rPr>
          <w:rFonts w:ascii="Times New Roman" w:eastAsia="宋体" w:hAnsi="Times New Roman" w:cs="Times New Roman"/>
          <w:color w:val="000000" w:themeColor="text1"/>
          <w:kern w:val="0"/>
          <w:sz w:val="24"/>
          <w:szCs w:val="24"/>
          <w:vertAlign w:val="superscript"/>
        </w:rPr>
        <w:t>[83]</w:t>
      </w:r>
      <w:r w:rsidR="00B411DC">
        <w:rPr>
          <w:rFonts w:ascii="Times New Roman" w:eastAsia="宋体" w:hAnsi="Times New Roman" w:cs="Times New Roman"/>
          <w:color w:val="000000" w:themeColor="text1"/>
          <w:sz w:val="24"/>
          <w:szCs w:val="24"/>
        </w:rPr>
        <w:fldChar w:fldCharType="end"/>
      </w:r>
      <w:r>
        <w:rPr>
          <w:rFonts w:ascii="Times New Roman" w:eastAsia="宋体" w:hAnsi="Times New Roman" w:cs="Times New Roman" w:hint="eastAsia"/>
          <w:color w:val="000000" w:themeColor="text1"/>
          <w:sz w:val="24"/>
          <w:szCs w:val="24"/>
        </w:rPr>
        <w:t>，因此建议优先选择达到容量正常的其他策略，尽量减少透析液的葡萄糖暴露。与高浓度葡萄糖透析液相比，艾考糊精可以提高长时间存腹</w:t>
      </w:r>
      <w:r>
        <w:rPr>
          <w:rFonts w:ascii="Times New Roman" w:eastAsia="宋体" w:hAnsi="Times New Roman" w:cs="Times New Roman" w:hint="eastAsia"/>
          <w:color w:val="000000" w:themeColor="text1"/>
          <w:sz w:val="24"/>
          <w:szCs w:val="24"/>
        </w:rPr>
        <w:lastRenderedPageBreak/>
        <w:t>时的超滤量，可能有利于血压和容量的控制</w:t>
      </w:r>
      <w:r w:rsidR="00B411DC">
        <w:rPr>
          <w:rFonts w:ascii="Times New Roman" w:eastAsia="宋体" w:hAnsi="Times New Roman" w:cs="Times New Roman"/>
          <w:color w:val="000000" w:themeColor="text1"/>
          <w:sz w:val="24"/>
          <w:szCs w:val="24"/>
        </w:rPr>
        <w:fldChar w:fldCharType="begin"/>
      </w:r>
      <w:r>
        <w:rPr>
          <w:rFonts w:ascii="Times New Roman" w:eastAsia="宋体" w:hAnsi="Times New Roman" w:cs="Times New Roman"/>
          <w:color w:val="000000" w:themeColor="text1"/>
          <w:sz w:val="24"/>
          <w:szCs w:val="24"/>
        </w:rPr>
        <w:instrText xml:space="preserve"> ADDIN NE.Ref.{E1F72E44-5957-4367-BFC8-D42D2CFD17D1}</w:instrText>
      </w:r>
      <w:r w:rsidR="00B411DC">
        <w:rPr>
          <w:rFonts w:ascii="Times New Roman" w:eastAsia="宋体" w:hAnsi="Times New Roman" w:cs="Times New Roman"/>
          <w:color w:val="000000" w:themeColor="text1"/>
          <w:sz w:val="24"/>
          <w:szCs w:val="24"/>
        </w:rPr>
        <w:fldChar w:fldCharType="separate"/>
      </w:r>
      <w:r>
        <w:rPr>
          <w:rFonts w:ascii="Times New Roman" w:eastAsia="宋体" w:hAnsi="Times New Roman" w:cs="Times New Roman"/>
          <w:color w:val="000000" w:themeColor="text1"/>
          <w:kern w:val="0"/>
          <w:sz w:val="24"/>
          <w:szCs w:val="24"/>
          <w:vertAlign w:val="superscript"/>
        </w:rPr>
        <w:t>[84]</w:t>
      </w:r>
      <w:r w:rsidR="00B411DC">
        <w:rPr>
          <w:rFonts w:ascii="Times New Roman" w:eastAsia="宋体" w:hAnsi="Times New Roman" w:cs="Times New Roman"/>
          <w:color w:val="000000" w:themeColor="text1"/>
          <w:sz w:val="24"/>
          <w:szCs w:val="24"/>
        </w:rPr>
        <w:fldChar w:fldCharType="end"/>
      </w:r>
      <w:r>
        <w:rPr>
          <w:rFonts w:ascii="Times New Roman" w:eastAsia="宋体" w:hAnsi="Times New Roman" w:cs="Times New Roman" w:hint="eastAsia"/>
          <w:color w:val="000000" w:themeColor="text1"/>
          <w:sz w:val="24"/>
          <w:szCs w:val="24"/>
        </w:rPr>
        <w:t>，因此建议在存腹时间超过</w:t>
      </w:r>
      <w:r>
        <w:rPr>
          <w:rFonts w:ascii="Times New Roman" w:eastAsia="宋体" w:hAnsi="Times New Roman" w:cs="Times New Roman"/>
          <w:color w:val="000000" w:themeColor="text1"/>
          <w:sz w:val="24"/>
          <w:szCs w:val="24"/>
        </w:rPr>
        <w:t>8 h</w:t>
      </w:r>
      <w:r>
        <w:rPr>
          <w:rFonts w:ascii="Times New Roman" w:eastAsia="宋体" w:hAnsi="Times New Roman" w:cs="Times New Roman" w:hint="eastAsia"/>
          <w:color w:val="000000" w:themeColor="text1"/>
          <w:sz w:val="24"/>
          <w:szCs w:val="24"/>
        </w:rPr>
        <w:t>的情况下使用艾考糊精透析液。</w:t>
      </w:r>
    </w:p>
    <w:p w:rsidR="002E5476" w:rsidRDefault="00423E71">
      <w:pPr>
        <w:spacing w:line="360" w:lineRule="auto"/>
        <w:ind w:firstLineChars="200" w:firstLine="480"/>
        <w:jc w:val="left"/>
        <w:outlineLvl w:val="1"/>
        <w:rPr>
          <w:rFonts w:ascii="Times New Roman" w:eastAsia="宋体" w:hAnsi="Times New Roman" w:cs="Times New Roman"/>
          <w:color w:val="000000" w:themeColor="text1"/>
          <w:sz w:val="24"/>
          <w:szCs w:val="24"/>
        </w:rPr>
      </w:pPr>
      <w:r>
        <w:rPr>
          <w:rFonts w:ascii="Times New Roman" w:eastAsia="宋体" w:hAnsi="Times New Roman" w:cs="Times New Roman"/>
          <w:color w:val="000000" w:themeColor="text1"/>
          <w:sz w:val="24"/>
          <w:szCs w:val="24"/>
        </w:rPr>
        <w:t>PD</w:t>
      </w:r>
      <w:r>
        <w:rPr>
          <w:rFonts w:ascii="Times New Roman" w:eastAsia="宋体" w:hAnsi="Times New Roman" w:cs="Times New Roman" w:hint="eastAsia"/>
          <w:color w:val="000000" w:themeColor="text1"/>
          <w:sz w:val="24"/>
          <w:szCs w:val="24"/>
        </w:rPr>
        <w:t>患者在充分透析达到目标干体重后血压控制仍不佳，或无法达到干体重的情况下，应启动降压药物治疗，并根据透析对药代动力学的影响调整剂量和给药频率。与</w:t>
      </w:r>
      <w:r>
        <w:rPr>
          <w:rFonts w:ascii="Times New Roman" w:eastAsia="宋体" w:hAnsi="Times New Roman" w:cs="Times New Roman"/>
          <w:color w:val="000000" w:themeColor="text1"/>
          <w:sz w:val="24"/>
          <w:szCs w:val="24"/>
        </w:rPr>
        <w:t>HD</w:t>
      </w:r>
      <w:r>
        <w:rPr>
          <w:rFonts w:ascii="Times New Roman" w:eastAsia="宋体" w:hAnsi="Times New Roman" w:cs="Times New Roman" w:hint="eastAsia"/>
          <w:color w:val="000000" w:themeColor="text1"/>
          <w:sz w:val="24"/>
          <w:szCs w:val="24"/>
        </w:rPr>
        <w:t>患者相比，</w:t>
      </w:r>
      <w:r>
        <w:rPr>
          <w:rFonts w:ascii="Times New Roman" w:eastAsia="宋体" w:hAnsi="Times New Roman" w:cs="Times New Roman"/>
          <w:color w:val="000000" w:themeColor="text1"/>
          <w:sz w:val="24"/>
          <w:szCs w:val="24"/>
        </w:rPr>
        <w:t>PD</w:t>
      </w:r>
      <w:r>
        <w:rPr>
          <w:rFonts w:ascii="Times New Roman" w:eastAsia="宋体" w:hAnsi="Times New Roman" w:cs="Times New Roman" w:hint="eastAsia"/>
          <w:color w:val="000000" w:themeColor="text1"/>
          <w:sz w:val="24"/>
          <w:szCs w:val="24"/>
        </w:rPr>
        <w:t>患者的血流动力学情况相对稳定，透析前后血压波动相对较小，目前临床常用的降压药物几乎均可用于</w:t>
      </w:r>
      <w:r>
        <w:rPr>
          <w:rFonts w:ascii="Times New Roman" w:eastAsia="宋体" w:hAnsi="Times New Roman" w:cs="Times New Roman"/>
          <w:color w:val="000000" w:themeColor="text1"/>
          <w:sz w:val="24"/>
          <w:szCs w:val="24"/>
        </w:rPr>
        <w:t>PD</w:t>
      </w:r>
      <w:r>
        <w:rPr>
          <w:rFonts w:ascii="Times New Roman" w:eastAsia="宋体" w:hAnsi="Times New Roman" w:cs="Times New Roman" w:hint="eastAsia"/>
          <w:color w:val="000000" w:themeColor="text1"/>
          <w:sz w:val="24"/>
          <w:szCs w:val="24"/>
        </w:rPr>
        <w:t>患者，各类药物的处方原则和注意事项可参考前文。</w:t>
      </w:r>
      <w:r>
        <w:rPr>
          <w:rFonts w:ascii="Times New Roman" w:eastAsia="宋体" w:hAnsi="Times New Roman" w:cs="Times New Roman"/>
          <w:color w:val="000000" w:themeColor="text1"/>
          <w:sz w:val="24"/>
          <w:szCs w:val="24"/>
        </w:rPr>
        <w:t>ACEI</w:t>
      </w:r>
      <w:r>
        <w:rPr>
          <w:rFonts w:ascii="Times New Roman" w:eastAsia="宋体" w:hAnsi="Times New Roman" w:cs="Times New Roman" w:hint="eastAsia"/>
          <w:color w:val="000000" w:themeColor="text1"/>
          <w:sz w:val="24"/>
          <w:szCs w:val="24"/>
        </w:rPr>
        <w:t>或</w:t>
      </w:r>
      <w:r>
        <w:rPr>
          <w:rFonts w:ascii="Times New Roman" w:eastAsia="宋体" w:hAnsi="Times New Roman" w:cs="Times New Roman"/>
          <w:color w:val="000000" w:themeColor="text1"/>
          <w:sz w:val="24"/>
          <w:szCs w:val="24"/>
        </w:rPr>
        <w:t>ARB</w:t>
      </w:r>
      <w:r>
        <w:rPr>
          <w:rFonts w:ascii="Times New Roman" w:eastAsia="宋体" w:hAnsi="Times New Roman" w:cs="Times New Roman" w:hint="eastAsia"/>
          <w:color w:val="000000" w:themeColor="text1"/>
          <w:sz w:val="24"/>
          <w:szCs w:val="24"/>
        </w:rPr>
        <w:t>具有逆转左室肥厚、改善充血性心力衰竭、降低交感神经兴奋性和氧化应激、改善内皮功能的心血管保护作用，在</w:t>
      </w:r>
      <w:r>
        <w:rPr>
          <w:rFonts w:ascii="Times New Roman" w:eastAsia="宋体" w:hAnsi="Times New Roman" w:cs="Times New Roman"/>
          <w:color w:val="000000" w:themeColor="text1"/>
          <w:sz w:val="24"/>
          <w:szCs w:val="24"/>
        </w:rPr>
        <w:t>PD</w:t>
      </w:r>
      <w:r>
        <w:rPr>
          <w:rFonts w:ascii="Times New Roman" w:eastAsia="宋体" w:hAnsi="Times New Roman" w:cs="Times New Roman" w:hint="eastAsia"/>
          <w:color w:val="000000" w:themeColor="text1"/>
          <w:sz w:val="24"/>
          <w:szCs w:val="24"/>
        </w:rPr>
        <w:t>患者中该类药物还可延缓残余肾功能的丢失</w:t>
      </w:r>
      <w:r w:rsidR="00B411DC">
        <w:rPr>
          <w:rFonts w:ascii="Times New Roman" w:eastAsia="宋体" w:hAnsi="Times New Roman" w:cs="Times New Roman"/>
          <w:color w:val="000000" w:themeColor="text1"/>
          <w:sz w:val="24"/>
          <w:szCs w:val="24"/>
        </w:rPr>
        <w:fldChar w:fldCharType="begin"/>
      </w:r>
      <w:r>
        <w:rPr>
          <w:rFonts w:ascii="Times New Roman" w:eastAsia="宋体" w:hAnsi="Times New Roman" w:cs="Times New Roman"/>
          <w:color w:val="000000" w:themeColor="text1"/>
          <w:sz w:val="24"/>
          <w:szCs w:val="24"/>
        </w:rPr>
        <w:instrText xml:space="preserve"> ADDIN NE.Ref.{E0468774-1A3F-4C0E-A485-5282FD93C543}</w:instrText>
      </w:r>
      <w:r w:rsidR="00B411DC">
        <w:rPr>
          <w:rFonts w:ascii="Times New Roman" w:eastAsia="宋体" w:hAnsi="Times New Roman" w:cs="Times New Roman"/>
          <w:color w:val="000000" w:themeColor="text1"/>
          <w:sz w:val="24"/>
          <w:szCs w:val="24"/>
        </w:rPr>
        <w:fldChar w:fldCharType="separate"/>
      </w:r>
      <w:r>
        <w:rPr>
          <w:rFonts w:ascii="Times New Roman" w:eastAsia="宋体" w:hAnsi="Times New Roman" w:cs="Times New Roman"/>
          <w:color w:val="000000" w:themeColor="text1"/>
          <w:kern w:val="0"/>
          <w:sz w:val="24"/>
          <w:szCs w:val="24"/>
          <w:vertAlign w:val="superscript"/>
        </w:rPr>
        <w:t>[85-86]</w:t>
      </w:r>
      <w:r w:rsidR="00B411DC">
        <w:rPr>
          <w:rFonts w:ascii="Times New Roman" w:eastAsia="宋体" w:hAnsi="Times New Roman" w:cs="Times New Roman"/>
          <w:color w:val="000000" w:themeColor="text1"/>
          <w:sz w:val="24"/>
          <w:szCs w:val="24"/>
        </w:rPr>
        <w:fldChar w:fldCharType="end"/>
      </w:r>
      <w:r>
        <w:rPr>
          <w:rFonts w:ascii="Times New Roman" w:eastAsia="宋体" w:hAnsi="Times New Roman" w:cs="Times New Roman" w:hint="eastAsia"/>
          <w:color w:val="000000" w:themeColor="text1"/>
          <w:sz w:val="24"/>
          <w:szCs w:val="24"/>
        </w:rPr>
        <w:t>，改善预后</w:t>
      </w:r>
      <w:r w:rsidR="00B411DC">
        <w:rPr>
          <w:rFonts w:ascii="Times New Roman" w:eastAsia="宋体" w:hAnsi="Times New Roman" w:cs="Times New Roman"/>
          <w:color w:val="000000" w:themeColor="text1"/>
          <w:sz w:val="24"/>
          <w:szCs w:val="24"/>
        </w:rPr>
        <w:fldChar w:fldCharType="begin"/>
      </w:r>
      <w:r>
        <w:rPr>
          <w:rFonts w:ascii="Times New Roman" w:eastAsia="宋体" w:hAnsi="Times New Roman" w:cs="Times New Roman"/>
          <w:color w:val="000000" w:themeColor="text1"/>
          <w:sz w:val="24"/>
          <w:szCs w:val="24"/>
        </w:rPr>
        <w:instrText xml:space="preserve"> ADDIN NE.Ref.{5112A2D7-7A8B-4E49-ABD2-67C5F3BDC1A1}</w:instrText>
      </w:r>
      <w:r w:rsidR="00B411DC">
        <w:rPr>
          <w:rFonts w:ascii="Times New Roman" w:eastAsia="宋体" w:hAnsi="Times New Roman" w:cs="Times New Roman"/>
          <w:color w:val="000000" w:themeColor="text1"/>
          <w:sz w:val="24"/>
          <w:szCs w:val="24"/>
        </w:rPr>
        <w:fldChar w:fldCharType="separate"/>
      </w:r>
      <w:r>
        <w:rPr>
          <w:rFonts w:ascii="Times New Roman" w:eastAsia="宋体" w:hAnsi="Times New Roman" w:cs="Times New Roman"/>
          <w:color w:val="000000" w:themeColor="text1"/>
          <w:kern w:val="0"/>
          <w:sz w:val="24"/>
          <w:szCs w:val="24"/>
          <w:vertAlign w:val="superscript"/>
        </w:rPr>
        <w:t>[87-89]</w:t>
      </w:r>
      <w:r w:rsidR="00B411DC">
        <w:rPr>
          <w:rFonts w:ascii="Times New Roman" w:eastAsia="宋体" w:hAnsi="Times New Roman" w:cs="Times New Roman"/>
          <w:color w:val="000000" w:themeColor="text1"/>
          <w:sz w:val="24"/>
          <w:szCs w:val="24"/>
        </w:rPr>
        <w:fldChar w:fldCharType="end"/>
      </w:r>
      <w:r>
        <w:rPr>
          <w:rFonts w:ascii="Times New Roman" w:eastAsia="宋体" w:hAnsi="Times New Roman" w:cs="Times New Roman" w:hint="eastAsia"/>
          <w:color w:val="000000" w:themeColor="text1"/>
          <w:sz w:val="24"/>
          <w:szCs w:val="24"/>
        </w:rPr>
        <w:t>。在选择降压药时，应兼顾</w:t>
      </w:r>
      <w:r>
        <w:rPr>
          <w:rFonts w:ascii="Times New Roman" w:eastAsia="宋体" w:hAnsi="Times New Roman" w:cs="Times New Roman"/>
          <w:color w:val="000000" w:themeColor="text1"/>
          <w:sz w:val="24"/>
          <w:szCs w:val="24"/>
        </w:rPr>
        <w:t>PD</w:t>
      </w:r>
      <w:r>
        <w:rPr>
          <w:rFonts w:ascii="Times New Roman" w:eastAsia="宋体" w:hAnsi="Times New Roman" w:cs="Times New Roman" w:hint="eastAsia"/>
          <w:color w:val="000000" w:themeColor="text1"/>
          <w:sz w:val="24"/>
          <w:szCs w:val="24"/>
        </w:rPr>
        <w:t>患者的临床合并症情况选择适宜的药物。</w:t>
      </w:r>
    </w:p>
    <w:p w:rsidR="002E5476" w:rsidRDefault="002E5476">
      <w:pPr>
        <w:spacing w:line="360" w:lineRule="auto"/>
        <w:ind w:firstLineChars="200" w:firstLine="480"/>
        <w:jc w:val="left"/>
        <w:outlineLvl w:val="1"/>
        <w:rPr>
          <w:rFonts w:ascii="Times New Roman" w:eastAsia="宋体" w:hAnsi="Times New Roman" w:cs="Times New Roman"/>
          <w:bCs/>
          <w:color w:val="000000" w:themeColor="text1"/>
          <w:sz w:val="24"/>
          <w:szCs w:val="24"/>
        </w:rPr>
      </w:pPr>
    </w:p>
    <w:p w:rsidR="002E5476" w:rsidRDefault="00423E71">
      <w:pPr>
        <w:pStyle w:val="10"/>
        <w:numPr>
          <w:ilvl w:val="0"/>
          <w:numId w:val="4"/>
        </w:numPr>
        <w:tabs>
          <w:tab w:val="left" w:pos="703"/>
        </w:tabs>
        <w:spacing w:line="360" w:lineRule="auto"/>
        <w:ind w:firstLineChars="0" w:firstLine="0"/>
        <w:outlineLvl w:val="0"/>
        <w:rPr>
          <w:rFonts w:ascii="Times New Roman" w:eastAsia="宋体" w:hAnsi="Times New Roman" w:cs="Times New Roman"/>
          <w:b/>
          <w:bCs/>
          <w:color w:val="000000" w:themeColor="text1"/>
          <w:sz w:val="24"/>
          <w:szCs w:val="24"/>
        </w:rPr>
      </w:pPr>
      <w:bookmarkStart w:id="29" w:name="_Toc1648627986_WPSOffice_Level1"/>
      <w:r>
        <w:rPr>
          <w:rFonts w:ascii="Times New Roman" w:eastAsia="宋体" w:hAnsi="Times New Roman" w:cs="Times New Roman" w:hint="eastAsia"/>
          <w:b/>
          <w:bCs/>
          <w:color w:val="000000" w:themeColor="text1"/>
          <w:sz w:val="24"/>
          <w:szCs w:val="24"/>
        </w:rPr>
        <w:t xml:space="preserve"> </w:t>
      </w:r>
      <w:r>
        <w:rPr>
          <w:rFonts w:ascii="Times New Roman" w:eastAsia="宋体" w:hAnsi="Times New Roman" w:cs="Times New Roman" w:hint="eastAsia"/>
          <w:b/>
          <w:bCs/>
          <w:color w:val="000000" w:themeColor="text1"/>
          <w:sz w:val="24"/>
          <w:szCs w:val="24"/>
        </w:rPr>
        <w:t>其他特殊情况</w:t>
      </w:r>
      <w:bookmarkEnd w:id="29"/>
    </w:p>
    <w:p w:rsidR="002E5476" w:rsidRDefault="00423E71">
      <w:pPr>
        <w:pStyle w:val="10"/>
        <w:tabs>
          <w:tab w:val="left" w:pos="703"/>
        </w:tabs>
        <w:spacing w:line="360" w:lineRule="auto"/>
        <w:ind w:firstLineChars="0" w:firstLine="0"/>
        <w:outlineLvl w:val="0"/>
        <w:rPr>
          <w:rFonts w:ascii="Times New Roman" w:eastAsia="宋体" w:hAnsi="Times New Roman" w:cs="Times New Roman"/>
          <w:b/>
          <w:bCs/>
          <w:color w:val="000000" w:themeColor="text1"/>
          <w:sz w:val="24"/>
          <w:szCs w:val="24"/>
        </w:rPr>
      </w:pPr>
      <w:bookmarkStart w:id="30" w:name="_Toc1162387218_WPSOffice_Level2"/>
      <w:r>
        <w:rPr>
          <w:rFonts w:ascii="Times New Roman" w:eastAsia="宋体" w:hAnsi="Times New Roman" w:cs="Times New Roman"/>
          <w:b/>
          <w:bCs/>
          <w:color w:val="000000" w:themeColor="text1"/>
          <w:sz w:val="24"/>
          <w:szCs w:val="24"/>
        </w:rPr>
        <w:t xml:space="preserve">4.1 </w:t>
      </w:r>
      <w:bookmarkEnd w:id="30"/>
      <w:r>
        <w:rPr>
          <w:rFonts w:ascii="Times New Roman" w:eastAsia="宋体" w:hAnsi="Times New Roman" w:cs="Times New Roman" w:hint="eastAsia"/>
          <w:b/>
          <w:bCs/>
          <w:color w:val="000000" w:themeColor="text1"/>
          <w:sz w:val="24"/>
          <w:szCs w:val="24"/>
        </w:rPr>
        <w:t>肾血管性高血压</w:t>
      </w:r>
    </w:p>
    <w:p w:rsidR="002E5476" w:rsidRDefault="00423E71">
      <w:pPr>
        <w:pStyle w:val="10"/>
        <w:tabs>
          <w:tab w:val="left" w:pos="703"/>
        </w:tabs>
        <w:spacing w:line="360" w:lineRule="auto"/>
        <w:ind w:firstLine="480"/>
        <w:outlineLvl w:val="0"/>
        <w:rPr>
          <w:rFonts w:ascii="Times New Roman" w:eastAsia="宋体" w:hAnsi="Times New Roman" w:cs="Times New Roman"/>
          <w:color w:val="000000" w:themeColor="text1"/>
          <w:sz w:val="24"/>
          <w:szCs w:val="24"/>
        </w:rPr>
      </w:pPr>
      <w:r>
        <w:rPr>
          <w:rFonts w:ascii="Times New Roman" w:eastAsia="宋体" w:hAnsi="Times New Roman" w:cs="Times New Roman" w:hint="eastAsia"/>
          <w:color w:val="000000" w:themeColor="text1"/>
          <w:sz w:val="24"/>
          <w:szCs w:val="24"/>
        </w:rPr>
        <w:t>肾血管性高血压是指由于单侧或双侧肾动脉主干或其分支狭窄性病变导致肾脏缺血引起的高血压。单侧动脉粥样硬化性肾动脉狭窄患者首选</w:t>
      </w:r>
      <w:r>
        <w:rPr>
          <w:rFonts w:ascii="Times New Roman" w:eastAsia="宋体" w:hAnsi="Times New Roman" w:cs="Times New Roman"/>
          <w:color w:val="000000" w:themeColor="text1"/>
          <w:sz w:val="24"/>
          <w:szCs w:val="24"/>
        </w:rPr>
        <w:t>ACEI/ARB</w:t>
      </w:r>
      <w:r>
        <w:rPr>
          <w:rFonts w:ascii="Times New Roman" w:eastAsia="宋体" w:hAnsi="Times New Roman" w:cs="Times New Roman" w:hint="eastAsia"/>
          <w:color w:val="000000" w:themeColor="text1"/>
          <w:sz w:val="24"/>
          <w:szCs w:val="24"/>
        </w:rPr>
        <w:t>类药物降压，使用期间需注意监测肾功能。而对于双侧肾动脉狭窄的高血压患者，</w:t>
      </w:r>
      <w:r>
        <w:rPr>
          <w:rFonts w:ascii="Times New Roman" w:eastAsia="宋体" w:hAnsi="Times New Roman" w:cs="Times New Roman"/>
          <w:color w:val="000000" w:themeColor="text1"/>
          <w:sz w:val="24"/>
          <w:szCs w:val="24"/>
        </w:rPr>
        <w:t>ACEI/ARB</w:t>
      </w:r>
      <w:r>
        <w:rPr>
          <w:rFonts w:ascii="Times New Roman" w:eastAsia="宋体" w:hAnsi="Times New Roman" w:cs="Times New Roman" w:hint="eastAsia"/>
          <w:color w:val="000000" w:themeColor="text1"/>
          <w:sz w:val="24"/>
          <w:szCs w:val="24"/>
        </w:rPr>
        <w:t>类药物禁用，因其可加重肾脏缺血，导致肾功能下降，此时可选用对肾功能影响较小的</w:t>
      </w:r>
      <w:r>
        <w:rPr>
          <w:rFonts w:ascii="Times New Roman" w:eastAsia="宋体" w:hAnsi="Times New Roman" w:cs="Times New Roman"/>
          <w:color w:val="000000" w:themeColor="text1"/>
          <w:sz w:val="24"/>
          <w:szCs w:val="24"/>
        </w:rPr>
        <w:t>CCB</w:t>
      </w:r>
      <w:r>
        <w:rPr>
          <w:rFonts w:ascii="Times New Roman" w:eastAsia="宋体" w:hAnsi="Times New Roman" w:cs="Times New Roman" w:hint="eastAsia"/>
          <w:color w:val="000000" w:themeColor="text1"/>
          <w:sz w:val="24"/>
          <w:szCs w:val="24"/>
        </w:rPr>
        <w:t>。β受体阻滞剂对肾血管性高血压具有降压效果，可作为联合治疗药物。利尿剂因可刺激</w:t>
      </w:r>
      <w:r>
        <w:rPr>
          <w:rFonts w:ascii="Times New Roman" w:eastAsia="宋体" w:hAnsi="Times New Roman" w:cs="Times New Roman"/>
          <w:color w:val="000000" w:themeColor="text1"/>
          <w:sz w:val="24"/>
          <w:szCs w:val="24"/>
        </w:rPr>
        <w:t>RAAS</w:t>
      </w:r>
      <w:r>
        <w:rPr>
          <w:rFonts w:ascii="Times New Roman" w:eastAsia="宋体" w:hAnsi="Times New Roman" w:cs="Times New Roman" w:hint="eastAsia"/>
          <w:color w:val="000000" w:themeColor="text1"/>
          <w:sz w:val="24"/>
          <w:szCs w:val="24"/>
        </w:rPr>
        <w:t>，故高肾素状态时不宜选用，但可与β</w:t>
      </w:r>
      <w:r>
        <w:rPr>
          <w:rFonts w:ascii="Times New Roman" w:eastAsia="宋体" w:hAnsi="Times New Roman" w:cs="Times New Roman"/>
          <w:color w:val="000000" w:themeColor="text1"/>
          <w:sz w:val="24"/>
          <w:szCs w:val="24"/>
        </w:rPr>
        <w:t>/</w:t>
      </w:r>
      <w:r>
        <w:rPr>
          <w:rFonts w:ascii="Times New Roman" w:eastAsia="宋体" w:hAnsi="Times New Roman" w:cs="Times New Roman" w:hint="eastAsia"/>
          <w:color w:val="000000" w:themeColor="text1"/>
          <w:sz w:val="24"/>
          <w:szCs w:val="24"/>
        </w:rPr>
        <w:t>α受体阻滞剂等其他类降压药物联用。</w:t>
      </w:r>
    </w:p>
    <w:p w:rsidR="002E5476" w:rsidRDefault="00423E71">
      <w:pPr>
        <w:pStyle w:val="10"/>
        <w:tabs>
          <w:tab w:val="left" w:pos="703"/>
        </w:tabs>
        <w:spacing w:line="360" w:lineRule="auto"/>
        <w:ind w:firstLineChars="0" w:firstLine="0"/>
        <w:outlineLvl w:val="0"/>
        <w:rPr>
          <w:rFonts w:ascii="Times New Roman" w:eastAsia="宋体" w:hAnsi="Times New Roman" w:cs="Times New Roman"/>
          <w:b/>
          <w:bCs/>
          <w:color w:val="000000" w:themeColor="text1"/>
          <w:sz w:val="24"/>
          <w:szCs w:val="24"/>
        </w:rPr>
      </w:pPr>
      <w:bookmarkStart w:id="31" w:name="_Toc583236167_WPSOffice_Level2"/>
      <w:r>
        <w:rPr>
          <w:rFonts w:ascii="Times New Roman" w:eastAsia="宋体" w:hAnsi="Times New Roman" w:cs="Times New Roman"/>
          <w:b/>
          <w:bCs/>
          <w:color w:val="000000" w:themeColor="text1"/>
          <w:sz w:val="24"/>
          <w:szCs w:val="24"/>
        </w:rPr>
        <w:t xml:space="preserve">4.2 </w:t>
      </w:r>
      <w:r>
        <w:rPr>
          <w:rFonts w:ascii="Times New Roman" w:eastAsia="宋体" w:hAnsi="Times New Roman" w:cs="Times New Roman" w:hint="eastAsia"/>
          <w:b/>
          <w:bCs/>
          <w:color w:val="000000" w:themeColor="text1"/>
          <w:sz w:val="24"/>
          <w:szCs w:val="24"/>
        </w:rPr>
        <w:t>肾移植后高血压</w:t>
      </w:r>
      <w:bookmarkEnd w:id="31"/>
    </w:p>
    <w:p w:rsidR="002E5476" w:rsidRDefault="00423E71">
      <w:pPr>
        <w:pStyle w:val="10"/>
        <w:tabs>
          <w:tab w:val="left" w:pos="703"/>
        </w:tabs>
        <w:spacing w:line="360" w:lineRule="auto"/>
        <w:ind w:firstLine="480"/>
        <w:outlineLvl w:val="0"/>
        <w:rPr>
          <w:rFonts w:ascii="Times New Roman" w:eastAsia="宋体" w:hAnsi="Times New Roman" w:cs="Times New Roman"/>
          <w:color w:val="000000" w:themeColor="text1"/>
          <w:sz w:val="24"/>
          <w:szCs w:val="24"/>
        </w:rPr>
      </w:pPr>
      <w:r>
        <w:rPr>
          <w:rFonts w:ascii="Times New Roman" w:eastAsia="宋体" w:hAnsi="Times New Roman" w:cs="Times New Roman" w:hint="eastAsia"/>
          <w:color w:val="000000" w:themeColor="text1"/>
          <w:sz w:val="24"/>
          <w:szCs w:val="24"/>
        </w:rPr>
        <w:t>据报道，</w:t>
      </w:r>
      <w:r>
        <w:rPr>
          <w:rFonts w:ascii="Times New Roman" w:eastAsia="宋体" w:hAnsi="Times New Roman" w:cs="Times New Roman"/>
          <w:color w:val="000000" w:themeColor="text1"/>
          <w:sz w:val="24"/>
          <w:szCs w:val="24"/>
        </w:rPr>
        <w:t>50%~80%</w:t>
      </w:r>
      <w:r>
        <w:rPr>
          <w:rFonts w:ascii="Times New Roman" w:eastAsia="宋体" w:hAnsi="Times New Roman" w:cs="Times New Roman" w:hint="eastAsia"/>
          <w:color w:val="000000" w:themeColor="text1"/>
          <w:sz w:val="24"/>
          <w:szCs w:val="24"/>
        </w:rPr>
        <w:t>的肾移植人群血压高于</w:t>
      </w:r>
      <w:r>
        <w:rPr>
          <w:rFonts w:ascii="Times New Roman" w:eastAsia="宋体" w:hAnsi="Times New Roman" w:cs="Times New Roman"/>
          <w:color w:val="000000" w:themeColor="text1"/>
          <w:sz w:val="24"/>
          <w:szCs w:val="24"/>
        </w:rPr>
        <w:t>140/90 mmHg</w:t>
      </w:r>
      <w:r>
        <w:rPr>
          <w:rFonts w:ascii="Times New Roman" w:eastAsia="宋体" w:hAnsi="Times New Roman" w:cs="Times New Roman"/>
          <w:color w:val="000000" w:themeColor="text1"/>
          <w:sz w:val="24"/>
          <w:szCs w:val="24"/>
          <w:vertAlign w:val="superscript"/>
        </w:rPr>
        <w:t xml:space="preserve"> [29-31]</w:t>
      </w:r>
      <w:r>
        <w:rPr>
          <w:rFonts w:ascii="Times New Roman" w:eastAsia="宋体" w:hAnsi="Times New Roman" w:cs="Times New Roman" w:hint="eastAsia"/>
          <w:color w:val="000000" w:themeColor="text1"/>
          <w:sz w:val="24"/>
          <w:szCs w:val="24"/>
        </w:rPr>
        <w:t>。肾移植术后高血压可致心、脑血管并发症的风险显著增高，并可致移植肾功能损伤，甚至致移植物功能丧失</w:t>
      </w:r>
      <w:r>
        <w:rPr>
          <w:rFonts w:ascii="Times New Roman" w:eastAsia="宋体" w:hAnsi="Times New Roman" w:cs="Times New Roman"/>
          <w:color w:val="000000" w:themeColor="text1"/>
          <w:sz w:val="24"/>
          <w:szCs w:val="24"/>
          <w:vertAlign w:val="superscript"/>
        </w:rPr>
        <w:t>[32]</w:t>
      </w:r>
      <w:r>
        <w:rPr>
          <w:rFonts w:ascii="Times New Roman" w:eastAsia="宋体" w:hAnsi="Times New Roman" w:cs="Times New Roman" w:hint="eastAsia"/>
          <w:color w:val="000000" w:themeColor="text1"/>
          <w:sz w:val="24"/>
          <w:szCs w:val="24"/>
        </w:rPr>
        <w:t>。肾移植术后高血压的原因复杂，除受者因素、供体因素及移植特异性因素外，还与免疫抑制剂的使用有关，包括钙调神经蛋白抑制剂（</w:t>
      </w:r>
      <w:r>
        <w:rPr>
          <w:rFonts w:ascii="Times New Roman" w:eastAsia="宋体" w:hAnsi="Times New Roman" w:cs="Times New Roman"/>
          <w:color w:val="000000" w:themeColor="text1"/>
          <w:sz w:val="24"/>
          <w:szCs w:val="24"/>
        </w:rPr>
        <w:t>calcineurin inhibitor</w:t>
      </w:r>
      <w:r>
        <w:rPr>
          <w:rFonts w:ascii="Times New Roman" w:eastAsia="宋体" w:hAnsi="Times New Roman" w:cs="Times New Roman" w:hint="eastAsia"/>
          <w:color w:val="000000" w:themeColor="text1"/>
          <w:sz w:val="24"/>
          <w:szCs w:val="24"/>
        </w:rPr>
        <w:t>，</w:t>
      </w:r>
      <w:r>
        <w:rPr>
          <w:rFonts w:ascii="Times New Roman" w:eastAsia="宋体" w:hAnsi="Times New Roman" w:cs="Times New Roman"/>
          <w:color w:val="000000" w:themeColor="text1"/>
          <w:sz w:val="24"/>
          <w:szCs w:val="24"/>
        </w:rPr>
        <w:t>CNI</w:t>
      </w:r>
      <w:r>
        <w:rPr>
          <w:rFonts w:ascii="Times New Roman" w:eastAsia="宋体" w:hAnsi="Times New Roman" w:cs="Times New Roman" w:hint="eastAsia"/>
          <w:color w:val="000000" w:themeColor="text1"/>
          <w:sz w:val="24"/>
          <w:szCs w:val="24"/>
        </w:rPr>
        <w:t>）和糖皮质激素等。</w:t>
      </w:r>
      <w:r>
        <w:rPr>
          <w:rFonts w:ascii="Times New Roman" w:eastAsia="宋体" w:hAnsi="Times New Roman" w:cs="Times New Roman"/>
          <w:color w:val="000000" w:themeColor="text1"/>
          <w:sz w:val="24"/>
          <w:szCs w:val="24"/>
        </w:rPr>
        <w:t>CNI</w:t>
      </w:r>
      <w:r>
        <w:rPr>
          <w:rFonts w:ascii="Times New Roman" w:eastAsia="宋体" w:hAnsi="Times New Roman" w:cs="Times New Roman" w:hint="eastAsia"/>
          <w:color w:val="000000" w:themeColor="text1"/>
          <w:sz w:val="24"/>
          <w:szCs w:val="24"/>
        </w:rPr>
        <w:t>可以提高血管张力、激活</w:t>
      </w:r>
      <w:r>
        <w:rPr>
          <w:rFonts w:ascii="Times New Roman" w:eastAsia="宋体" w:hAnsi="Times New Roman" w:cs="Times New Roman"/>
          <w:color w:val="000000" w:themeColor="text1"/>
          <w:sz w:val="24"/>
          <w:szCs w:val="24"/>
        </w:rPr>
        <w:t>RAAS</w:t>
      </w:r>
      <w:r>
        <w:rPr>
          <w:rFonts w:ascii="Times New Roman" w:eastAsia="宋体" w:hAnsi="Times New Roman" w:cs="Times New Roman" w:hint="eastAsia"/>
          <w:color w:val="000000" w:themeColor="text1"/>
          <w:sz w:val="24"/>
          <w:szCs w:val="24"/>
        </w:rPr>
        <w:t>、激活远端小管的钠</w:t>
      </w:r>
      <w:r>
        <w:rPr>
          <w:rFonts w:ascii="Times New Roman" w:eastAsia="宋体" w:hAnsi="Times New Roman" w:cs="Times New Roman"/>
          <w:color w:val="000000" w:themeColor="text1"/>
          <w:sz w:val="24"/>
          <w:szCs w:val="24"/>
        </w:rPr>
        <w:t>-</w:t>
      </w:r>
      <w:r>
        <w:rPr>
          <w:rFonts w:ascii="Times New Roman" w:eastAsia="宋体" w:hAnsi="Times New Roman" w:cs="Times New Roman" w:hint="eastAsia"/>
          <w:color w:val="000000" w:themeColor="text1"/>
          <w:sz w:val="24"/>
          <w:szCs w:val="24"/>
        </w:rPr>
        <w:t>氯协同转运受体等，与高血压的发病关系最为密切，尤以环孢素最为显著。其次，糖皮质激素也可增加交感神经兴奋性、增加血管张力、增加盐皮质激素活性引起水钠潴留造成高血压。哺乳动物雷帕霉素靶蛋白（</w:t>
      </w:r>
      <w:r>
        <w:rPr>
          <w:rFonts w:ascii="Times New Roman" w:eastAsia="宋体" w:hAnsi="Times New Roman" w:cs="Times New Roman"/>
          <w:color w:val="000000" w:themeColor="text1"/>
          <w:sz w:val="24"/>
          <w:szCs w:val="24"/>
        </w:rPr>
        <w:t>mammalian target of rapamycin</w:t>
      </w:r>
      <w:r>
        <w:rPr>
          <w:rFonts w:ascii="Times New Roman" w:eastAsia="宋体" w:hAnsi="Times New Roman" w:cs="Times New Roman" w:hint="eastAsia"/>
          <w:color w:val="000000" w:themeColor="text1"/>
          <w:sz w:val="24"/>
          <w:szCs w:val="24"/>
        </w:rPr>
        <w:t>，</w:t>
      </w:r>
      <w:r>
        <w:rPr>
          <w:rFonts w:ascii="Times New Roman" w:eastAsia="宋体" w:hAnsi="Times New Roman" w:cs="Times New Roman"/>
          <w:color w:val="000000" w:themeColor="text1"/>
          <w:sz w:val="24"/>
          <w:szCs w:val="24"/>
        </w:rPr>
        <w:t>mTOR</w:t>
      </w:r>
      <w:r>
        <w:rPr>
          <w:rFonts w:ascii="Times New Roman" w:eastAsia="宋体" w:hAnsi="Times New Roman" w:cs="Times New Roman" w:hint="eastAsia"/>
          <w:color w:val="000000" w:themeColor="text1"/>
          <w:sz w:val="24"/>
          <w:szCs w:val="24"/>
        </w:rPr>
        <w:t>）抑制剂如西罗莫司致高血压效应较弱。</w:t>
      </w:r>
    </w:p>
    <w:p w:rsidR="002E5476" w:rsidRDefault="00423E71">
      <w:pPr>
        <w:pStyle w:val="10"/>
        <w:tabs>
          <w:tab w:val="left" w:pos="703"/>
        </w:tabs>
        <w:spacing w:line="360" w:lineRule="auto"/>
        <w:ind w:firstLine="480"/>
        <w:outlineLvl w:val="0"/>
        <w:rPr>
          <w:rFonts w:ascii="Times New Roman" w:eastAsia="宋体" w:hAnsi="Times New Roman" w:cs="Times New Roman"/>
          <w:color w:val="000000" w:themeColor="text1"/>
          <w:sz w:val="24"/>
          <w:szCs w:val="24"/>
        </w:rPr>
      </w:pPr>
      <w:r>
        <w:rPr>
          <w:rFonts w:ascii="Times New Roman" w:eastAsia="宋体" w:hAnsi="Times New Roman" w:cs="Times New Roman" w:hint="eastAsia"/>
          <w:color w:val="000000" w:themeColor="text1"/>
          <w:sz w:val="24"/>
          <w:szCs w:val="24"/>
        </w:rPr>
        <w:t>肾移植术后患者的血压控制目标应＜</w:t>
      </w:r>
      <w:r>
        <w:rPr>
          <w:rFonts w:ascii="Times New Roman" w:eastAsia="宋体" w:hAnsi="Times New Roman" w:cs="Times New Roman"/>
          <w:color w:val="000000" w:themeColor="text1"/>
          <w:sz w:val="24"/>
          <w:szCs w:val="24"/>
        </w:rPr>
        <w:t>140/90 mmHg</w:t>
      </w:r>
      <w:r>
        <w:rPr>
          <w:rFonts w:ascii="Times New Roman" w:eastAsia="宋体" w:hAnsi="Times New Roman" w:cs="Times New Roman" w:hint="eastAsia"/>
          <w:color w:val="000000" w:themeColor="text1"/>
          <w:sz w:val="24"/>
          <w:szCs w:val="24"/>
        </w:rPr>
        <w:t>。高血压的治疗包括非药物治疗，如低脂低盐饮食、戒烟、控制体重、加强运动等通过生活方式的调整。</w:t>
      </w:r>
    </w:p>
    <w:p w:rsidR="002E5476" w:rsidRDefault="00423E71">
      <w:pPr>
        <w:pStyle w:val="10"/>
        <w:tabs>
          <w:tab w:val="left" w:pos="703"/>
        </w:tabs>
        <w:spacing w:line="360" w:lineRule="auto"/>
        <w:ind w:firstLine="480"/>
        <w:outlineLvl w:val="0"/>
        <w:rPr>
          <w:rFonts w:ascii="Times New Roman" w:eastAsia="宋体" w:hAnsi="Times New Roman" w:cs="Times New Roman"/>
          <w:color w:val="000000" w:themeColor="text1"/>
          <w:sz w:val="24"/>
          <w:szCs w:val="24"/>
        </w:rPr>
      </w:pPr>
      <w:r>
        <w:rPr>
          <w:rFonts w:ascii="Times New Roman" w:eastAsia="宋体" w:hAnsi="Times New Roman" w:cs="Times New Roman" w:hint="eastAsia"/>
          <w:color w:val="000000" w:themeColor="text1"/>
          <w:sz w:val="24"/>
          <w:szCs w:val="24"/>
        </w:rPr>
        <w:t>肾移植受者使用降压药物需注意平稳降压、避免有效血容量不足，并密切监测移植肾功能。</w:t>
      </w:r>
      <w:r>
        <w:rPr>
          <w:rFonts w:ascii="Times New Roman" w:eastAsia="宋体" w:hAnsi="Times New Roman" w:cs="Times New Roman"/>
          <w:color w:val="000000" w:themeColor="text1"/>
          <w:sz w:val="24"/>
          <w:szCs w:val="24"/>
        </w:rPr>
        <w:t>2018</w:t>
      </w:r>
      <w:r>
        <w:rPr>
          <w:rFonts w:ascii="Times New Roman" w:eastAsia="宋体" w:hAnsi="Times New Roman" w:cs="Times New Roman" w:hint="eastAsia"/>
          <w:color w:val="000000" w:themeColor="text1"/>
          <w:sz w:val="24"/>
          <w:szCs w:val="24"/>
        </w:rPr>
        <w:lastRenderedPageBreak/>
        <w:t>年美国成人高血压预防、检测、评估和管理指南</w:t>
      </w:r>
      <w:r>
        <w:rPr>
          <w:rFonts w:ascii="Times New Roman" w:eastAsia="宋体" w:hAnsi="Times New Roman" w:cs="Times New Roman"/>
          <w:color w:val="000000" w:themeColor="text1"/>
          <w:sz w:val="24"/>
          <w:szCs w:val="24"/>
          <w:vertAlign w:val="superscript"/>
        </w:rPr>
        <w:t>[10]</w:t>
      </w:r>
      <w:r>
        <w:rPr>
          <w:rFonts w:ascii="Times New Roman" w:eastAsia="宋体" w:hAnsi="Times New Roman" w:cs="Times New Roman" w:hint="eastAsia"/>
          <w:color w:val="000000" w:themeColor="text1"/>
          <w:sz w:val="24"/>
          <w:szCs w:val="24"/>
        </w:rPr>
        <w:t>中建议肾移植术后高血压患者首选</w:t>
      </w:r>
      <w:r>
        <w:rPr>
          <w:rFonts w:ascii="Times New Roman" w:eastAsia="宋体" w:hAnsi="Times New Roman" w:cs="Times New Roman"/>
          <w:color w:val="000000" w:themeColor="text1"/>
          <w:sz w:val="24"/>
          <w:szCs w:val="24"/>
        </w:rPr>
        <w:t>CCB</w:t>
      </w:r>
      <w:r>
        <w:rPr>
          <w:rFonts w:ascii="Times New Roman" w:eastAsia="宋体" w:hAnsi="Times New Roman" w:cs="Times New Roman" w:hint="eastAsia"/>
          <w:color w:val="000000" w:themeColor="text1"/>
          <w:sz w:val="24"/>
          <w:szCs w:val="24"/>
        </w:rPr>
        <w:t>，是基于其能改善肾小球滤过率及移植肾的存活率，在移植肾动脉狭窄情况下也可安全使用。非二氢吡啶类</w:t>
      </w:r>
      <w:r>
        <w:rPr>
          <w:rFonts w:ascii="Times New Roman" w:eastAsia="宋体" w:hAnsi="Times New Roman" w:cs="Times New Roman"/>
          <w:color w:val="000000" w:themeColor="text1"/>
          <w:sz w:val="24"/>
          <w:szCs w:val="24"/>
        </w:rPr>
        <w:t>CCB</w:t>
      </w:r>
      <w:r>
        <w:rPr>
          <w:rFonts w:ascii="Times New Roman" w:eastAsia="宋体" w:hAnsi="Times New Roman" w:cs="Times New Roman" w:hint="eastAsia"/>
          <w:color w:val="000000" w:themeColor="text1"/>
          <w:sz w:val="24"/>
          <w:szCs w:val="24"/>
        </w:rPr>
        <w:t>（地尔硫卓和维拉帕米）是细胞色素酶</w:t>
      </w:r>
      <w:r>
        <w:rPr>
          <w:rFonts w:ascii="Times New Roman" w:eastAsia="宋体" w:hAnsi="Times New Roman" w:cs="Times New Roman"/>
          <w:color w:val="000000" w:themeColor="text1"/>
          <w:sz w:val="24"/>
          <w:szCs w:val="24"/>
        </w:rPr>
        <w:t>CYP3A/4</w:t>
      </w:r>
      <w:r>
        <w:rPr>
          <w:rFonts w:ascii="Times New Roman" w:eastAsia="宋体" w:hAnsi="Times New Roman" w:cs="Times New Roman" w:hint="eastAsia"/>
          <w:color w:val="000000" w:themeColor="text1"/>
          <w:sz w:val="24"/>
          <w:szCs w:val="24"/>
        </w:rPr>
        <w:t>的抑制剂，在使用该类降压药物时需要警惕其与免疫抑制剂</w:t>
      </w:r>
      <w:r>
        <w:rPr>
          <w:rFonts w:ascii="Times New Roman" w:eastAsia="宋体" w:hAnsi="Times New Roman" w:cs="Times New Roman"/>
          <w:color w:val="000000" w:themeColor="text1"/>
          <w:sz w:val="24"/>
          <w:szCs w:val="24"/>
        </w:rPr>
        <w:t>CNI</w:t>
      </w:r>
      <w:r>
        <w:rPr>
          <w:rFonts w:ascii="Times New Roman" w:eastAsia="宋体" w:hAnsi="Times New Roman" w:cs="Times New Roman" w:hint="eastAsia"/>
          <w:color w:val="000000" w:themeColor="text1"/>
          <w:sz w:val="24"/>
          <w:szCs w:val="24"/>
        </w:rPr>
        <w:t>（环孢素和他克莫司）和</w:t>
      </w:r>
      <w:r>
        <w:rPr>
          <w:rFonts w:ascii="Times New Roman" w:eastAsia="宋体" w:hAnsi="Times New Roman" w:cs="Times New Roman"/>
          <w:color w:val="000000" w:themeColor="text1"/>
          <w:sz w:val="24"/>
          <w:szCs w:val="24"/>
        </w:rPr>
        <w:t>mTOR</w:t>
      </w:r>
      <w:r>
        <w:rPr>
          <w:rFonts w:ascii="Times New Roman" w:eastAsia="宋体" w:hAnsi="Times New Roman" w:cs="Times New Roman" w:hint="eastAsia"/>
          <w:color w:val="000000" w:themeColor="text1"/>
          <w:sz w:val="24"/>
          <w:szCs w:val="24"/>
        </w:rPr>
        <w:t>抑制剂（西罗莫司和依维莫司）等之间的相互作用，可能导致免疫抑制剂血药浓度的升高。二氢吡啶类</w:t>
      </w:r>
      <w:r>
        <w:rPr>
          <w:rFonts w:ascii="Times New Roman" w:eastAsia="宋体" w:hAnsi="Times New Roman" w:cs="Times New Roman"/>
          <w:color w:val="000000" w:themeColor="text1"/>
          <w:sz w:val="24"/>
          <w:szCs w:val="24"/>
        </w:rPr>
        <w:t>CCB</w:t>
      </w:r>
      <w:r>
        <w:rPr>
          <w:rFonts w:ascii="Times New Roman" w:eastAsia="宋体" w:hAnsi="Times New Roman" w:cs="Times New Roman" w:hint="eastAsia"/>
          <w:color w:val="000000" w:themeColor="text1"/>
          <w:sz w:val="24"/>
          <w:szCs w:val="24"/>
        </w:rPr>
        <w:t>（氨氯地平、硝苯地平）对细胞色素</w:t>
      </w:r>
      <w:r>
        <w:rPr>
          <w:rFonts w:ascii="Times New Roman" w:eastAsia="宋体" w:hAnsi="Times New Roman" w:cs="Times New Roman"/>
          <w:color w:val="000000" w:themeColor="text1"/>
          <w:sz w:val="24"/>
          <w:szCs w:val="24"/>
        </w:rPr>
        <w:t>P450</w:t>
      </w:r>
      <w:r>
        <w:rPr>
          <w:rFonts w:ascii="Times New Roman" w:eastAsia="宋体" w:hAnsi="Times New Roman" w:cs="Times New Roman" w:hint="eastAsia"/>
          <w:color w:val="000000" w:themeColor="text1"/>
          <w:sz w:val="24"/>
          <w:szCs w:val="24"/>
        </w:rPr>
        <w:t>代谢酶的影响较低，可作为肾移植术后受者降压药物的首选。利尿剂对水肿和高钾血症者有用。肾移植患者降压初期应避免使用</w:t>
      </w:r>
      <w:r>
        <w:rPr>
          <w:rFonts w:ascii="Times New Roman" w:eastAsia="宋体" w:hAnsi="Times New Roman" w:cs="Times New Roman"/>
          <w:color w:val="000000" w:themeColor="text1"/>
          <w:sz w:val="24"/>
          <w:szCs w:val="24"/>
        </w:rPr>
        <w:t xml:space="preserve"> ACEI/ARB</w:t>
      </w:r>
      <w:r>
        <w:rPr>
          <w:rFonts w:ascii="Times New Roman" w:eastAsia="宋体" w:hAnsi="Times New Roman" w:cs="Times New Roman" w:hint="eastAsia"/>
          <w:color w:val="000000" w:themeColor="text1"/>
          <w:sz w:val="24"/>
          <w:szCs w:val="24"/>
        </w:rPr>
        <w:t>，因可导致血钾升高、肾小球滤过率降低、贫血等并发症，尤其在急性期可能干扰肾移植后急性排斥反应的判断。一般建议</w:t>
      </w:r>
      <w:r>
        <w:rPr>
          <w:rFonts w:ascii="Times New Roman" w:eastAsia="宋体" w:hAnsi="Times New Roman" w:cs="Times New Roman"/>
          <w:color w:val="000000" w:themeColor="text1"/>
          <w:sz w:val="24"/>
          <w:szCs w:val="24"/>
        </w:rPr>
        <w:t>ACEI/ARB</w:t>
      </w:r>
      <w:r>
        <w:rPr>
          <w:rFonts w:ascii="Times New Roman" w:eastAsia="宋体" w:hAnsi="Times New Roman" w:cs="Times New Roman" w:hint="eastAsia"/>
          <w:color w:val="000000" w:themeColor="text1"/>
          <w:sz w:val="24"/>
          <w:szCs w:val="24"/>
        </w:rPr>
        <w:t>的使用延迟至术后</w:t>
      </w:r>
      <w:r>
        <w:rPr>
          <w:rFonts w:ascii="Times New Roman" w:eastAsia="宋体" w:hAnsi="Times New Roman" w:cs="Times New Roman"/>
          <w:color w:val="000000" w:themeColor="text1"/>
          <w:sz w:val="24"/>
          <w:szCs w:val="24"/>
        </w:rPr>
        <w:t>4~6</w:t>
      </w:r>
      <w:r>
        <w:rPr>
          <w:rFonts w:ascii="Times New Roman" w:eastAsia="宋体" w:hAnsi="Times New Roman" w:cs="Times New Roman" w:hint="eastAsia"/>
          <w:color w:val="000000" w:themeColor="text1"/>
          <w:sz w:val="24"/>
          <w:szCs w:val="24"/>
        </w:rPr>
        <w:t>个月，使用前建议排除肾动脉狭窄，小剂量开始，待移植肾功能稳定后再逐步增加剂量。</w:t>
      </w:r>
    </w:p>
    <w:p w:rsidR="002E5476" w:rsidRDefault="00423E71">
      <w:pPr>
        <w:pStyle w:val="10"/>
        <w:tabs>
          <w:tab w:val="left" w:pos="703"/>
        </w:tabs>
        <w:spacing w:line="360" w:lineRule="auto"/>
        <w:ind w:firstLine="480"/>
        <w:outlineLvl w:val="0"/>
        <w:rPr>
          <w:rFonts w:ascii="Times New Roman" w:eastAsia="宋体" w:hAnsi="Times New Roman" w:cs="Times New Roman"/>
          <w:color w:val="000000" w:themeColor="text1"/>
          <w:sz w:val="24"/>
          <w:szCs w:val="24"/>
        </w:rPr>
      </w:pPr>
      <w:r>
        <w:rPr>
          <w:rFonts w:ascii="Times New Roman" w:eastAsia="宋体" w:hAnsi="Times New Roman" w:cs="Times New Roman" w:hint="eastAsia"/>
          <w:color w:val="000000" w:themeColor="text1"/>
          <w:sz w:val="24"/>
          <w:szCs w:val="24"/>
        </w:rPr>
        <w:t>建议根据不同时期肾移植受者的特点选用降压药物</w:t>
      </w:r>
      <w:r>
        <w:rPr>
          <w:rFonts w:ascii="Times New Roman" w:eastAsia="宋体" w:hAnsi="Times New Roman" w:cs="Times New Roman"/>
          <w:color w:val="000000" w:themeColor="text1"/>
          <w:sz w:val="24"/>
          <w:szCs w:val="24"/>
          <w:vertAlign w:val="superscript"/>
        </w:rPr>
        <w:t>[ 81]</w:t>
      </w:r>
      <w:r>
        <w:rPr>
          <w:rFonts w:ascii="Times New Roman" w:eastAsia="宋体" w:hAnsi="Times New Roman" w:cs="Times New Roman" w:hint="eastAsia"/>
          <w:color w:val="000000" w:themeColor="text1"/>
          <w:sz w:val="24"/>
          <w:szCs w:val="24"/>
        </w:rPr>
        <w:t>：（</w:t>
      </w:r>
      <w:r>
        <w:rPr>
          <w:rFonts w:ascii="Times New Roman" w:eastAsia="宋体" w:hAnsi="Times New Roman" w:cs="Times New Roman"/>
          <w:color w:val="000000" w:themeColor="text1"/>
          <w:sz w:val="24"/>
          <w:szCs w:val="24"/>
        </w:rPr>
        <w:t>1</w:t>
      </w:r>
      <w:r>
        <w:rPr>
          <w:rFonts w:ascii="Times New Roman" w:eastAsia="宋体" w:hAnsi="Times New Roman" w:cs="Times New Roman" w:hint="eastAsia"/>
          <w:color w:val="000000" w:themeColor="text1"/>
          <w:sz w:val="24"/>
          <w:szCs w:val="24"/>
        </w:rPr>
        <w:t>）肾移植术后早期（</w:t>
      </w:r>
      <w:r>
        <w:rPr>
          <w:rFonts w:ascii="Times New Roman" w:eastAsia="宋体" w:hAnsi="Times New Roman" w:cs="Times New Roman"/>
          <w:color w:val="000000" w:themeColor="text1"/>
          <w:sz w:val="24"/>
          <w:szCs w:val="24"/>
        </w:rPr>
        <w:t>3</w:t>
      </w:r>
      <w:r>
        <w:rPr>
          <w:rFonts w:ascii="Times New Roman" w:eastAsia="宋体" w:hAnsi="Times New Roman" w:cs="Times New Roman" w:hint="eastAsia"/>
          <w:color w:val="000000" w:themeColor="text1"/>
          <w:sz w:val="24"/>
          <w:szCs w:val="24"/>
        </w:rPr>
        <w:t>周内）：高血压主要因容量负荷过重、使用</w:t>
      </w:r>
      <w:r>
        <w:rPr>
          <w:rFonts w:ascii="Times New Roman" w:eastAsia="宋体" w:hAnsi="Times New Roman" w:cs="Times New Roman"/>
          <w:color w:val="000000" w:themeColor="text1"/>
          <w:sz w:val="24"/>
          <w:szCs w:val="24"/>
        </w:rPr>
        <w:t>CNI</w:t>
      </w:r>
      <w:r>
        <w:rPr>
          <w:rFonts w:ascii="Times New Roman" w:eastAsia="宋体" w:hAnsi="Times New Roman" w:cs="Times New Roman" w:hint="eastAsia"/>
          <w:color w:val="000000" w:themeColor="text1"/>
          <w:sz w:val="24"/>
          <w:szCs w:val="24"/>
        </w:rPr>
        <w:t>和糖皮质激素等，利尿剂、</w:t>
      </w:r>
      <w:r>
        <w:rPr>
          <w:rFonts w:ascii="Times New Roman" w:eastAsia="宋体" w:hAnsi="Times New Roman" w:cs="Times New Roman"/>
          <w:color w:val="000000" w:themeColor="text1"/>
          <w:sz w:val="24"/>
          <w:szCs w:val="24"/>
        </w:rPr>
        <w:t>CCB</w:t>
      </w:r>
      <w:r>
        <w:rPr>
          <w:rFonts w:ascii="Times New Roman" w:eastAsia="宋体" w:hAnsi="Times New Roman" w:cs="Times New Roman" w:hint="eastAsia"/>
          <w:color w:val="000000" w:themeColor="text1"/>
          <w:sz w:val="24"/>
          <w:szCs w:val="24"/>
        </w:rPr>
        <w:t>类、β受体阻滞剂等均可使用。</w:t>
      </w:r>
      <w:r>
        <w:rPr>
          <w:rFonts w:ascii="Times New Roman" w:eastAsia="宋体" w:hAnsi="Times New Roman" w:cs="Times New Roman"/>
          <w:color w:val="000000" w:themeColor="text1"/>
          <w:sz w:val="24"/>
          <w:szCs w:val="24"/>
        </w:rPr>
        <w:t>ACEI/ARB</w:t>
      </w:r>
      <w:r>
        <w:rPr>
          <w:rFonts w:ascii="Times New Roman" w:eastAsia="宋体" w:hAnsi="Times New Roman" w:cs="Times New Roman" w:hint="eastAsia"/>
          <w:color w:val="000000" w:themeColor="text1"/>
          <w:sz w:val="24"/>
          <w:szCs w:val="24"/>
        </w:rPr>
        <w:t>慎用。（</w:t>
      </w:r>
      <w:r>
        <w:rPr>
          <w:rFonts w:ascii="Times New Roman" w:eastAsia="宋体" w:hAnsi="Times New Roman" w:cs="Times New Roman"/>
          <w:color w:val="000000" w:themeColor="text1"/>
          <w:sz w:val="24"/>
          <w:szCs w:val="24"/>
        </w:rPr>
        <w:t>2</w:t>
      </w:r>
      <w:r>
        <w:rPr>
          <w:rFonts w:ascii="Times New Roman" w:eastAsia="宋体" w:hAnsi="Times New Roman" w:cs="Times New Roman" w:hint="eastAsia"/>
          <w:color w:val="000000" w:themeColor="text1"/>
          <w:sz w:val="24"/>
          <w:szCs w:val="24"/>
        </w:rPr>
        <w:t>）肾移植术后中期（</w:t>
      </w:r>
      <w:r>
        <w:rPr>
          <w:rFonts w:ascii="Times New Roman" w:eastAsia="宋体" w:hAnsi="Times New Roman" w:cs="Times New Roman"/>
          <w:color w:val="000000" w:themeColor="text1"/>
          <w:sz w:val="24"/>
          <w:szCs w:val="24"/>
        </w:rPr>
        <w:t>3</w:t>
      </w:r>
      <w:r>
        <w:rPr>
          <w:rFonts w:ascii="Times New Roman" w:eastAsia="宋体" w:hAnsi="Times New Roman" w:cs="Times New Roman" w:hint="eastAsia"/>
          <w:color w:val="000000" w:themeColor="text1"/>
          <w:sz w:val="24"/>
          <w:szCs w:val="24"/>
        </w:rPr>
        <w:t>周至</w:t>
      </w:r>
      <w:r>
        <w:rPr>
          <w:rFonts w:ascii="Times New Roman" w:eastAsia="宋体" w:hAnsi="Times New Roman" w:cs="Times New Roman"/>
          <w:color w:val="000000" w:themeColor="text1"/>
          <w:sz w:val="24"/>
          <w:szCs w:val="24"/>
        </w:rPr>
        <w:t>3</w:t>
      </w:r>
      <w:r>
        <w:rPr>
          <w:rFonts w:ascii="Times New Roman" w:eastAsia="宋体" w:hAnsi="Times New Roman" w:cs="Times New Roman" w:hint="eastAsia"/>
          <w:color w:val="000000" w:themeColor="text1"/>
          <w:sz w:val="24"/>
          <w:szCs w:val="24"/>
        </w:rPr>
        <w:t>个月内）：</w:t>
      </w:r>
      <w:r>
        <w:rPr>
          <w:rFonts w:ascii="Times New Roman" w:eastAsia="宋体" w:hAnsi="Times New Roman" w:cs="Times New Roman"/>
          <w:color w:val="000000" w:themeColor="text1"/>
          <w:sz w:val="24"/>
          <w:szCs w:val="24"/>
        </w:rPr>
        <w:t>CCB</w:t>
      </w:r>
      <w:r>
        <w:rPr>
          <w:rFonts w:ascii="Times New Roman" w:eastAsia="宋体" w:hAnsi="Times New Roman" w:cs="Times New Roman" w:hint="eastAsia"/>
          <w:color w:val="000000" w:themeColor="text1"/>
          <w:sz w:val="24"/>
          <w:szCs w:val="24"/>
        </w:rPr>
        <w:t>类作为优选，合并蛋白尿者可选用</w:t>
      </w:r>
      <w:r>
        <w:rPr>
          <w:rFonts w:ascii="Times New Roman" w:eastAsia="宋体" w:hAnsi="Times New Roman" w:cs="Times New Roman"/>
          <w:color w:val="000000" w:themeColor="text1"/>
          <w:sz w:val="24"/>
          <w:szCs w:val="24"/>
        </w:rPr>
        <w:t>ACEI/ARB</w:t>
      </w:r>
      <w:r>
        <w:rPr>
          <w:rFonts w:ascii="Times New Roman" w:eastAsia="宋体" w:hAnsi="Times New Roman" w:cs="Times New Roman" w:hint="eastAsia"/>
          <w:color w:val="000000" w:themeColor="text1"/>
          <w:sz w:val="24"/>
          <w:szCs w:val="24"/>
        </w:rPr>
        <w:t>，容量负荷仍过重者可选用噻嗪类利尿剂。（</w:t>
      </w:r>
      <w:r>
        <w:rPr>
          <w:rFonts w:ascii="Times New Roman" w:eastAsia="宋体" w:hAnsi="Times New Roman" w:cs="Times New Roman"/>
          <w:color w:val="000000" w:themeColor="text1"/>
          <w:sz w:val="24"/>
          <w:szCs w:val="24"/>
        </w:rPr>
        <w:t>3</w:t>
      </w:r>
      <w:r>
        <w:rPr>
          <w:rFonts w:ascii="Times New Roman" w:eastAsia="宋体" w:hAnsi="Times New Roman" w:cs="Times New Roman" w:hint="eastAsia"/>
          <w:color w:val="000000" w:themeColor="text1"/>
          <w:sz w:val="24"/>
          <w:szCs w:val="24"/>
        </w:rPr>
        <w:t>）肾移植术后长期（</w:t>
      </w:r>
      <w:r>
        <w:rPr>
          <w:rFonts w:ascii="Times New Roman" w:eastAsia="宋体" w:hAnsi="Times New Roman" w:cs="Times New Roman"/>
          <w:color w:val="000000" w:themeColor="text1"/>
          <w:sz w:val="24"/>
          <w:szCs w:val="24"/>
        </w:rPr>
        <w:t>3</w:t>
      </w:r>
      <w:r>
        <w:rPr>
          <w:rFonts w:ascii="Times New Roman" w:eastAsia="宋体" w:hAnsi="Times New Roman" w:cs="Times New Roman" w:hint="eastAsia"/>
          <w:color w:val="000000" w:themeColor="text1"/>
          <w:sz w:val="24"/>
          <w:szCs w:val="24"/>
        </w:rPr>
        <w:t>个月以后）：降压目的为减少心血管事件及保护移植肾功能，</w:t>
      </w:r>
      <w:r>
        <w:rPr>
          <w:rFonts w:ascii="Times New Roman" w:eastAsia="宋体" w:hAnsi="Times New Roman" w:cs="Times New Roman"/>
          <w:color w:val="000000" w:themeColor="text1"/>
          <w:sz w:val="24"/>
          <w:szCs w:val="24"/>
        </w:rPr>
        <w:t>ACEI/ARB</w:t>
      </w:r>
      <w:r>
        <w:rPr>
          <w:rFonts w:ascii="Times New Roman" w:eastAsia="宋体" w:hAnsi="Times New Roman" w:cs="Times New Roman" w:hint="eastAsia"/>
          <w:color w:val="000000" w:themeColor="text1"/>
          <w:sz w:val="24"/>
          <w:szCs w:val="24"/>
        </w:rPr>
        <w:t>可使用，尤其是合并蛋白尿者。</w:t>
      </w:r>
    </w:p>
    <w:p w:rsidR="002E5476" w:rsidRDefault="00423E71">
      <w:pPr>
        <w:pStyle w:val="10"/>
        <w:tabs>
          <w:tab w:val="left" w:pos="703"/>
        </w:tabs>
        <w:spacing w:line="360" w:lineRule="auto"/>
        <w:ind w:firstLineChars="0" w:firstLine="0"/>
        <w:outlineLvl w:val="0"/>
        <w:rPr>
          <w:rFonts w:ascii="Times New Roman" w:eastAsia="宋体" w:hAnsi="Times New Roman" w:cs="Times New Roman"/>
          <w:b/>
          <w:color w:val="000000" w:themeColor="text1"/>
          <w:sz w:val="24"/>
          <w:szCs w:val="24"/>
        </w:rPr>
      </w:pPr>
      <w:bookmarkStart w:id="32" w:name="_Toc1334893861_WPSOffice_Level2"/>
      <w:r>
        <w:rPr>
          <w:rFonts w:ascii="Times New Roman" w:eastAsia="宋体" w:hAnsi="Times New Roman" w:cs="Times New Roman"/>
          <w:b/>
          <w:color w:val="000000" w:themeColor="text1"/>
          <w:sz w:val="24"/>
          <w:szCs w:val="24"/>
        </w:rPr>
        <w:t>4.3</w:t>
      </w:r>
      <w:r>
        <w:rPr>
          <w:rFonts w:ascii="Times New Roman" w:eastAsia="宋体" w:hAnsi="Times New Roman" w:cs="Times New Roman" w:hint="eastAsia"/>
          <w:b/>
          <w:color w:val="000000" w:themeColor="text1"/>
          <w:sz w:val="24"/>
          <w:szCs w:val="24"/>
        </w:rPr>
        <w:t xml:space="preserve"> </w:t>
      </w:r>
      <w:r>
        <w:rPr>
          <w:rFonts w:ascii="Times New Roman" w:eastAsia="宋体" w:hAnsi="Times New Roman" w:cs="Times New Roman" w:hint="eastAsia"/>
          <w:b/>
          <w:color w:val="000000" w:themeColor="text1"/>
          <w:sz w:val="24"/>
          <w:szCs w:val="24"/>
        </w:rPr>
        <w:t>老</w:t>
      </w:r>
      <w:bookmarkEnd w:id="32"/>
      <w:r>
        <w:rPr>
          <w:rFonts w:ascii="Times New Roman" w:eastAsia="宋体" w:hAnsi="Times New Roman" w:cs="Times New Roman" w:hint="eastAsia"/>
          <w:b/>
          <w:color w:val="000000" w:themeColor="text1"/>
          <w:sz w:val="24"/>
          <w:szCs w:val="24"/>
        </w:rPr>
        <w:t>年高血压</w:t>
      </w:r>
    </w:p>
    <w:p w:rsidR="002E5476" w:rsidRDefault="00423E71">
      <w:pPr>
        <w:pStyle w:val="10"/>
        <w:tabs>
          <w:tab w:val="left" w:pos="703"/>
        </w:tabs>
        <w:spacing w:line="360" w:lineRule="auto"/>
        <w:ind w:firstLine="480"/>
        <w:outlineLvl w:val="0"/>
        <w:rPr>
          <w:rFonts w:ascii="Times New Roman" w:eastAsia="宋体" w:hAnsi="Times New Roman" w:cs="Times New Roman"/>
          <w:bCs/>
          <w:color w:val="000000" w:themeColor="text1"/>
          <w:sz w:val="24"/>
          <w:szCs w:val="24"/>
        </w:rPr>
      </w:pPr>
      <w:r>
        <w:rPr>
          <w:rFonts w:ascii="Times New Roman" w:eastAsia="宋体" w:hAnsi="Times New Roman" w:cs="Times New Roman" w:hint="eastAsia"/>
          <w:bCs/>
          <w:color w:val="000000" w:themeColor="text1"/>
          <w:sz w:val="24"/>
          <w:szCs w:val="24"/>
        </w:rPr>
        <w:t>老年</w:t>
      </w:r>
      <w:r>
        <w:rPr>
          <w:rFonts w:ascii="Times New Roman" w:eastAsia="宋体" w:hAnsi="Times New Roman" w:cs="Times New Roman"/>
          <w:bCs/>
          <w:color w:val="000000" w:themeColor="text1"/>
          <w:sz w:val="24"/>
          <w:szCs w:val="24"/>
        </w:rPr>
        <w:t>CKD</w:t>
      </w:r>
      <w:r>
        <w:rPr>
          <w:rFonts w:ascii="Times New Roman" w:eastAsia="宋体" w:hAnsi="Times New Roman" w:cs="Times New Roman" w:hint="eastAsia"/>
          <w:bCs/>
          <w:color w:val="000000" w:themeColor="text1"/>
          <w:sz w:val="24"/>
          <w:szCs w:val="24"/>
        </w:rPr>
        <w:t>患者多合并全身动脉粥样硬化，特别是动脉粥样硬化性肾动脉狭窄。对于老年</w:t>
      </w:r>
      <w:r>
        <w:rPr>
          <w:rFonts w:ascii="Times New Roman" w:eastAsia="宋体" w:hAnsi="Times New Roman" w:cs="Times New Roman"/>
          <w:bCs/>
          <w:color w:val="000000" w:themeColor="text1"/>
          <w:sz w:val="24"/>
          <w:szCs w:val="24"/>
        </w:rPr>
        <w:t>CKD</w:t>
      </w:r>
      <w:r>
        <w:rPr>
          <w:rFonts w:ascii="Times New Roman" w:eastAsia="宋体" w:hAnsi="Times New Roman" w:cs="Times New Roman" w:hint="eastAsia"/>
          <w:bCs/>
          <w:color w:val="000000" w:themeColor="text1"/>
          <w:sz w:val="24"/>
          <w:szCs w:val="24"/>
        </w:rPr>
        <w:t>患者，长期高血压会导致肾脏储备功能下降，即使这时患者的血清肌酐仍在正常水平。这些患者血压控制不佳或出现恶性高血压时易伴发急性肾损伤及肺水肿。</w:t>
      </w:r>
    </w:p>
    <w:p w:rsidR="002E5476" w:rsidRDefault="00423E71">
      <w:pPr>
        <w:pStyle w:val="10"/>
        <w:tabs>
          <w:tab w:val="left" w:pos="703"/>
        </w:tabs>
        <w:spacing w:line="360" w:lineRule="auto"/>
        <w:ind w:firstLine="480"/>
        <w:outlineLvl w:val="0"/>
        <w:rPr>
          <w:rFonts w:ascii="Times New Roman" w:eastAsia="宋体" w:hAnsi="Times New Roman" w:cs="Times New Roman"/>
          <w:bCs/>
          <w:color w:val="000000" w:themeColor="text1"/>
          <w:sz w:val="24"/>
          <w:szCs w:val="24"/>
        </w:rPr>
      </w:pPr>
      <w:r>
        <w:rPr>
          <w:rFonts w:ascii="Times New Roman" w:eastAsia="宋体" w:hAnsi="Times New Roman" w:cs="Times New Roman" w:hint="eastAsia"/>
          <w:bCs/>
          <w:color w:val="000000" w:themeColor="text1"/>
          <w:sz w:val="24"/>
          <w:szCs w:val="24"/>
        </w:rPr>
        <w:t>老年</w:t>
      </w:r>
      <w:r>
        <w:rPr>
          <w:rFonts w:ascii="Times New Roman" w:eastAsia="宋体" w:hAnsi="Times New Roman" w:cs="Times New Roman"/>
          <w:bCs/>
          <w:color w:val="000000" w:themeColor="text1"/>
          <w:sz w:val="24"/>
          <w:szCs w:val="24"/>
        </w:rPr>
        <w:t>CKD</w:t>
      </w:r>
      <w:r>
        <w:rPr>
          <w:rFonts w:ascii="Times New Roman" w:eastAsia="宋体" w:hAnsi="Times New Roman" w:cs="Times New Roman" w:hint="eastAsia"/>
          <w:bCs/>
          <w:color w:val="000000" w:themeColor="text1"/>
          <w:sz w:val="24"/>
          <w:szCs w:val="24"/>
        </w:rPr>
        <w:t>高血压患者的降压治疗应个体化，应根据患者的个体特征、心血管风险分层及合并疾病确定降压目标及降压药物。目前针对老年</w:t>
      </w:r>
      <w:r>
        <w:rPr>
          <w:rFonts w:ascii="Times New Roman" w:eastAsia="宋体" w:hAnsi="Times New Roman" w:cs="Times New Roman"/>
          <w:bCs/>
          <w:color w:val="000000" w:themeColor="text1"/>
          <w:sz w:val="24"/>
          <w:szCs w:val="24"/>
        </w:rPr>
        <w:t>CKD</w:t>
      </w:r>
      <w:r>
        <w:rPr>
          <w:rFonts w:ascii="Times New Roman" w:eastAsia="宋体" w:hAnsi="Times New Roman" w:cs="Times New Roman" w:hint="eastAsia"/>
          <w:bCs/>
          <w:color w:val="000000" w:themeColor="text1"/>
          <w:sz w:val="24"/>
          <w:szCs w:val="24"/>
        </w:rPr>
        <w:t>患者的降压靶目标的研究甚少，已有指南多基于老年非</w:t>
      </w:r>
      <w:r>
        <w:rPr>
          <w:rFonts w:ascii="Times New Roman" w:eastAsia="宋体" w:hAnsi="Times New Roman" w:cs="Times New Roman"/>
          <w:bCs/>
          <w:color w:val="000000" w:themeColor="text1"/>
          <w:sz w:val="24"/>
          <w:szCs w:val="24"/>
        </w:rPr>
        <w:t>CKD</w:t>
      </w:r>
      <w:r>
        <w:rPr>
          <w:rFonts w:ascii="Times New Roman" w:eastAsia="宋体" w:hAnsi="Times New Roman" w:cs="Times New Roman" w:hint="eastAsia"/>
          <w:bCs/>
          <w:color w:val="000000" w:themeColor="text1"/>
          <w:sz w:val="24"/>
          <w:szCs w:val="24"/>
        </w:rPr>
        <w:t>患者的临床证据。《中国高血压防治指南</w:t>
      </w:r>
      <w:r>
        <w:rPr>
          <w:rFonts w:ascii="Times New Roman" w:eastAsia="宋体" w:hAnsi="Times New Roman" w:cs="Times New Roman"/>
          <w:bCs/>
          <w:color w:val="000000" w:themeColor="text1"/>
          <w:sz w:val="24"/>
          <w:szCs w:val="24"/>
        </w:rPr>
        <w:t>2018</w:t>
      </w:r>
      <w:r>
        <w:rPr>
          <w:rFonts w:ascii="Times New Roman" w:eastAsia="宋体" w:hAnsi="Times New Roman" w:cs="Times New Roman" w:hint="eastAsia"/>
          <w:bCs/>
          <w:color w:val="000000" w:themeColor="text1"/>
          <w:sz w:val="24"/>
          <w:szCs w:val="24"/>
        </w:rPr>
        <w:t>年修订版》</w:t>
      </w:r>
      <w:r w:rsidR="00B411DC">
        <w:rPr>
          <w:rFonts w:ascii="Times New Roman" w:eastAsia="宋体" w:hAnsi="Times New Roman" w:cs="Times New Roman"/>
          <w:bCs/>
          <w:color w:val="000000" w:themeColor="text1"/>
          <w:sz w:val="24"/>
          <w:szCs w:val="24"/>
        </w:rPr>
        <w:fldChar w:fldCharType="begin"/>
      </w:r>
      <w:r>
        <w:rPr>
          <w:rFonts w:ascii="Times New Roman" w:eastAsia="宋体" w:hAnsi="Times New Roman" w:cs="Times New Roman"/>
          <w:bCs/>
          <w:color w:val="000000" w:themeColor="text1"/>
          <w:sz w:val="24"/>
          <w:szCs w:val="24"/>
        </w:rPr>
        <w:instrText xml:space="preserve"> ADDIN NE.Ref.{E3C4858E-6032-4F43-8CFC-D27F72A96BA3}</w:instrText>
      </w:r>
      <w:r w:rsidR="00B411DC">
        <w:rPr>
          <w:rFonts w:ascii="Times New Roman" w:eastAsia="宋体" w:hAnsi="Times New Roman" w:cs="Times New Roman"/>
          <w:bCs/>
          <w:color w:val="000000" w:themeColor="text1"/>
          <w:sz w:val="24"/>
          <w:szCs w:val="24"/>
        </w:rPr>
        <w:fldChar w:fldCharType="separate"/>
      </w:r>
      <w:r>
        <w:rPr>
          <w:rFonts w:ascii="Times New Roman" w:eastAsia="宋体" w:hAnsi="Times New Roman" w:cs="Times New Roman"/>
          <w:color w:val="000000" w:themeColor="text1"/>
          <w:kern w:val="0"/>
          <w:sz w:val="24"/>
          <w:szCs w:val="24"/>
          <w:vertAlign w:val="superscript"/>
        </w:rPr>
        <w:t>[12]</w:t>
      </w:r>
      <w:r w:rsidR="00B411DC">
        <w:rPr>
          <w:rFonts w:ascii="Times New Roman" w:eastAsia="宋体" w:hAnsi="Times New Roman" w:cs="Times New Roman"/>
          <w:bCs/>
          <w:color w:val="000000" w:themeColor="text1"/>
          <w:sz w:val="24"/>
          <w:szCs w:val="24"/>
        </w:rPr>
        <w:fldChar w:fldCharType="end"/>
      </w:r>
      <w:r>
        <w:rPr>
          <w:rFonts w:ascii="Times New Roman" w:eastAsia="宋体" w:hAnsi="Times New Roman" w:cs="Times New Roman" w:hint="eastAsia"/>
          <w:bCs/>
          <w:color w:val="000000" w:themeColor="text1"/>
          <w:sz w:val="24"/>
          <w:szCs w:val="24"/>
        </w:rPr>
        <w:t>推荐≥</w:t>
      </w:r>
      <w:r>
        <w:rPr>
          <w:rFonts w:ascii="Times New Roman" w:eastAsia="宋体" w:hAnsi="Times New Roman" w:cs="Times New Roman"/>
          <w:bCs/>
          <w:color w:val="000000" w:themeColor="text1"/>
          <w:sz w:val="24"/>
          <w:szCs w:val="24"/>
        </w:rPr>
        <w:t>65</w:t>
      </w:r>
      <w:r>
        <w:rPr>
          <w:rFonts w:ascii="Times New Roman" w:eastAsia="宋体" w:hAnsi="Times New Roman" w:cs="Times New Roman" w:hint="eastAsia"/>
          <w:bCs/>
          <w:color w:val="000000" w:themeColor="text1"/>
          <w:sz w:val="24"/>
          <w:szCs w:val="24"/>
        </w:rPr>
        <w:t>岁老年患者的靶目标为＜</w:t>
      </w:r>
      <w:r>
        <w:rPr>
          <w:rFonts w:ascii="Times New Roman" w:eastAsia="宋体" w:hAnsi="Times New Roman" w:cs="Times New Roman"/>
          <w:bCs/>
          <w:color w:val="000000" w:themeColor="text1"/>
          <w:sz w:val="24"/>
          <w:szCs w:val="24"/>
        </w:rPr>
        <w:t>150/90</w:t>
      </w:r>
      <w:r>
        <w:rPr>
          <w:rFonts w:ascii="Times New Roman" w:eastAsia="宋体" w:hAnsi="Times New Roman" w:cs="Times New Roman"/>
          <w:color w:val="000000" w:themeColor="text1"/>
          <w:sz w:val="24"/>
          <w:szCs w:val="24"/>
        </w:rPr>
        <w:t xml:space="preserve"> </w:t>
      </w:r>
      <w:r>
        <w:rPr>
          <w:rFonts w:ascii="Times New Roman" w:eastAsia="宋体" w:hAnsi="Times New Roman" w:cs="Times New Roman"/>
          <w:bCs/>
          <w:color w:val="000000" w:themeColor="text1"/>
          <w:sz w:val="24"/>
          <w:szCs w:val="24"/>
        </w:rPr>
        <w:t>mmHg</w:t>
      </w:r>
      <w:r>
        <w:rPr>
          <w:rFonts w:ascii="Times New Roman" w:eastAsia="宋体" w:hAnsi="Times New Roman" w:cs="Times New Roman" w:hint="eastAsia"/>
          <w:bCs/>
          <w:color w:val="000000" w:themeColor="text1"/>
          <w:sz w:val="24"/>
          <w:szCs w:val="24"/>
        </w:rPr>
        <w:t>，如患者能耐受，可进一步降至＜</w:t>
      </w:r>
      <w:r>
        <w:rPr>
          <w:rFonts w:ascii="Times New Roman" w:eastAsia="宋体" w:hAnsi="Times New Roman" w:cs="Times New Roman"/>
          <w:bCs/>
          <w:color w:val="000000" w:themeColor="text1"/>
          <w:sz w:val="24"/>
          <w:szCs w:val="24"/>
        </w:rPr>
        <w:t>140/90</w:t>
      </w:r>
      <w:r>
        <w:rPr>
          <w:rFonts w:ascii="Times New Roman" w:eastAsia="宋体" w:hAnsi="Times New Roman" w:cs="Times New Roman"/>
          <w:color w:val="000000" w:themeColor="text1"/>
          <w:sz w:val="24"/>
          <w:szCs w:val="24"/>
        </w:rPr>
        <w:t xml:space="preserve"> </w:t>
      </w:r>
      <w:r>
        <w:rPr>
          <w:rFonts w:ascii="Times New Roman" w:eastAsia="宋体" w:hAnsi="Times New Roman" w:cs="Times New Roman"/>
          <w:bCs/>
          <w:color w:val="000000" w:themeColor="text1"/>
          <w:sz w:val="24"/>
          <w:szCs w:val="24"/>
        </w:rPr>
        <w:t>mmHg</w:t>
      </w:r>
      <w:r>
        <w:rPr>
          <w:rFonts w:ascii="Times New Roman" w:eastAsia="宋体" w:hAnsi="Times New Roman" w:cs="Times New Roman" w:hint="eastAsia"/>
          <w:bCs/>
          <w:color w:val="000000" w:themeColor="text1"/>
          <w:sz w:val="24"/>
          <w:szCs w:val="24"/>
        </w:rPr>
        <w:t>；对于≥</w:t>
      </w:r>
      <w:r>
        <w:rPr>
          <w:rFonts w:ascii="Times New Roman" w:eastAsia="宋体" w:hAnsi="Times New Roman" w:cs="Times New Roman"/>
          <w:bCs/>
          <w:color w:val="000000" w:themeColor="text1"/>
          <w:sz w:val="24"/>
          <w:szCs w:val="24"/>
        </w:rPr>
        <w:t>80</w:t>
      </w:r>
      <w:r>
        <w:rPr>
          <w:rFonts w:ascii="Times New Roman" w:eastAsia="宋体" w:hAnsi="Times New Roman" w:cs="Times New Roman" w:hint="eastAsia"/>
          <w:bCs/>
          <w:color w:val="000000" w:themeColor="text1"/>
          <w:sz w:val="24"/>
          <w:szCs w:val="24"/>
        </w:rPr>
        <w:t>岁的患者靶目标为＜</w:t>
      </w:r>
      <w:r>
        <w:rPr>
          <w:rFonts w:ascii="Times New Roman" w:eastAsia="宋体" w:hAnsi="Times New Roman" w:cs="Times New Roman"/>
          <w:bCs/>
          <w:color w:val="000000" w:themeColor="text1"/>
          <w:sz w:val="24"/>
          <w:szCs w:val="24"/>
        </w:rPr>
        <w:t>150/90</w:t>
      </w:r>
      <w:r>
        <w:rPr>
          <w:rFonts w:ascii="Times New Roman" w:eastAsia="宋体" w:hAnsi="Times New Roman" w:cs="Times New Roman"/>
          <w:color w:val="000000" w:themeColor="text1"/>
          <w:sz w:val="24"/>
          <w:szCs w:val="24"/>
        </w:rPr>
        <w:t xml:space="preserve"> </w:t>
      </w:r>
      <w:r>
        <w:rPr>
          <w:rFonts w:ascii="Times New Roman" w:eastAsia="宋体" w:hAnsi="Times New Roman" w:cs="Times New Roman"/>
          <w:bCs/>
          <w:color w:val="000000" w:themeColor="text1"/>
          <w:sz w:val="24"/>
          <w:szCs w:val="24"/>
        </w:rPr>
        <w:t>mmHg</w:t>
      </w:r>
      <w:r>
        <w:rPr>
          <w:rFonts w:ascii="Times New Roman" w:eastAsia="宋体" w:hAnsi="Times New Roman" w:cs="Times New Roman" w:hint="eastAsia"/>
          <w:bCs/>
          <w:color w:val="000000" w:themeColor="text1"/>
          <w:sz w:val="24"/>
          <w:szCs w:val="24"/>
        </w:rPr>
        <w:t>。</w:t>
      </w:r>
      <w:r>
        <w:rPr>
          <w:rFonts w:ascii="Times New Roman" w:eastAsia="宋体" w:hAnsi="Times New Roman" w:cs="Times New Roman"/>
          <w:bCs/>
          <w:color w:val="000000" w:themeColor="text1"/>
          <w:sz w:val="24"/>
          <w:szCs w:val="24"/>
        </w:rPr>
        <w:t>2018</w:t>
      </w:r>
      <w:r>
        <w:rPr>
          <w:rFonts w:ascii="Times New Roman" w:eastAsia="宋体" w:hAnsi="Times New Roman" w:cs="Times New Roman" w:hint="eastAsia"/>
          <w:bCs/>
          <w:color w:val="000000" w:themeColor="text1"/>
          <w:sz w:val="24"/>
          <w:szCs w:val="24"/>
        </w:rPr>
        <w:t>年</w:t>
      </w:r>
      <w:r>
        <w:rPr>
          <w:rFonts w:ascii="Times New Roman" w:eastAsia="宋体" w:hAnsi="Times New Roman" w:cs="Times New Roman"/>
          <w:bCs/>
          <w:color w:val="000000" w:themeColor="text1"/>
          <w:sz w:val="24"/>
          <w:szCs w:val="24"/>
        </w:rPr>
        <w:t>JSN</w:t>
      </w:r>
      <w:r>
        <w:rPr>
          <w:rFonts w:ascii="Times New Roman" w:eastAsia="宋体" w:hAnsi="Times New Roman" w:cs="Times New Roman" w:hint="eastAsia"/>
          <w:bCs/>
          <w:color w:val="000000" w:themeColor="text1"/>
          <w:sz w:val="24"/>
          <w:szCs w:val="24"/>
        </w:rPr>
        <w:t>的</w:t>
      </w:r>
      <w:r>
        <w:rPr>
          <w:rFonts w:ascii="Times New Roman" w:eastAsia="宋体" w:hAnsi="Times New Roman" w:cs="Times New Roman"/>
          <w:bCs/>
          <w:color w:val="000000" w:themeColor="text1"/>
          <w:sz w:val="24"/>
          <w:szCs w:val="24"/>
        </w:rPr>
        <w:t>CKD</w:t>
      </w:r>
      <w:r>
        <w:rPr>
          <w:rFonts w:ascii="Times New Roman" w:eastAsia="宋体" w:hAnsi="Times New Roman" w:cs="Times New Roman" w:hint="eastAsia"/>
          <w:bCs/>
          <w:color w:val="000000" w:themeColor="text1"/>
          <w:sz w:val="24"/>
          <w:szCs w:val="24"/>
        </w:rPr>
        <w:t>指南</w:t>
      </w:r>
      <w:r w:rsidR="00B411DC">
        <w:rPr>
          <w:rFonts w:ascii="Times New Roman" w:eastAsia="宋体" w:hAnsi="Times New Roman" w:cs="Times New Roman"/>
          <w:bCs/>
          <w:color w:val="000000" w:themeColor="text1"/>
          <w:sz w:val="24"/>
          <w:szCs w:val="24"/>
        </w:rPr>
        <w:fldChar w:fldCharType="begin"/>
      </w:r>
      <w:r>
        <w:rPr>
          <w:rFonts w:ascii="Times New Roman" w:eastAsia="宋体" w:hAnsi="Times New Roman" w:cs="Times New Roman"/>
          <w:bCs/>
          <w:color w:val="000000" w:themeColor="text1"/>
          <w:sz w:val="24"/>
          <w:szCs w:val="24"/>
        </w:rPr>
        <w:instrText xml:space="preserve"> ADDIN NE.Ref.{1F0933FB-D366-41E7-8E5C-3506DB954BEC}</w:instrText>
      </w:r>
      <w:r w:rsidR="00B411DC">
        <w:rPr>
          <w:rFonts w:ascii="Times New Roman" w:eastAsia="宋体" w:hAnsi="Times New Roman" w:cs="Times New Roman"/>
          <w:bCs/>
          <w:color w:val="000000" w:themeColor="text1"/>
          <w:sz w:val="24"/>
          <w:szCs w:val="24"/>
        </w:rPr>
        <w:fldChar w:fldCharType="separate"/>
      </w:r>
      <w:r>
        <w:rPr>
          <w:rFonts w:ascii="Times New Roman" w:eastAsia="宋体" w:hAnsi="Times New Roman" w:cs="Times New Roman"/>
          <w:color w:val="000000" w:themeColor="text1"/>
          <w:kern w:val="0"/>
          <w:sz w:val="24"/>
          <w:szCs w:val="24"/>
          <w:vertAlign w:val="superscript"/>
        </w:rPr>
        <w:t>[91]</w:t>
      </w:r>
      <w:r w:rsidR="00B411DC">
        <w:rPr>
          <w:rFonts w:ascii="Times New Roman" w:eastAsia="宋体" w:hAnsi="Times New Roman" w:cs="Times New Roman"/>
          <w:bCs/>
          <w:color w:val="000000" w:themeColor="text1"/>
          <w:sz w:val="24"/>
          <w:szCs w:val="24"/>
        </w:rPr>
        <w:fldChar w:fldCharType="end"/>
      </w:r>
      <w:r>
        <w:rPr>
          <w:rFonts w:ascii="Times New Roman" w:eastAsia="宋体" w:hAnsi="Times New Roman" w:cs="Times New Roman" w:hint="eastAsia"/>
          <w:bCs/>
          <w:color w:val="000000" w:themeColor="text1"/>
          <w:sz w:val="24"/>
          <w:szCs w:val="24"/>
        </w:rPr>
        <w:t>推荐</w:t>
      </w:r>
      <w:r>
        <w:rPr>
          <w:rFonts w:ascii="Times New Roman" w:eastAsia="宋体" w:hAnsi="Times New Roman" w:cs="Times New Roman"/>
          <w:bCs/>
          <w:color w:val="000000" w:themeColor="text1"/>
          <w:sz w:val="24"/>
          <w:szCs w:val="24"/>
        </w:rPr>
        <w:t>CKD</w:t>
      </w:r>
      <w:r>
        <w:rPr>
          <w:rFonts w:ascii="Times New Roman" w:eastAsia="宋体" w:hAnsi="Times New Roman" w:cs="Times New Roman" w:hint="eastAsia"/>
          <w:bCs/>
          <w:color w:val="000000" w:themeColor="text1"/>
          <w:sz w:val="24"/>
          <w:szCs w:val="24"/>
        </w:rPr>
        <w:t>老年人群（≥</w:t>
      </w:r>
      <w:r>
        <w:rPr>
          <w:rFonts w:ascii="Times New Roman" w:eastAsia="宋体" w:hAnsi="Times New Roman" w:cs="Times New Roman"/>
          <w:bCs/>
          <w:color w:val="000000" w:themeColor="text1"/>
          <w:sz w:val="24"/>
          <w:szCs w:val="24"/>
        </w:rPr>
        <w:t>75</w:t>
      </w:r>
      <w:r>
        <w:rPr>
          <w:rFonts w:ascii="Times New Roman" w:eastAsia="宋体" w:hAnsi="Times New Roman" w:cs="Times New Roman" w:hint="eastAsia"/>
          <w:bCs/>
          <w:color w:val="000000" w:themeColor="text1"/>
          <w:sz w:val="24"/>
          <w:szCs w:val="24"/>
        </w:rPr>
        <w:t>岁）的降压目标值为＜</w:t>
      </w:r>
      <w:r>
        <w:rPr>
          <w:rFonts w:ascii="Times New Roman" w:eastAsia="宋体" w:hAnsi="Times New Roman" w:cs="Times New Roman"/>
          <w:bCs/>
          <w:color w:val="000000" w:themeColor="text1"/>
          <w:sz w:val="24"/>
          <w:szCs w:val="24"/>
        </w:rPr>
        <w:t>150/90</w:t>
      </w:r>
      <w:r>
        <w:rPr>
          <w:rFonts w:ascii="Times New Roman" w:eastAsia="宋体" w:hAnsi="Times New Roman" w:cs="Times New Roman"/>
          <w:color w:val="000000" w:themeColor="text1"/>
          <w:sz w:val="24"/>
          <w:szCs w:val="24"/>
        </w:rPr>
        <w:t xml:space="preserve"> </w:t>
      </w:r>
      <w:r>
        <w:rPr>
          <w:rFonts w:ascii="Times New Roman" w:eastAsia="宋体" w:hAnsi="Times New Roman" w:cs="Times New Roman"/>
          <w:bCs/>
          <w:color w:val="000000" w:themeColor="text1"/>
          <w:sz w:val="24"/>
          <w:szCs w:val="24"/>
        </w:rPr>
        <w:t>mmHg</w:t>
      </w:r>
      <w:r>
        <w:rPr>
          <w:rFonts w:ascii="Times New Roman" w:eastAsia="宋体" w:hAnsi="Times New Roman" w:cs="Times New Roman" w:hint="eastAsia"/>
          <w:bCs/>
          <w:color w:val="000000" w:themeColor="text1"/>
          <w:sz w:val="24"/>
          <w:szCs w:val="24"/>
        </w:rPr>
        <w:t>，如果能够耐受可降至＜</w:t>
      </w:r>
      <w:r>
        <w:rPr>
          <w:rFonts w:ascii="Times New Roman" w:eastAsia="宋体" w:hAnsi="Times New Roman" w:cs="Times New Roman"/>
          <w:bCs/>
          <w:color w:val="000000" w:themeColor="text1"/>
          <w:sz w:val="24"/>
          <w:szCs w:val="24"/>
        </w:rPr>
        <w:t>140/90</w:t>
      </w:r>
      <w:r>
        <w:rPr>
          <w:rFonts w:ascii="Times New Roman" w:eastAsia="宋体" w:hAnsi="Times New Roman" w:cs="Times New Roman"/>
          <w:color w:val="000000" w:themeColor="text1"/>
          <w:sz w:val="24"/>
          <w:szCs w:val="24"/>
        </w:rPr>
        <w:t xml:space="preserve"> </w:t>
      </w:r>
      <w:r>
        <w:rPr>
          <w:rFonts w:ascii="Times New Roman" w:eastAsia="宋体" w:hAnsi="Times New Roman" w:cs="Times New Roman"/>
          <w:bCs/>
          <w:color w:val="000000" w:themeColor="text1"/>
          <w:sz w:val="24"/>
          <w:szCs w:val="24"/>
        </w:rPr>
        <w:t>mmHg</w:t>
      </w:r>
      <w:r>
        <w:rPr>
          <w:rFonts w:ascii="Times New Roman" w:eastAsia="宋体" w:hAnsi="Times New Roman" w:cs="Times New Roman" w:hint="eastAsia"/>
          <w:bCs/>
          <w:color w:val="000000" w:themeColor="text1"/>
          <w:sz w:val="24"/>
          <w:szCs w:val="24"/>
        </w:rPr>
        <w:t>。</w:t>
      </w:r>
      <w:r>
        <w:rPr>
          <w:rFonts w:ascii="Times New Roman" w:eastAsia="宋体" w:hAnsi="Times New Roman" w:cs="Times New Roman"/>
          <w:bCs/>
          <w:color w:val="000000" w:themeColor="text1"/>
          <w:sz w:val="24"/>
          <w:szCs w:val="24"/>
        </w:rPr>
        <w:t>2020</w:t>
      </w:r>
      <w:r>
        <w:rPr>
          <w:rFonts w:ascii="Times New Roman" w:eastAsia="宋体" w:hAnsi="Times New Roman" w:cs="Times New Roman" w:hint="eastAsia"/>
          <w:bCs/>
          <w:color w:val="000000" w:themeColor="text1"/>
          <w:sz w:val="24"/>
          <w:szCs w:val="24"/>
        </w:rPr>
        <w:t>年</w:t>
      </w:r>
      <w:r>
        <w:rPr>
          <w:rFonts w:ascii="Times New Roman" w:eastAsia="宋体" w:hAnsi="Times New Roman" w:cs="Times New Roman"/>
          <w:bCs/>
          <w:color w:val="000000" w:themeColor="text1"/>
          <w:sz w:val="24"/>
          <w:szCs w:val="24"/>
        </w:rPr>
        <w:t>ISH</w:t>
      </w:r>
      <w:r>
        <w:rPr>
          <w:rFonts w:ascii="Times New Roman" w:eastAsia="宋体" w:hAnsi="Times New Roman" w:cs="Times New Roman" w:hint="eastAsia"/>
          <w:bCs/>
          <w:color w:val="000000" w:themeColor="text1"/>
          <w:sz w:val="24"/>
          <w:szCs w:val="24"/>
        </w:rPr>
        <w:t>指南</w:t>
      </w:r>
      <w:r w:rsidR="00B411DC">
        <w:rPr>
          <w:rFonts w:ascii="Times New Roman" w:eastAsia="宋体" w:hAnsi="Times New Roman" w:cs="Times New Roman"/>
          <w:bCs/>
          <w:color w:val="000000" w:themeColor="text1"/>
          <w:sz w:val="24"/>
          <w:szCs w:val="24"/>
        </w:rPr>
        <w:fldChar w:fldCharType="begin"/>
      </w:r>
      <w:r>
        <w:rPr>
          <w:rFonts w:ascii="Times New Roman" w:eastAsia="宋体" w:hAnsi="Times New Roman" w:cs="Times New Roman"/>
          <w:bCs/>
          <w:color w:val="000000" w:themeColor="text1"/>
          <w:sz w:val="24"/>
          <w:szCs w:val="24"/>
        </w:rPr>
        <w:instrText xml:space="preserve"> ADDIN NE.Ref.{559D581B-3690-4A41-9327-0AECDA9632D3}</w:instrText>
      </w:r>
      <w:r w:rsidR="00B411DC">
        <w:rPr>
          <w:rFonts w:ascii="Times New Roman" w:eastAsia="宋体" w:hAnsi="Times New Roman" w:cs="Times New Roman"/>
          <w:bCs/>
          <w:color w:val="000000" w:themeColor="text1"/>
          <w:sz w:val="24"/>
          <w:szCs w:val="24"/>
        </w:rPr>
        <w:fldChar w:fldCharType="separate"/>
      </w:r>
      <w:r>
        <w:rPr>
          <w:rFonts w:ascii="Times New Roman" w:eastAsia="宋体" w:hAnsi="Times New Roman" w:cs="Times New Roman"/>
          <w:color w:val="000000" w:themeColor="text1"/>
          <w:kern w:val="0"/>
          <w:sz w:val="24"/>
          <w:szCs w:val="24"/>
          <w:vertAlign w:val="superscript"/>
        </w:rPr>
        <w:t>[13-14]</w:t>
      </w:r>
      <w:r w:rsidR="00B411DC">
        <w:rPr>
          <w:rFonts w:ascii="Times New Roman" w:eastAsia="宋体" w:hAnsi="Times New Roman" w:cs="Times New Roman"/>
          <w:bCs/>
          <w:color w:val="000000" w:themeColor="text1"/>
          <w:sz w:val="24"/>
          <w:szCs w:val="24"/>
        </w:rPr>
        <w:fldChar w:fldCharType="end"/>
      </w:r>
      <w:r>
        <w:rPr>
          <w:rFonts w:ascii="Times New Roman" w:eastAsia="宋体" w:hAnsi="Times New Roman" w:cs="Times New Roman" w:hint="eastAsia"/>
          <w:bCs/>
          <w:color w:val="000000" w:themeColor="text1"/>
          <w:sz w:val="24"/>
          <w:szCs w:val="24"/>
        </w:rPr>
        <w:t>对于老年</w:t>
      </w:r>
      <w:r>
        <w:rPr>
          <w:rFonts w:ascii="Times New Roman" w:eastAsia="宋体" w:hAnsi="Times New Roman" w:cs="Times New Roman"/>
          <w:bCs/>
          <w:color w:val="000000" w:themeColor="text1"/>
          <w:sz w:val="24"/>
          <w:szCs w:val="24"/>
        </w:rPr>
        <w:t>CKD</w:t>
      </w:r>
      <w:r>
        <w:rPr>
          <w:rFonts w:ascii="Times New Roman" w:eastAsia="宋体" w:hAnsi="Times New Roman" w:cs="Times New Roman" w:hint="eastAsia"/>
          <w:bCs/>
          <w:color w:val="000000" w:themeColor="text1"/>
          <w:sz w:val="24"/>
          <w:szCs w:val="24"/>
        </w:rPr>
        <w:t>患者（≥</w:t>
      </w:r>
      <w:r>
        <w:rPr>
          <w:rFonts w:ascii="Times New Roman" w:eastAsia="宋体" w:hAnsi="Times New Roman" w:cs="Times New Roman"/>
          <w:bCs/>
          <w:color w:val="000000" w:themeColor="text1"/>
          <w:sz w:val="24"/>
          <w:szCs w:val="24"/>
        </w:rPr>
        <w:t>65</w:t>
      </w:r>
      <w:r>
        <w:rPr>
          <w:rFonts w:ascii="Times New Roman" w:eastAsia="宋体" w:hAnsi="Times New Roman" w:cs="Times New Roman" w:hint="eastAsia"/>
          <w:bCs/>
          <w:color w:val="000000" w:themeColor="text1"/>
          <w:sz w:val="24"/>
          <w:szCs w:val="24"/>
        </w:rPr>
        <w:t>岁）的降压靶目标建议为＜</w:t>
      </w:r>
      <w:r>
        <w:rPr>
          <w:rFonts w:ascii="Times New Roman" w:eastAsia="宋体" w:hAnsi="Times New Roman" w:cs="Times New Roman"/>
          <w:bCs/>
          <w:color w:val="000000" w:themeColor="text1"/>
          <w:sz w:val="24"/>
          <w:szCs w:val="24"/>
        </w:rPr>
        <w:t>140/80</w:t>
      </w:r>
      <w:r>
        <w:rPr>
          <w:rFonts w:ascii="Times New Roman" w:eastAsia="宋体" w:hAnsi="Times New Roman" w:cs="Times New Roman"/>
          <w:color w:val="000000" w:themeColor="text1"/>
          <w:sz w:val="24"/>
          <w:szCs w:val="24"/>
        </w:rPr>
        <w:t xml:space="preserve"> </w:t>
      </w:r>
      <w:r>
        <w:rPr>
          <w:rFonts w:ascii="Times New Roman" w:eastAsia="宋体" w:hAnsi="Times New Roman" w:cs="Times New Roman"/>
          <w:bCs/>
          <w:color w:val="000000" w:themeColor="text1"/>
          <w:sz w:val="24"/>
          <w:szCs w:val="24"/>
        </w:rPr>
        <w:t>mmHg</w:t>
      </w:r>
      <w:r>
        <w:rPr>
          <w:rFonts w:ascii="Times New Roman" w:eastAsia="宋体" w:hAnsi="Times New Roman" w:cs="Times New Roman" w:hint="eastAsia"/>
          <w:bCs/>
          <w:color w:val="000000" w:themeColor="text1"/>
          <w:sz w:val="24"/>
          <w:szCs w:val="24"/>
        </w:rPr>
        <w:t>。</w:t>
      </w:r>
      <w:r>
        <w:rPr>
          <w:rFonts w:ascii="Times New Roman" w:eastAsia="宋体" w:hAnsi="Times New Roman" w:cs="Times New Roman"/>
          <w:bCs/>
          <w:color w:val="000000" w:themeColor="text1"/>
          <w:sz w:val="24"/>
          <w:szCs w:val="24"/>
        </w:rPr>
        <w:t>SPRINT</w:t>
      </w:r>
      <w:r>
        <w:rPr>
          <w:rFonts w:ascii="Times New Roman" w:eastAsia="宋体" w:hAnsi="Times New Roman" w:cs="Times New Roman" w:hint="eastAsia"/>
          <w:bCs/>
          <w:color w:val="000000" w:themeColor="text1"/>
          <w:sz w:val="24"/>
          <w:szCs w:val="24"/>
        </w:rPr>
        <w:t>事后亚组数据分析显示，年龄大于</w:t>
      </w:r>
      <w:r>
        <w:rPr>
          <w:rFonts w:ascii="Times New Roman" w:eastAsia="宋体" w:hAnsi="Times New Roman" w:cs="Times New Roman"/>
          <w:bCs/>
          <w:color w:val="000000" w:themeColor="text1"/>
          <w:sz w:val="24"/>
          <w:szCs w:val="24"/>
        </w:rPr>
        <w:t>75</w:t>
      </w:r>
      <w:r>
        <w:rPr>
          <w:rFonts w:ascii="Times New Roman" w:eastAsia="宋体" w:hAnsi="Times New Roman" w:cs="Times New Roman" w:hint="eastAsia"/>
          <w:bCs/>
          <w:color w:val="000000" w:themeColor="text1"/>
          <w:sz w:val="24"/>
          <w:szCs w:val="24"/>
        </w:rPr>
        <w:t>岁的</w:t>
      </w:r>
      <w:r>
        <w:rPr>
          <w:rFonts w:ascii="Times New Roman" w:eastAsia="宋体" w:hAnsi="Times New Roman" w:cs="Times New Roman"/>
          <w:bCs/>
          <w:color w:val="000000" w:themeColor="text1"/>
          <w:sz w:val="24"/>
          <w:szCs w:val="24"/>
        </w:rPr>
        <w:t>CKD</w:t>
      </w:r>
      <w:r>
        <w:rPr>
          <w:rFonts w:ascii="Times New Roman" w:eastAsia="宋体" w:hAnsi="Times New Roman" w:cs="Times New Roman" w:hint="eastAsia"/>
          <w:bCs/>
          <w:color w:val="000000" w:themeColor="text1"/>
          <w:sz w:val="24"/>
          <w:szCs w:val="24"/>
        </w:rPr>
        <w:t>患者，强化降压（</w:t>
      </w:r>
      <w:r>
        <w:rPr>
          <w:rFonts w:ascii="Times New Roman" w:eastAsia="宋体" w:hAnsi="Times New Roman" w:cs="Times New Roman"/>
          <w:bCs/>
          <w:color w:val="000000" w:themeColor="text1"/>
          <w:sz w:val="24"/>
          <w:szCs w:val="24"/>
        </w:rPr>
        <w:t>SBP</w:t>
      </w:r>
      <w:r>
        <w:rPr>
          <w:rFonts w:ascii="Times New Roman" w:eastAsia="宋体" w:hAnsi="Times New Roman" w:cs="Times New Roman" w:hint="eastAsia"/>
          <w:bCs/>
          <w:color w:val="000000" w:themeColor="text1"/>
          <w:sz w:val="24"/>
          <w:szCs w:val="24"/>
        </w:rPr>
        <w:t>＜</w:t>
      </w:r>
      <w:r>
        <w:rPr>
          <w:rFonts w:ascii="Times New Roman" w:eastAsia="宋体" w:hAnsi="Times New Roman" w:cs="Times New Roman"/>
          <w:bCs/>
          <w:color w:val="000000" w:themeColor="text1"/>
          <w:sz w:val="24"/>
          <w:szCs w:val="24"/>
        </w:rPr>
        <w:t>120 mmHg</w:t>
      </w:r>
      <w:r>
        <w:rPr>
          <w:rFonts w:ascii="Times New Roman" w:eastAsia="宋体" w:hAnsi="Times New Roman" w:cs="Times New Roman" w:hint="eastAsia"/>
          <w:bCs/>
          <w:color w:val="000000" w:themeColor="text1"/>
          <w:sz w:val="24"/>
          <w:szCs w:val="24"/>
        </w:rPr>
        <w:t>）能够降低心血管事件和全因死亡率，但是没有提及强化降压的潜在危害</w:t>
      </w:r>
      <w:r w:rsidR="00B411DC">
        <w:rPr>
          <w:rFonts w:ascii="Times New Roman" w:eastAsia="宋体" w:hAnsi="Times New Roman" w:cs="Times New Roman"/>
          <w:bCs/>
          <w:color w:val="000000" w:themeColor="text1"/>
          <w:sz w:val="24"/>
          <w:szCs w:val="24"/>
        </w:rPr>
        <w:fldChar w:fldCharType="begin"/>
      </w:r>
      <w:r>
        <w:rPr>
          <w:rFonts w:ascii="Times New Roman" w:eastAsia="宋体" w:hAnsi="Times New Roman" w:cs="Times New Roman"/>
          <w:bCs/>
          <w:color w:val="000000" w:themeColor="text1"/>
          <w:sz w:val="24"/>
          <w:szCs w:val="24"/>
        </w:rPr>
        <w:instrText xml:space="preserve"> ADDIN NE.Ref.{FF4E4C5E-A681-4DEA-B121-FA34019D583F}</w:instrText>
      </w:r>
      <w:r w:rsidR="00B411DC">
        <w:rPr>
          <w:rFonts w:ascii="Times New Roman" w:eastAsia="宋体" w:hAnsi="Times New Roman" w:cs="Times New Roman"/>
          <w:bCs/>
          <w:color w:val="000000" w:themeColor="text1"/>
          <w:sz w:val="24"/>
          <w:szCs w:val="24"/>
        </w:rPr>
        <w:fldChar w:fldCharType="separate"/>
      </w:r>
      <w:r>
        <w:rPr>
          <w:rFonts w:ascii="Times New Roman" w:eastAsia="宋体" w:hAnsi="Times New Roman" w:cs="Times New Roman"/>
          <w:color w:val="000000" w:themeColor="text1"/>
          <w:kern w:val="0"/>
          <w:sz w:val="24"/>
          <w:szCs w:val="24"/>
          <w:vertAlign w:val="superscript"/>
        </w:rPr>
        <w:t>[16-17]</w:t>
      </w:r>
      <w:r w:rsidR="00B411DC">
        <w:rPr>
          <w:rFonts w:ascii="Times New Roman" w:eastAsia="宋体" w:hAnsi="Times New Roman" w:cs="Times New Roman"/>
          <w:bCs/>
          <w:color w:val="000000" w:themeColor="text1"/>
          <w:sz w:val="24"/>
          <w:szCs w:val="24"/>
        </w:rPr>
        <w:fldChar w:fldCharType="end"/>
      </w:r>
      <w:r>
        <w:rPr>
          <w:rFonts w:ascii="Times New Roman" w:eastAsia="宋体" w:hAnsi="Times New Roman" w:cs="Times New Roman" w:hint="eastAsia"/>
          <w:bCs/>
          <w:color w:val="000000" w:themeColor="text1"/>
          <w:sz w:val="24"/>
          <w:szCs w:val="24"/>
        </w:rPr>
        <w:t>。</w:t>
      </w:r>
    </w:p>
    <w:p w:rsidR="002E5476" w:rsidRDefault="00423E71">
      <w:pPr>
        <w:pStyle w:val="10"/>
        <w:tabs>
          <w:tab w:val="left" w:pos="703"/>
        </w:tabs>
        <w:spacing w:line="360" w:lineRule="auto"/>
        <w:ind w:firstLine="480"/>
        <w:outlineLvl w:val="0"/>
        <w:rPr>
          <w:rFonts w:ascii="Times New Roman" w:eastAsia="宋体" w:hAnsi="Times New Roman" w:cs="Times New Roman"/>
          <w:bCs/>
          <w:color w:val="000000" w:themeColor="text1"/>
          <w:sz w:val="24"/>
          <w:szCs w:val="24"/>
        </w:rPr>
      </w:pPr>
      <w:r>
        <w:rPr>
          <w:rFonts w:ascii="Times New Roman" w:eastAsia="宋体" w:hAnsi="Times New Roman" w:cs="Times New Roman" w:hint="eastAsia"/>
          <w:bCs/>
          <w:color w:val="000000" w:themeColor="text1"/>
          <w:sz w:val="24"/>
          <w:szCs w:val="24"/>
        </w:rPr>
        <w:t>老年</w:t>
      </w:r>
      <w:r>
        <w:rPr>
          <w:rFonts w:ascii="Times New Roman" w:eastAsia="宋体" w:hAnsi="Times New Roman" w:cs="Times New Roman"/>
          <w:bCs/>
          <w:color w:val="000000" w:themeColor="text1"/>
          <w:sz w:val="24"/>
          <w:szCs w:val="24"/>
        </w:rPr>
        <w:t>CKD</w:t>
      </w:r>
      <w:r>
        <w:rPr>
          <w:rFonts w:ascii="Times New Roman" w:eastAsia="宋体" w:hAnsi="Times New Roman" w:cs="Times New Roman" w:hint="eastAsia"/>
          <w:bCs/>
          <w:color w:val="000000" w:themeColor="text1"/>
          <w:sz w:val="24"/>
          <w:szCs w:val="24"/>
        </w:rPr>
        <w:t>患者使用降压药物应从小剂量开始逐步降压，降压速度不宜过快，应密切观察患者对降压药物有无不良反应，避免血压过低。老年患者多是盐敏感型高血压，可以通过监测</w:t>
      </w:r>
      <w:r>
        <w:rPr>
          <w:rFonts w:ascii="Times New Roman" w:eastAsia="宋体" w:hAnsi="Times New Roman" w:cs="Times New Roman"/>
          <w:bCs/>
          <w:color w:val="000000" w:themeColor="text1"/>
          <w:sz w:val="24"/>
          <w:szCs w:val="24"/>
        </w:rPr>
        <w:t>24 h</w:t>
      </w:r>
      <w:r>
        <w:rPr>
          <w:rFonts w:ascii="Times New Roman" w:eastAsia="宋体" w:hAnsi="Times New Roman" w:cs="Times New Roman" w:hint="eastAsia"/>
          <w:bCs/>
          <w:color w:val="000000" w:themeColor="text1"/>
          <w:sz w:val="24"/>
          <w:szCs w:val="24"/>
        </w:rPr>
        <w:t>尿钠评估食盐摄入情况，并由此指导利尿剂的使用。肾血管疾病使衰老的肾脏易受低血压和</w:t>
      </w:r>
      <w:r>
        <w:rPr>
          <w:rFonts w:ascii="Times New Roman" w:eastAsia="宋体" w:hAnsi="Times New Roman" w:cs="Times New Roman"/>
          <w:bCs/>
          <w:color w:val="000000" w:themeColor="text1"/>
          <w:sz w:val="24"/>
          <w:szCs w:val="24"/>
        </w:rPr>
        <w:t>RAAS</w:t>
      </w:r>
      <w:r>
        <w:rPr>
          <w:rFonts w:ascii="Times New Roman" w:eastAsia="宋体" w:hAnsi="Times New Roman" w:cs="Times New Roman" w:hint="eastAsia"/>
          <w:bCs/>
          <w:color w:val="000000" w:themeColor="text1"/>
          <w:sz w:val="24"/>
          <w:szCs w:val="24"/>
        </w:rPr>
        <w:t>系统的</w:t>
      </w:r>
      <w:r>
        <w:rPr>
          <w:rFonts w:ascii="Times New Roman" w:eastAsia="宋体" w:hAnsi="Times New Roman" w:cs="Times New Roman" w:hint="eastAsia"/>
          <w:bCs/>
          <w:color w:val="000000" w:themeColor="text1"/>
          <w:sz w:val="24"/>
          <w:szCs w:val="24"/>
        </w:rPr>
        <w:lastRenderedPageBreak/>
        <w:t>影响，应用</w:t>
      </w:r>
      <w:r>
        <w:rPr>
          <w:rFonts w:ascii="Times New Roman" w:eastAsia="宋体" w:hAnsi="Times New Roman" w:cs="Times New Roman"/>
          <w:bCs/>
          <w:color w:val="000000" w:themeColor="text1"/>
          <w:sz w:val="24"/>
          <w:szCs w:val="24"/>
        </w:rPr>
        <w:t>ACEI/ARB</w:t>
      </w:r>
      <w:r>
        <w:rPr>
          <w:rFonts w:ascii="Times New Roman" w:eastAsia="宋体" w:hAnsi="Times New Roman" w:cs="Times New Roman" w:hint="eastAsia"/>
          <w:bCs/>
          <w:color w:val="000000" w:themeColor="text1"/>
          <w:sz w:val="24"/>
          <w:szCs w:val="24"/>
        </w:rPr>
        <w:t>时易导致肾小球滤过率的急剧下降和高钾血症。因此，老年人使用</w:t>
      </w:r>
      <w:r>
        <w:rPr>
          <w:rFonts w:ascii="Times New Roman" w:eastAsia="宋体" w:hAnsi="Times New Roman" w:cs="Times New Roman"/>
          <w:bCs/>
          <w:color w:val="000000" w:themeColor="text1"/>
          <w:sz w:val="24"/>
          <w:szCs w:val="24"/>
        </w:rPr>
        <w:t>ACEI/ARB</w:t>
      </w:r>
      <w:r>
        <w:rPr>
          <w:rFonts w:ascii="Times New Roman" w:eastAsia="宋体" w:hAnsi="Times New Roman" w:cs="Times New Roman" w:hint="eastAsia"/>
          <w:bCs/>
          <w:color w:val="000000" w:themeColor="text1"/>
          <w:sz w:val="24"/>
          <w:szCs w:val="24"/>
        </w:rPr>
        <w:t>时需要密切监测</w:t>
      </w:r>
      <w:r w:rsidR="00B411DC">
        <w:rPr>
          <w:rFonts w:ascii="Times New Roman" w:eastAsia="宋体" w:hAnsi="Times New Roman" w:cs="Times New Roman"/>
          <w:bCs/>
          <w:color w:val="000000" w:themeColor="text1"/>
          <w:sz w:val="24"/>
          <w:szCs w:val="24"/>
        </w:rPr>
        <w:fldChar w:fldCharType="begin"/>
      </w:r>
      <w:r>
        <w:rPr>
          <w:rFonts w:ascii="Times New Roman" w:eastAsia="宋体" w:hAnsi="Times New Roman" w:cs="Times New Roman"/>
          <w:bCs/>
          <w:color w:val="000000" w:themeColor="text1"/>
          <w:sz w:val="24"/>
          <w:szCs w:val="24"/>
        </w:rPr>
        <w:instrText xml:space="preserve"> ADDIN NE.Ref.{46E2167E-193D-418B-93D2-5601A3244027}</w:instrText>
      </w:r>
      <w:r w:rsidR="00B411DC">
        <w:rPr>
          <w:rFonts w:ascii="Times New Roman" w:eastAsia="宋体" w:hAnsi="Times New Roman" w:cs="Times New Roman"/>
          <w:bCs/>
          <w:color w:val="000000" w:themeColor="text1"/>
          <w:sz w:val="24"/>
          <w:szCs w:val="24"/>
        </w:rPr>
        <w:fldChar w:fldCharType="separate"/>
      </w:r>
      <w:r>
        <w:rPr>
          <w:rFonts w:ascii="Times New Roman" w:eastAsia="宋体" w:hAnsi="Times New Roman" w:cs="Times New Roman"/>
          <w:color w:val="000000" w:themeColor="text1"/>
          <w:kern w:val="0"/>
          <w:sz w:val="24"/>
          <w:szCs w:val="24"/>
          <w:vertAlign w:val="superscript"/>
        </w:rPr>
        <w:t>[90-92]</w:t>
      </w:r>
      <w:r w:rsidR="00B411DC">
        <w:rPr>
          <w:rFonts w:ascii="Times New Roman" w:eastAsia="宋体" w:hAnsi="Times New Roman" w:cs="Times New Roman"/>
          <w:bCs/>
          <w:color w:val="000000" w:themeColor="text1"/>
          <w:sz w:val="24"/>
          <w:szCs w:val="24"/>
        </w:rPr>
        <w:fldChar w:fldCharType="end"/>
      </w:r>
      <w:r>
        <w:rPr>
          <w:rFonts w:ascii="Times New Roman" w:eastAsia="宋体" w:hAnsi="Times New Roman" w:cs="Times New Roman" w:hint="eastAsia"/>
          <w:bCs/>
          <w:color w:val="000000" w:themeColor="text1"/>
          <w:sz w:val="24"/>
          <w:szCs w:val="24"/>
        </w:rPr>
        <w:t>。</w:t>
      </w:r>
      <w:r>
        <w:rPr>
          <w:rFonts w:ascii="Times New Roman" w:eastAsia="宋体" w:hAnsi="Times New Roman" w:cs="Times New Roman"/>
          <w:bCs/>
          <w:color w:val="000000" w:themeColor="text1"/>
          <w:sz w:val="24"/>
          <w:szCs w:val="24"/>
        </w:rPr>
        <w:t>2018</w:t>
      </w:r>
      <w:r>
        <w:rPr>
          <w:rFonts w:ascii="Times New Roman" w:eastAsia="宋体" w:hAnsi="Times New Roman" w:cs="Times New Roman" w:hint="eastAsia"/>
          <w:bCs/>
          <w:color w:val="000000" w:themeColor="text1"/>
          <w:sz w:val="24"/>
          <w:szCs w:val="24"/>
        </w:rPr>
        <w:t>年</w:t>
      </w:r>
      <w:r>
        <w:rPr>
          <w:rFonts w:ascii="Times New Roman" w:eastAsia="宋体" w:hAnsi="Times New Roman" w:cs="Times New Roman"/>
          <w:bCs/>
          <w:color w:val="000000" w:themeColor="text1"/>
          <w:sz w:val="24"/>
          <w:szCs w:val="24"/>
        </w:rPr>
        <w:t>JSN</w:t>
      </w:r>
      <w:r>
        <w:rPr>
          <w:rFonts w:ascii="Times New Roman" w:eastAsia="宋体" w:hAnsi="Times New Roman" w:cs="Times New Roman" w:hint="eastAsia"/>
          <w:bCs/>
          <w:color w:val="000000" w:themeColor="text1"/>
          <w:sz w:val="24"/>
          <w:szCs w:val="24"/>
        </w:rPr>
        <w:t>的</w:t>
      </w:r>
      <w:r>
        <w:rPr>
          <w:rFonts w:ascii="Times New Roman" w:eastAsia="宋体" w:hAnsi="Times New Roman" w:cs="Times New Roman"/>
          <w:bCs/>
          <w:color w:val="000000" w:themeColor="text1"/>
          <w:sz w:val="24"/>
          <w:szCs w:val="24"/>
        </w:rPr>
        <w:t>CKD</w:t>
      </w:r>
      <w:r>
        <w:rPr>
          <w:rFonts w:ascii="Times New Roman" w:eastAsia="宋体" w:hAnsi="Times New Roman" w:cs="Times New Roman" w:hint="eastAsia"/>
          <w:bCs/>
          <w:color w:val="000000" w:themeColor="text1"/>
          <w:sz w:val="24"/>
          <w:szCs w:val="24"/>
        </w:rPr>
        <w:t>指南</w:t>
      </w:r>
      <w:r w:rsidR="00B411DC">
        <w:rPr>
          <w:rFonts w:ascii="Times New Roman" w:eastAsia="宋体" w:hAnsi="Times New Roman" w:cs="Times New Roman"/>
          <w:bCs/>
          <w:color w:val="000000" w:themeColor="text1"/>
          <w:sz w:val="24"/>
          <w:szCs w:val="24"/>
        </w:rPr>
        <w:fldChar w:fldCharType="begin"/>
      </w:r>
      <w:r>
        <w:rPr>
          <w:rFonts w:ascii="Times New Roman" w:eastAsia="宋体" w:hAnsi="Times New Roman" w:cs="Times New Roman"/>
          <w:bCs/>
          <w:color w:val="000000" w:themeColor="text1"/>
          <w:sz w:val="24"/>
          <w:szCs w:val="24"/>
        </w:rPr>
        <w:instrText xml:space="preserve"> ADDIN NE.Ref.{2A8BCF11-DC30-4CF0-A476-9BBE8CB1A3BA}</w:instrText>
      </w:r>
      <w:r w:rsidR="00B411DC">
        <w:rPr>
          <w:rFonts w:ascii="Times New Roman" w:eastAsia="宋体" w:hAnsi="Times New Roman" w:cs="Times New Roman"/>
          <w:bCs/>
          <w:color w:val="000000" w:themeColor="text1"/>
          <w:sz w:val="24"/>
          <w:szCs w:val="24"/>
        </w:rPr>
        <w:fldChar w:fldCharType="separate"/>
      </w:r>
      <w:r>
        <w:rPr>
          <w:rFonts w:ascii="Times New Roman" w:eastAsia="宋体" w:hAnsi="Times New Roman" w:cs="Times New Roman"/>
          <w:color w:val="000000" w:themeColor="text1"/>
          <w:kern w:val="0"/>
          <w:sz w:val="24"/>
          <w:szCs w:val="24"/>
          <w:vertAlign w:val="superscript"/>
        </w:rPr>
        <w:t>[89]</w:t>
      </w:r>
      <w:r w:rsidR="00B411DC">
        <w:rPr>
          <w:rFonts w:ascii="Times New Roman" w:eastAsia="宋体" w:hAnsi="Times New Roman" w:cs="Times New Roman"/>
          <w:bCs/>
          <w:color w:val="000000" w:themeColor="text1"/>
          <w:sz w:val="24"/>
          <w:szCs w:val="24"/>
        </w:rPr>
        <w:fldChar w:fldCharType="end"/>
      </w:r>
      <w:r>
        <w:rPr>
          <w:rFonts w:ascii="Times New Roman" w:eastAsia="宋体" w:hAnsi="Times New Roman" w:cs="Times New Roman" w:hint="eastAsia"/>
          <w:bCs/>
          <w:color w:val="000000" w:themeColor="text1"/>
          <w:sz w:val="24"/>
          <w:szCs w:val="24"/>
        </w:rPr>
        <w:t>则建议年龄在</w:t>
      </w:r>
      <w:r>
        <w:rPr>
          <w:rFonts w:ascii="Times New Roman" w:eastAsia="宋体" w:hAnsi="Times New Roman" w:cs="Times New Roman"/>
          <w:bCs/>
          <w:color w:val="000000" w:themeColor="text1"/>
          <w:sz w:val="24"/>
          <w:szCs w:val="24"/>
        </w:rPr>
        <w:t>75</w:t>
      </w:r>
      <w:r>
        <w:rPr>
          <w:rFonts w:ascii="Times New Roman" w:eastAsia="宋体" w:hAnsi="Times New Roman" w:cs="Times New Roman" w:hint="eastAsia"/>
          <w:bCs/>
          <w:color w:val="000000" w:themeColor="text1"/>
          <w:sz w:val="24"/>
          <w:szCs w:val="24"/>
        </w:rPr>
        <w:t>岁及以上的</w:t>
      </w:r>
      <w:r>
        <w:rPr>
          <w:rFonts w:ascii="Times New Roman" w:eastAsia="宋体" w:hAnsi="Times New Roman" w:cs="Times New Roman"/>
          <w:bCs/>
          <w:color w:val="000000" w:themeColor="text1"/>
          <w:sz w:val="24"/>
          <w:szCs w:val="24"/>
        </w:rPr>
        <w:t>CKD 4</w:t>
      </w:r>
      <w:r>
        <w:rPr>
          <w:rFonts w:ascii="Times New Roman" w:eastAsia="宋体" w:hAnsi="Times New Roman" w:cs="Times New Roman" w:hint="eastAsia"/>
          <w:bCs/>
          <w:color w:val="000000" w:themeColor="text1"/>
          <w:sz w:val="24"/>
          <w:szCs w:val="24"/>
        </w:rPr>
        <w:t>、</w:t>
      </w:r>
      <w:r>
        <w:rPr>
          <w:rFonts w:ascii="Times New Roman" w:eastAsia="宋体" w:hAnsi="Times New Roman" w:cs="Times New Roman"/>
          <w:bCs/>
          <w:color w:val="000000" w:themeColor="text1"/>
          <w:sz w:val="24"/>
          <w:szCs w:val="24"/>
        </w:rPr>
        <w:t>5</w:t>
      </w:r>
      <w:r>
        <w:rPr>
          <w:rFonts w:ascii="Times New Roman" w:eastAsia="宋体" w:hAnsi="Times New Roman" w:cs="Times New Roman" w:hint="eastAsia"/>
          <w:bCs/>
          <w:color w:val="000000" w:themeColor="text1"/>
          <w:sz w:val="24"/>
          <w:szCs w:val="24"/>
        </w:rPr>
        <w:t>期老年人群首选</w:t>
      </w:r>
      <w:r>
        <w:rPr>
          <w:rFonts w:ascii="Times New Roman" w:eastAsia="宋体" w:hAnsi="Times New Roman" w:cs="Times New Roman"/>
          <w:bCs/>
          <w:color w:val="000000" w:themeColor="text1"/>
          <w:sz w:val="24"/>
          <w:szCs w:val="24"/>
        </w:rPr>
        <w:t>CCB</w:t>
      </w:r>
      <w:r>
        <w:rPr>
          <w:rFonts w:ascii="Times New Roman" w:eastAsia="宋体" w:hAnsi="Times New Roman" w:cs="Times New Roman" w:hint="eastAsia"/>
          <w:bCs/>
          <w:color w:val="000000" w:themeColor="text1"/>
          <w:sz w:val="24"/>
          <w:szCs w:val="24"/>
        </w:rPr>
        <w:t>。但目前尚无荟萃分析或大规模的临床试验结果显示，与使用</w:t>
      </w:r>
      <w:r>
        <w:rPr>
          <w:rFonts w:ascii="Times New Roman" w:eastAsia="宋体" w:hAnsi="Times New Roman" w:cs="Times New Roman"/>
          <w:bCs/>
          <w:color w:val="000000" w:themeColor="text1"/>
          <w:sz w:val="24"/>
          <w:szCs w:val="24"/>
        </w:rPr>
        <w:t>ACEI/ARB</w:t>
      </w:r>
      <w:r>
        <w:rPr>
          <w:rFonts w:ascii="Times New Roman" w:eastAsia="宋体" w:hAnsi="Times New Roman" w:cs="Times New Roman" w:hint="eastAsia"/>
          <w:bCs/>
          <w:color w:val="000000" w:themeColor="text1"/>
          <w:sz w:val="24"/>
          <w:szCs w:val="24"/>
        </w:rPr>
        <w:t>相比，</w:t>
      </w:r>
      <w:r>
        <w:rPr>
          <w:rFonts w:ascii="Times New Roman" w:eastAsia="宋体" w:hAnsi="Times New Roman" w:cs="Times New Roman"/>
          <w:bCs/>
          <w:color w:val="000000" w:themeColor="text1"/>
          <w:sz w:val="24"/>
          <w:szCs w:val="24"/>
        </w:rPr>
        <w:t>CCB</w:t>
      </w:r>
      <w:r>
        <w:rPr>
          <w:rFonts w:ascii="Times New Roman" w:eastAsia="宋体" w:hAnsi="Times New Roman" w:cs="Times New Roman" w:hint="eastAsia"/>
          <w:bCs/>
          <w:color w:val="000000" w:themeColor="text1"/>
          <w:sz w:val="24"/>
          <w:szCs w:val="24"/>
        </w:rPr>
        <w:t>可改善这类老年患者的临床结局</w:t>
      </w:r>
      <w:r w:rsidR="00B411DC">
        <w:rPr>
          <w:rFonts w:ascii="Times New Roman" w:eastAsia="宋体" w:hAnsi="Times New Roman" w:cs="Times New Roman"/>
          <w:bCs/>
          <w:color w:val="000000" w:themeColor="text1"/>
          <w:sz w:val="24"/>
          <w:szCs w:val="24"/>
        </w:rPr>
        <w:fldChar w:fldCharType="begin"/>
      </w:r>
      <w:r>
        <w:rPr>
          <w:rFonts w:ascii="Times New Roman" w:eastAsia="宋体" w:hAnsi="Times New Roman" w:cs="Times New Roman"/>
          <w:bCs/>
          <w:color w:val="000000" w:themeColor="text1"/>
          <w:sz w:val="24"/>
          <w:szCs w:val="24"/>
        </w:rPr>
        <w:instrText xml:space="preserve"> ADDIN NE.Ref.{47900F9F-98CA-414D-9659-FD389EAFF4EC}</w:instrText>
      </w:r>
      <w:r w:rsidR="00B411DC">
        <w:rPr>
          <w:rFonts w:ascii="Times New Roman" w:eastAsia="宋体" w:hAnsi="Times New Roman" w:cs="Times New Roman"/>
          <w:bCs/>
          <w:color w:val="000000" w:themeColor="text1"/>
          <w:sz w:val="24"/>
          <w:szCs w:val="24"/>
        </w:rPr>
        <w:fldChar w:fldCharType="separate"/>
      </w:r>
      <w:r>
        <w:rPr>
          <w:rFonts w:ascii="Times New Roman" w:eastAsia="宋体" w:hAnsi="Times New Roman" w:cs="Times New Roman"/>
          <w:color w:val="000000" w:themeColor="text1"/>
          <w:kern w:val="0"/>
          <w:sz w:val="24"/>
          <w:szCs w:val="24"/>
          <w:vertAlign w:val="superscript"/>
        </w:rPr>
        <w:t>[93]</w:t>
      </w:r>
      <w:r w:rsidR="00B411DC">
        <w:rPr>
          <w:rFonts w:ascii="Times New Roman" w:eastAsia="宋体" w:hAnsi="Times New Roman" w:cs="Times New Roman"/>
          <w:bCs/>
          <w:color w:val="000000" w:themeColor="text1"/>
          <w:sz w:val="24"/>
          <w:szCs w:val="24"/>
        </w:rPr>
        <w:fldChar w:fldCharType="end"/>
      </w:r>
      <w:r>
        <w:rPr>
          <w:rFonts w:ascii="Times New Roman" w:eastAsia="宋体" w:hAnsi="Times New Roman" w:cs="Times New Roman" w:hint="eastAsia"/>
          <w:bCs/>
          <w:color w:val="000000" w:themeColor="text1"/>
          <w:sz w:val="24"/>
          <w:szCs w:val="24"/>
        </w:rPr>
        <w:t>。</w:t>
      </w:r>
      <w:r>
        <w:rPr>
          <w:rFonts w:ascii="Times New Roman" w:eastAsia="宋体" w:hAnsi="Times New Roman" w:cs="Times New Roman"/>
          <w:bCs/>
          <w:color w:val="000000" w:themeColor="text1"/>
          <w:sz w:val="24"/>
          <w:szCs w:val="24"/>
        </w:rPr>
        <w:t>2018</w:t>
      </w:r>
      <w:r>
        <w:rPr>
          <w:rFonts w:ascii="Times New Roman" w:eastAsia="宋体" w:hAnsi="Times New Roman" w:cs="Times New Roman" w:hint="eastAsia"/>
          <w:bCs/>
          <w:color w:val="000000" w:themeColor="text1"/>
          <w:sz w:val="24"/>
          <w:szCs w:val="24"/>
        </w:rPr>
        <w:t>年</w:t>
      </w:r>
      <w:r>
        <w:rPr>
          <w:rFonts w:ascii="Times New Roman" w:eastAsia="宋体" w:hAnsi="Times New Roman" w:cs="Times New Roman"/>
          <w:bCs/>
          <w:color w:val="000000" w:themeColor="text1"/>
          <w:sz w:val="24"/>
          <w:szCs w:val="24"/>
        </w:rPr>
        <w:t>JSN</w:t>
      </w:r>
      <w:r>
        <w:rPr>
          <w:rFonts w:ascii="Times New Roman" w:eastAsia="宋体" w:hAnsi="Times New Roman" w:cs="Times New Roman" w:hint="eastAsia"/>
          <w:bCs/>
          <w:color w:val="000000" w:themeColor="text1"/>
          <w:sz w:val="24"/>
          <w:szCs w:val="24"/>
        </w:rPr>
        <w:t>指南</w:t>
      </w:r>
      <w:r w:rsidR="00B411DC">
        <w:rPr>
          <w:rFonts w:ascii="Times New Roman" w:eastAsia="宋体" w:hAnsi="Times New Roman" w:cs="Times New Roman"/>
          <w:bCs/>
          <w:color w:val="000000" w:themeColor="text1"/>
          <w:sz w:val="24"/>
          <w:szCs w:val="24"/>
        </w:rPr>
        <w:fldChar w:fldCharType="begin"/>
      </w:r>
      <w:r>
        <w:rPr>
          <w:rFonts w:ascii="Times New Roman" w:eastAsia="宋体" w:hAnsi="Times New Roman" w:cs="Times New Roman"/>
          <w:bCs/>
          <w:color w:val="000000" w:themeColor="text1"/>
          <w:sz w:val="24"/>
          <w:szCs w:val="24"/>
        </w:rPr>
        <w:instrText xml:space="preserve"> ADDIN NE.Ref.{E25EC129-B4EB-4AB7-92A9-755BF396846F}</w:instrText>
      </w:r>
      <w:r w:rsidR="00B411DC">
        <w:rPr>
          <w:rFonts w:ascii="Times New Roman" w:eastAsia="宋体" w:hAnsi="Times New Roman" w:cs="Times New Roman"/>
          <w:bCs/>
          <w:color w:val="000000" w:themeColor="text1"/>
          <w:sz w:val="24"/>
          <w:szCs w:val="24"/>
        </w:rPr>
        <w:fldChar w:fldCharType="separate"/>
      </w:r>
      <w:r>
        <w:rPr>
          <w:rFonts w:ascii="Times New Roman" w:eastAsia="宋体" w:hAnsi="Times New Roman" w:cs="Times New Roman"/>
          <w:color w:val="000000" w:themeColor="text1"/>
          <w:kern w:val="0"/>
          <w:sz w:val="24"/>
          <w:szCs w:val="24"/>
          <w:vertAlign w:val="superscript"/>
        </w:rPr>
        <w:t>[91]</w:t>
      </w:r>
      <w:r w:rsidR="00B411DC">
        <w:rPr>
          <w:rFonts w:ascii="Times New Roman" w:eastAsia="宋体" w:hAnsi="Times New Roman" w:cs="Times New Roman"/>
          <w:bCs/>
          <w:color w:val="000000" w:themeColor="text1"/>
          <w:sz w:val="24"/>
          <w:szCs w:val="24"/>
        </w:rPr>
        <w:fldChar w:fldCharType="end"/>
      </w:r>
      <w:r>
        <w:rPr>
          <w:rFonts w:ascii="Times New Roman" w:eastAsia="宋体" w:hAnsi="Times New Roman" w:cs="Times New Roman" w:hint="eastAsia"/>
          <w:bCs/>
          <w:color w:val="000000" w:themeColor="text1"/>
          <w:sz w:val="24"/>
          <w:szCs w:val="24"/>
        </w:rPr>
        <w:t>仍建议老年</w:t>
      </w:r>
      <w:r>
        <w:rPr>
          <w:rFonts w:ascii="Times New Roman" w:eastAsia="宋体" w:hAnsi="Times New Roman" w:cs="Times New Roman"/>
          <w:bCs/>
          <w:color w:val="000000" w:themeColor="text1"/>
          <w:sz w:val="24"/>
          <w:szCs w:val="24"/>
        </w:rPr>
        <w:t>CKD</w:t>
      </w:r>
      <w:r>
        <w:rPr>
          <w:rFonts w:ascii="Times New Roman" w:eastAsia="宋体" w:hAnsi="Times New Roman" w:cs="Times New Roman" w:hint="eastAsia"/>
          <w:bCs/>
          <w:color w:val="000000" w:themeColor="text1"/>
          <w:sz w:val="24"/>
          <w:szCs w:val="24"/>
        </w:rPr>
        <w:t>患者首选</w:t>
      </w:r>
      <w:r>
        <w:rPr>
          <w:rFonts w:ascii="Times New Roman" w:eastAsia="宋体" w:hAnsi="Times New Roman" w:cs="Times New Roman"/>
          <w:bCs/>
          <w:color w:val="000000" w:themeColor="text1"/>
          <w:sz w:val="24"/>
          <w:szCs w:val="24"/>
        </w:rPr>
        <w:t>CCB</w:t>
      </w:r>
      <w:r>
        <w:rPr>
          <w:rFonts w:ascii="Times New Roman" w:eastAsia="宋体" w:hAnsi="Times New Roman" w:cs="Times New Roman" w:hint="eastAsia"/>
          <w:bCs/>
          <w:color w:val="000000" w:themeColor="text1"/>
          <w:sz w:val="24"/>
          <w:szCs w:val="24"/>
        </w:rPr>
        <w:t>，主要考虑到患有严重动脉粥样硬化的老年人容易脱水和缺血，此时使用</w:t>
      </w:r>
      <w:r>
        <w:rPr>
          <w:rFonts w:ascii="Times New Roman" w:eastAsia="宋体" w:hAnsi="Times New Roman" w:cs="Times New Roman"/>
          <w:bCs/>
          <w:color w:val="000000" w:themeColor="text1"/>
          <w:sz w:val="24"/>
          <w:szCs w:val="24"/>
        </w:rPr>
        <w:t>ACEI/ARB</w:t>
      </w:r>
      <w:r>
        <w:rPr>
          <w:rFonts w:ascii="Times New Roman" w:eastAsia="宋体" w:hAnsi="Times New Roman" w:cs="Times New Roman" w:hint="eastAsia"/>
          <w:bCs/>
          <w:color w:val="000000" w:themeColor="text1"/>
          <w:sz w:val="24"/>
          <w:szCs w:val="24"/>
        </w:rPr>
        <w:t>存在导致快速肾功能不全的风险。</w:t>
      </w:r>
    </w:p>
    <w:p w:rsidR="002E5476" w:rsidRDefault="00423E71">
      <w:pPr>
        <w:pStyle w:val="10"/>
        <w:tabs>
          <w:tab w:val="left" w:pos="703"/>
        </w:tabs>
        <w:spacing w:line="360" w:lineRule="auto"/>
        <w:ind w:firstLine="480"/>
        <w:outlineLvl w:val="0"/>
        <w:rPr>
          <w:rFonts w:ascii="Times New Roman" w:eastAsia="宋体" w:hAnsi="Times New Roman" w:cs="Times New Roman"/>
          <w:bCs/>
          <w:color w:val="000000" w:themeColor="text1"/>
          <w:sz w:val="24"/>
          <w:szCs w:val="24"/>
        </w:rPr>
      </w:pPr>
      <w:r>
        <w:rPr>
          <w:rFonts w:ascii="Times New Roman" w:eastAsia="宋体" w:hAnsi="Times New Roman" w:cs="Times New Roman" w:hint="eastAsia"/>
          <w:bCs/>
          <w:color w:val="000000" w:themeColor="text1"/>
          <w:sz w:val="24"/>
          <w:szCs w:val="24"/>
        </w:rPr>
        <w:t>老年人常伴有诸多合并症，如心力衰竭、心绞痛、脑血管功能不全或周围血管疾病，可能会影响老年人的血压管理目标或降压的药物选择。合并心力衰竭或心肌病时，降压可优先使用</w:t>
      </w:r>
      <w:r>
        <w:rPr>
          <w:rFonts w:ascii="Times New Roman" w:eastAsia="宋体" w:hAnsi="Times New Roman" w:cs="Times New Roman"/>
          <w:bCs/>
          <w:color w:val="000000" w:themeColor="text1"/>
          <w:sz w:val="24"/>
          <w:szCs w:val="24"/>
        </w:rPr>
        <w:t>ACEI/ARB</w:t>
      </w:r>
      <w:r>
        <w:rPr>
          <w:rFonts w:ascii="Times New Roman" w:eastAsia="宋体" w:hAnsi="Times New Roman" w:cs="Times New Roman" w:hint="eastAsia"/>
          <w:bCs/>
          <w:color w:val="000000" w:themeColor="text1"/>
          <w:sz w:val="24"/>
          <w:szCs w:val="24"/>
        </w:rPr>
        <w:t>、β受体阻滞剂或利尿剂</w:t>
      </w:r>
      <w:r w:rsidR="00B411DC">
        <w:rPr>
          <w:rFonts w:ascii="Times New Roman" w:eastAsia="宋体" w:hAnsi="Times New Roman" w:cs="Times New Roman"/>
          <w:bCs/>
          <w:color w:val="000000" w:themeColor="text1"/>
          <w:sz w:val="24"/>
          <w:szCs w:val="24"/>
        </w:rPr>
        <w:fldChar w:fldCharType="begin"/>
      </w:r>
      <w:r>
        <w:rPr>
          <w:rFonts w:ascii="Times New Roman" w:eastAsia="宋体" w:hAnsi="Times New Roman" w:cs="Times New Roman"/>
          <w:bCs/>
          <w:color w:val="000000" w:themeColor="text1"/>
          <w:sz w:val="24"/>
          <w:szCs w:val="24"/>
        </w:rPr>
        <w:instrText xml:space="preserve"> ADDIN NE.Ref.{621A0428-258F-4A3B-A273-0F641DCFD55E}</w:instrText>
      </w:r>
      <w:r w:rsidR="00B411DC">
        <w:rPr>
          <w:rFonts w:ascii="Times New Roman" w:eastAsia="宋体" w:hAnsi="Times New Roman" w:cs="Times New Roman"/>
          <w:bCs/>
          <w:color w:val="000000" w:themeColor="text1"/>
          <w:sz w:val="24"/>
          <w:szCs w:val="24"/>
        </w:rPr>
        <w:fldChar w:fldCharType="separate"/>
      </w:r>
      <w:r>
        <w:rPr>
          <w:rFonts w:ascii="Times New Roman" w:eastAsia="宋体" w:hAnsi="Times New Roman" w:cs="Times New Roman"/>
          <w:color w:val="000000" w:themeColor="text1"/>
          <w:kern w:val="0"/>
          <w:sz w:val="24"/>
          <w:szCs w:val="24"/>
          <w:vertAlign w:val="superscript"/>
        </w:rPr>
        <w:t>[96]</w:t>
      </w:r>
      <w:r w:rsidR="00B411DC">
        <w:rPr>
          <w:rFonts w:ascii="Times New Roman" w:eastAsia="宋体" w:hAnsi="Times New Roman" w:cs="Times New Roman"/>
          <w:bCs/>
          <w:color w:val="000000" w:themeColor="text1"/>
          <w:sz w:val="24"/>
          <w:szCs w:val="24"/>
        </w:rPr>
        <w:fldChar w:fldCharType="end"/>
      </w:r>
      <w:r>
        <w:rPr>
          <w:rFonts w:ascii="Times New Roman" w:eastAsia="宋体" w:hAnsi="Times New Roman" w:cs="Times New Roman" w:hint="eastAsia"/>
          <w:bCs/>
          <w:color w:val="000000" w:themeColor="text1"/>
          <w:sz w:val="24"/>
          <w:szCs w:val="24"/>
        </w:rPr>
        <w:t>；合并心绞痛时，可优先使用β受体阻滞剂或</w:t>
      </w:r>
      <w:r>
        <w:rPr>
          <w:rFonts w:ascii="Times New Roman" w:eastAsia="宋体" w:hAnsi="Times New Roman" w:cs="Times New Roman"/>
          <w:bCs/>
          <w:color w:val="000000" w:themeColor="text1"/>
          <w:sz w:val="24"/>
          <w:szCs w:val="24"/>
        </w:rPr>
        <w:t>CCB</w:t>
      </w:r>
      <w:r>
        <w:rPr>
          <w:rFonts w:ascii="Times New Roman" w:eastAsia="宋体" w:hAnsi="Times New Roman" w:cs="Times New Roman" w:hint="eastAsia"/>
          <w:bCs/>
          <w:color w:val="000000" w:themeColor="text1"/>
          <w:sz w:val="24"/>
          <w:szCs w:val="24"/>
        </w:rPr>
        <w:t>。在老年</w:t>
      </w:r>
      <w:r>
        <w:rPr>
          <w:rFonts w:ascii="Times New Roman" w:eastAsia="宋体" w:hAnsi="Times New Roman" w:cs="Times New Roman"/>
          <w:bCs/>
          <w:color w:val="000000" w:themeColor="text1"/>
          <w:sz w:val="24"/>
          <w:szCs w:val="24"/>
        </w:rPr>
        <w:t>CKD</w:t>
      </w:r>
      <w:r>
        <w:rPr>
          <w:rFonts w:ascii="Times New Roman" w:eastAsia="宋体" w:hAnsi="Times New Roman" w:cs="Times New Roman" w:hint="eastAsia"/>
          <w:bCs/>
          <w:color w:val="000000" w:themeColor="text1"/>
          <w:sz w:val="24"/>
          <w:szCs w:val="24"/>
        </w:rPr>
        <w:t>患者中使用降压药物时，我们应特别注意监测药物的不良反应。</w:t>
      </w:r>
    </w:p>
    <w:p w:rsidR="002E5476" w:rsidRDefault="00423E71">
      <w:pPr>
        <w:pStyle w:val="10"/>
        <w:tabs>
          <w:tab w:val="left" w:pos="703"/>
        </w:tabs>
        <w:spacing w:line="360" w:lineRule="auto"/>
        <w:ind w:firstLineChars="0" w:firstLine="0"/>
        <w:outlineLvl w:val="0"/>
        <w:rPr>
          <w:rFonts w:ascii="Times New Roman" w:eastAsia="宋体" w:hAnsi="Times New Roman" w:cs="Times New Roman"/>
          <w:b/>
          <w:color w:val="000000" w:themeColor="text1"/>
          <w:sz w:val="24"/>
          <w:szCs w:val="24"/>
        </w:rPr>
      </w:pPr>
      <w:bookmarkStart w:id="33" w:name="_Toc799461618_WPSOffice_Level2"/>
      <w:r>
        <w:rPr>
          <w:rFonts w:ascii="Times New Roman" w:eastAsia="宋体" w:hAnsi="Times New Roman" w:cs="Times New Roman"/>
          <w:b/>
          <w:color w:val="000000" w:themeColor="text1"/>
          <w:sz w:val="24"/>
          <w:szCs w:val="24"/>
        </w:rPr>
        <w:t xml:space="preserve">4.4 </w:t>
      </w:r>
      <w:r>
        <w:rPr>
          <w:rFonts w:ascii="Times New Roman" w:eastAsia="宋体" w:hAnsi="Times New Roman" w:cs="Times New Roman" w:hint="eastAsia"/>
          <w:b/>
          <w:color w:val="000000" w:themeColor="text1"/>
          <w:sz w:val="24"/>
          <w:szCs w:val="24"/>
        </w:rPr>
        <w:t>妊娠</w:t>
      </w:r>
      <w:bookmarkEnd w:id="33"/>
      <w:r>
        <w:rPr>
          <w:rFonts w:ascii="Times New Roman" w:eastAsia="宋体" w:hAnsi="Times New Roman" w:cs="Times New Roman" w:hint="eastAsia"/>
          <w:b/>
          <w:color w:val="000000" w:themeColor="text1"/>
          <w:sz w:val="24"/>
          <w:szCs w:val="24"/>
        </w:rPr>
        <w:t>期高血压</w:t>
      </w:r>
    </w:p>
    <w:p w:rsidR="002E5476" w:rsidRDefault="00423E71">
      <w:pPr>
        <w:pStyle w:val="10"/>
        <w:tabs>
          <w:tab w:val="left" w:pos="703"/>
        </w:tabs>
        <w:spacing w:line="360" w:lineRule="auto"/>
        <w:ind w:firstLineChars="0" w:firstLine="422"/>
        <w:outlineLvl w:val="0"/>
        <w:rPr>
          <w:rFonts w:ascii="Times New Roman" w:eastAsia="宋体" w:hAnsi="Times New Roman" w:cs="Times New Roman"/>
          <w:bCs/>
          <w:color w:val="000000" w:themeColor="text1"/>
          <w:sz w:val="24"/>
          <w:szCs w:val="24"/>
        </w:rPr>
      </w:pPr>
      <w:r>
        <w:rPr>
          <w:rFonts w:ascii="Times New Roman" w:eastAsia="宋体" w:hAnsi="Times New Roman" w:cs="Times New Roman" w:hint="eastAsia"/>
          <w:bCs/>
          <w:color w:val="000000" w:themeColor="text1"/>
          <w:sz w:val="24"/>
          <w:szCs w:val="24"/>
        </w:rPr>
        <w:t>我国中华医学会妇产科学分会《妊娠期高血压疾病诊治指南（</w:t>
      </w:r>
      <w:r>
        <w:rPr>
          <w:rFonts w:ascii="Times New Roman" w:eastAsia="宋体" w:hAnsi="Times New Roman" w:cs="Times New Roman"/>
          <w:bCs/>
          <w:color w:val="000000" w:themeColor="text1"/>
          <w:sz w:val="24"/>
          <w:szCs w:val="24"/>
        </w:rPr>
        <w:t>2020</w:t>
      </w:r>
      <w:r>
        <w:rPr>
          <w:rFonts w:ascii="Times New Roman" w:eastAsia="宋体" w:hAnsi="Times New Roman" w:cs="Times New Roman" w:hint="eastAsia"/>
          <w:bCs/>
          <w:color w:val="000000" w:themeColor="text1"/>
          <w:sz w:val="24"/>
          <w:szCs w:val="24"/>
        </w:rPr>
        <w:t>）》</w:t>
      </w:r>
      <w:r>
        <w:rPr>
          <w:rFonts w:ascii="Times New Roman" w:eastAsia="宋体" w:hAnsi="Times New Roman" w:cs="Times New Roman"/>
          <w:bCs/>
          <w:color w:val="000000" w:themeColor="text1"/>
          <w:sz w:val="24"/>
          <w:szCs w:val="24"/>
          <w:vertAlign w:val="superscript"/>
        </w:rPr>
        <w:t>[95]</w:t>
      </w:r>
      <w:r>
        <w:rPr>
          <w:rFonts w:ascii="Times New Roman" w:eastAsia="宋体" w:hAnsi="Times New Roman" w:cs="Times New Roman" w:hint="eastAsia"/>
          <w:bCs/>
          <w:color w:val="000000" w:themeColor="text1"/>
          <w:sz w:val="24"/>
          <w:szCs w:val="24"/>
        </w:rPr>
        <w:t>推荐，对于妊娠高血压患者，建议血压≥</w:t>
      </w:r>
      <w:r>
        <w:rPr>
          <w:rFonts w:ascii="Times New Roman" w:eastAsia="宋体" w:hAnsi="Times New Roman" w:cs="Times New Roman"/>
          <w:bCs/>
          <w:color w:val="000000" w:themeColor="text1"/>
          <w:sz w:val="24"/>
          <w:szCs w:val="24"/>
        </w:rPr>
        <w:t>150/100 mmHg</w:t>
      </w:r>
      <w:r>
        <w:rPr>
          <w:rFonts w:ascii="Times New Roman" w:eastAsia="宋体" w:hAnsi="Times New Roman" w:cs="Times New Roman" w:hint="eastAsia"/>
          <w:bCs/>
          <w:color w:val="000000" w:themeColor="text1"/>
          <w:sz w:val="24"/>
          <w:szCs w:val="24"/>
        </w:rPr>
        <w:t>时启动药物治疗</w:t>
      </w:r>
      <w:r w:rsidR="00B411DC">
        <w:rPr>
          <w:rFonts w:ascii="Times New Roman" w:eastAsia="宋体" w:hAnsi="Times New Roman" w:cs="Times New Roman"/>
          <w:bCs/>
          <w:color w:val="000000" w:themeColor="text1"/>
          <w:sz w:val="24"/>
          <w:szCs w:val="24"/>
        </w:rPr>
        <w:fldChar w:fldCharType="begin"/>
      </w:r>
      <w:r>
        <w:rPr>
          <w:rFonts w:ascii="Times New Roman" w:eastAsia="宋体" w:hAnsi="Times New Roman" w:cs="Times New Roman"/>
          <w:bCs/>
          <w:color w:val="000000" w:themeColor="text1"/>
          <w:sz w:val="24"/>
          <w:szCs w:val="24"/>
        </w:rPr>
        <w:instrText xml:space="preserve"> ADDIN NE.Ref.{84E45153-7D2C-4650-BD2F-C33283371C87}</w:instrText>
      </w:r>
      <w:r w:rsidR="00B411DC">
        <w:rPr>
          <w:rFonts w:ascii="Times New Roman" w:eastAsia="宋体" w:hAnsi="Times New Roman" w:cs="Times New Roman"/>
          <w:bCs/>
          <w:color w:val="000000" w:themeColor="text1"/>
          <w:sz w:val="24"/>
          <w:szCs w:val="24"/>
        </w:rPr>
        <w:fldChar w:fldCharType="end"/>
      </w:r>
      <w:r>
        <w:rPr>
          <w:rFonts w:ascii="Times New Roman" w:eastAsia="宋体" w:hAnsi="Times New Roman" w:cs="Times New Roman" w:hint="eastAsia"/>
          <w:bCs/>
          <w:color w:val="000000" w:themeColor="text1"/>
          <w:sz w:val="24"/>
          <w:szCs w:val="24"/>
        </w:rPr>
        <w:t>。也有相关研究表明如无蛋白尿及其他靶器官损伤存在，也可考虑≥</w:t>
      </w:r>
      <w:r>
        <w:rPr>
          <w:rFonts w:ascii="Times New Roman" w:eastAsia="宋体" w:hAnsi="Times New Roman" w:cs="Times New Roman"/>
          <w:bCs/>
          <w:color w:val="000000" w:themeColor="text1"/>
          <w:sz w:val="24"/>
          <w:szCs w:val="24"/>
        </w:rPr>
        <w:t>160/110 mmHg</w:t>
      </w:r>
      <w:r>
        <w:rPr>
          <w:rFonts w:ascii="Times New Roman" w:eastAsia="宋体" w:hAnsi="Times New Roman" w:cs="Times New Roman" w:hint="eastAsia"/>
          <w:bCs/>
          <w:color w:val="000000" w:themeColor="text1"/>
          <w:sz w:val="24"/>
          <w:szCs w:val="24"/>
        </w:rPr>
        <w:t>时启动药物治疗</w:t>
      </w:r>
      <w:r w:rsidR="00B411DC">
        <w:rPr>
          <w:rFonts w:ascii="Times New Roman" w:eastAsia="宋体" w:hAnsi="Times New Roman" w:cs="Times New Roman"/>
          <w:bCs/>
          <w:color w:val="000000" w:themeColor="text1"/>
          <w:sz w:val="24"/>
          <w:szCs w:val="24"/>
        </w:rPr>
        <w:fldChar w:fldCharType="begin"/>
      </w:r>
      <w:r>
        <w:rPr>
          <w:rFonts w:ascii="Times New Roman" w:eastAsia="宋体" w:hAnsi="Times New Roman" w:cs="Times New Roman"/>
          <w:bCs/>
          <w:color w:val="000000" w:themeColor="text1"/>
          <w:sz w:val="24"/>
          <w:szCs w:val="24"/>
        </w:rPr>
        <w:instrText xml:space="preserve"> ADDIN NE.Ref.{EE6DD62D-A9D4-4DE8-989C-09827DFF3F3F}</w:instrText>
      </w:r>
      <w:r w:rsidR="00B411DC">
        <w:rPr>
          <w:rFonts w:ascii="Times New Roman" w:eastAsia="宋体" w:hAnsi="Times New Roman" w:cs="Times New Roman"/>
          <w:bCs/>
          <w:color w:val="000000" w:themeColor="text1"/>
          <w:sz w:val="24"/>
          <w:szCs w:val="24"/>
        </w:rPr>
        <w:fldChar w:fldCharType="separate"/>
      </w:r>
      <w:r>
        <w:rPr>
          <w:rFonts w:ascii="Times New Roman" w:eastAsia="宋体" w:hAnsi="Times New Roman" w:cs="Times New Roman"/>
          <w:color w:val="000000" w:themeColor="text1"/>
          <w:kern w:val="0"/>
          <w:sz w:val="24"/>
          <w:szCs w:val="24"/>
          <w:vertAlign w:val="superscript"/>
        </w:rPr>
        <w:t>[96-97]</w:t>
      </w:r>
      <w:r w:rsidR="00B411DC">
        <w:rPr>
          <w:rFonts w:ascii="Times New Roman" w:eastAsia="宋体" w:hAnsi="Times New Roman" w:cs="Times New Roman"/>
          <w:bCs/>
          <w:color w:val="000000" w:themeColor="text1"/>
          <w:sz w:val="24"/>
          <w:szCs w:val="24"/>
        </w:rPr>
        <w:fldChar w:fldCharType="end"/>
      </w:r>
      <w:r>
        <w:rPr>
          <w:rFonts w:ascii="Times New Roman" w:eastAsia="宋体" w:hAnsi="Times New Roman" w:cs="Times New Roman" w:hint="eastAsia"/>
          <w:bCs/>
          <w:color w:val="000000" w:themeColor="text1"/>
          <w:sz w:val="24"/>
          <w:szCs w:val="24"/>
        </w:rPr>
        <w:t>。如果血压持续＞</w:t>
      </w:r>
      <w:r>
        <w:rPr>
          <w:rFonts w:ascii="Times New Roman" w:eastAsia="宋体" w:hAnsi="Times New Roman" w:cs="Times New Roman"/>
          <w:bCs/>
          <w:color w:val="000000" w:themeColor="text1"/>
          <w:sz w:val="24"/>
          <w:szCs w:val="24"/>
        </w:rPr>
        <w:t>140/90 mmHg</w:t>
      </w:r>
      <w:r>
        <w:rPr>
          <w:rFonts w:ascii="Times New Roman" w:eastAsia="宋体" w:hAnsi="Times New Roman" w:cs="Times New Roman" w:hint="eastAsia"/>
          <w:bCs/>
          <w:color w:val="000000" w:themeColor="text1"/>
          <w:sz w:val="24"/>
          <w:szCs w:val="24"/>
        </w:rPr>
        <w:t>的妊娠期高血压、既往高血压合并妊娠期高血压、妊娠期间任何时候伴有亚临床的高血压介导的靶器官损害时也应立即启动药物治疗治疗，目标为：当孕妇未并发靶器官功能损伤，酌情将收缩压控制在</w:t>
      </w:r>
      <w:r>
        <w:rPr>
          <w:rFonts w:ascii="Times New Roman" w:eastAsia="宋体" w:hAnsi="Times New Roman" w:cs="Times New Roman"/>
          <w:bCs/>
          <w:color w:val="000000" w:themeColor="text1"/>
          <w:sz w:val="24"/>
          <w:szCs w:val="24"/>
        </w:rPr>
        <w:t xml:space="preserve"> 130~155 mmHg</w:t>
      </w:r>
      <w:r>
        <w:rPr>
          <w:rFonts w:ascii="Times New Roman" w:eastAsia="宋体" w:hAnsi="Times New Roman" w:cs="Times New Roman" w:hint="eastAsia"/>
          <w:bCs/>
          <w:color w:val="000000" w:themeColor="text1"/>
          <w:sz w:val="24"/>
          <w:szCs w:val="24"/>
        </w:rPr>
        <w:t>，舒张压控制在</w:t>
      </w:r>
      <w:r>
        <w:rPr>
          <w:rFonts w:ascii="Times New Roman" w:eastAsia="宋体" w:hAnsi="Times New Roman" w:cs="Times New Roman"/>
          <w:bCs/>
          <w:color w:val="000000" w:themeColor="text1"/>
          <w:sz w:val="24"/>
          <w:szCs w:val="24"/>
        </w:rPr>
        <w:t>80~105 mmHg</w:t>
      </w:r>
      <w:r>
        <w:rPr>
          <w:rFonts w:ascii="Times New Roman" w:eastAsia="宋体" w:hAnsi="Times New Roman" w:cs="Times New Roman" w:hint="eastAsia"/>
          <w:bCs/>
          <w:color w:val="000000" w:themeColor="text1"/>
          <w:sz w:val="24"/>
          <w:szCs w:val="24"/>
        </w:rPr>
        <w:t>；孕妇并发靶器官功能损伤，则收缩压应控制在</w:t>
      </w:r>
      <w:r>
        <w:rPr>
          <w:rFonts w:ascii="Times New Roman" w:eastAsia="宋体" w:hAnsi="Times New Roman" w:cs="Times New Roman"/>
          <w:bCs/>
          <w:color w:val="000000" w:themeColor="text1"/>
          <w:sz w:val="24"/>
          <w:szCs w:val="24"/>
        </w:rPr>
        <w:t>130~139 mmHg</w:t>
      </w:r>
      <w:r>
        <w:rPr>
          <w:rFonts w:ascii="Times New Roman" w:eastAsia="宋体" w:hAnsi="Times New Roman" w:cs="Times New Roman" w:hint="eastAsia"/>
          <w:bCs/>
          <w:color w:val="000000" w:themeColor="text1"/>
          <w:sz w:val="24"/>
          <w:szCs w:val="24"/>
        </w:rPr>
        <w:t>，舒张压应控制在</w:t>
      </w:r>
      <w:r>
        <w:rPr>
          <w:rFonts w:ascii="Times New Roman" w:eastAsia="宋体" w:hAnsi="Times New Roman" w:cs="Times New Roman"/>
          <w:bCs/>
          <w:color w:val="000000" w:themeColor="text1"/>
          <w:sz w:val="24"/>
          <w:szCs w:val="24"/>
        </w:rPr>
        <w:t xml:space="preserve"> 80~89 mmHg</w:t>
      </w:r>
      <w:r>
        <w:rPr>
          <w:rFonts w:ascii="Times New Roman" w:eastAsia="宋体" w:hAnsi="Times New Roman" w:cs="Times New Roman" w:hint="eastAsia"/>
          <w:bCs/>
          <w:color w:val="000000" w:themeColor="text1"/>
          <w:sz w:val="24"/>
          <w:szCs w:val="24"/>
        </w:rPr>
        <w:t>；但血压不应低于</w:t>
      </w:r>
      <w:r>
        <w:rPr>
          <w:rFonts w:ascii="Times New Roman" w:eastAsia="宋体" w:hAnsi="Times New Roman" w:cs="Times New Roman"/>
          <w:bCs/>
          <w:color w:val="000000" w:themeColor="text1"/>
          <w:sz w:val="24"/>
          <w:szCs w:val="24"/>
        </w:rPr>
        <w:t>130/80 mmHg</w:t>
      </w:r>
      <w:r>
        <w:rPr>
          <w:rFonts w:ascii="Times New Roman" w:eastAsia="宋体" w:hAnsi="Times New Roman" w:cs="Times New Roman" w:hint="eastAsia"/>
          <w:bCs/>
          <w:color w:val="000000" w:themeColor="text1"/>
          <w:sz w:val="24"/>
          <w:szCs w:val="24"/>
        </w:rPr>
        <w:t>，以避免影响胎盘血流灌注</w:t>
      </w:r>
      <w:r w:rsidR="00B411DC">
        <w:rPr>
          <w:rFonts w:ascii="Times New Roman" w:eastAsia="宋体" w:hAnsi="Times New Roman" w:cs="Times New Roman"/>
          <w:bCs/>
          <w:color w:val="000000" w:themeColor="text1"/>
          <w:sz w:val="24"/>
          <w:szCs w:val="24"/>
        </w:rPr>
        <w:fldChar w:fldCharType="begin"/>
      </w:r>
      <w:r>
        <w:rPr>
          <w:rFonts w:ascii="Times New Roman" w:eastAsia="宋体" w:hAnsi="Times New Roman" w:cs="Times New Roman"/>
          <w:bCs/>
          <w:color w:val="000000" w:themeColor="text1"/>
          <w:sz w:val="24"/>
          <w:szCs w:val="24"/>
        </w:rPr>
        <w:instrText xml:space="preserve"> ADDIN NE.Ref.{372802B3-86F3-4914-9328-0579AFCABAAA}</w:instrText>
      </w:r>
      <w:r w:rsidR="00B411DC">
        <w:rPr>
          <w:rFonts w:ascii="Times New Roman" w:eastAsia="宋体" w:hAnsi="Times New Roman" w:cs="Times New Roman"/>
          <w:bCs/>
          <w:color w:val="000000" w:themeColor="text1"/>
          <w:sz w:val="24"/>
          <w:szCs w:val="24"/>
        </w:rPr>
        <w:fldChar w:fldCharType="separate"/>
      </w:r>
      <w:r>
        <w:rPr>
          <w:rFonts w:ascii="Times New Roman" w:eastAsia="宋体" w:hAnsi="Times New Roman" w:cs="Times New Roman"/>
          <w:color w:val="000000" w:themeColor="text1"/>
          <w:kern w:val="0"/>
          <w:sz w:val="24"/>
          <w:szCs w:val="24"/>
          <w:vertAlign w:val="superscript"/>
        </w:rPr>
        <w:t>[98]</w:t>
      </w:r>
      <w:r w:rsidR="00B411DC">
        <w:rPr>
          <w:rFonts w:ascii="Times New Roman" w:eastAsia="宋体" w:hAnsi="Times New Roman" w:cs="Times New Roman"/>
          <w:bCs/>
          <w:color w:val="000000" w:themeColor="text1"/>
          <w:sz w:val="24"/>
          <w:szCs w:val="24"/>
        </w:rPr>
        <w:fldChar w:fldCharType="end"/>
      </w:r>
      <w:r>
        <w:rPr>
          <w:rFonts w:ascii="Times New Roman" w:eastAsia="宋体" w:hAnsi="Times New Roman" w:cs="Times New Roman" w:hint="eastAsia"/>
          <w:bCs/>
          <w:color w:val="000000" w:themeColor="text1"/>
          <w:sz w:val="24"/>
          <w:szCs w:val="24"/>
        </w:rPr>
        <w:t>。不建议患者在血压≥</w:t>
      </w:r>
      <w:r>
        <w:rPr>
          <w:rFonts w:ascii="Times New Roman" w:eastAsia="宋体" w:hAnsi="Times New Roman" w:cs="Times New Roman"/>
          <w:bCs/>
          <w:color w:val="000000" w:themeColor="text1"/>
          <w:sz w:val="24"/>
          <w:szCs w:val="24"/>
        </w:rPr>
        <w:t>160/110 mmHg</w:t>
      </w:r>
      <w:r>
        <w:rPr>
          <w:rFonts w:ascii="Times New Roman" w:eastAsia="宋体" w:hAnsi="Times New Roman" w:cs="Times New Roman" w:hint="eastAsia"/>
          <w:bCs/>
          <w:color w:val="000000" w:themeColor="text1"/>
          <w:sz w:val="24"/>
          <w:szCs w:val="24"/>
        </w:rPr>
        <w:t>的情况下受孕</w:t>
      </w:r>
      <w:r w:rsidR="00B411DC">
        <w:rPr>
          <w:rFonts w:ascii="Times New Roman" w:eastAsia="宋体" w:hAnsi="Times New Roman" w:cs="Times New Roman"/>
          <w:bCs/>
          <w:color w:val="000000" w:themeColor="text1"/>
          <w:sz w:val="24"/>
          <w:szCs w:val="24"/>
        </w:rPr>
        <w:fldChar w:fldCharType="begin"/>
      </w:r>
      <w:r>
        <w:rPr>
          <w:rFonts w:ascii="Times New Roman" w:eastAsia="宋体" w:hAnsi="Times New Roman" w:cs="Times New Roman"/>
          <w:bCs/>
          <w:color w:val="000000" w:themeColor="text1"/>
          <w:sz w:val="24"/>
          <w:szCs w:val="24"/>
        </w:rPr>
        <w:instrText xml:space="preserve"> ADDIN NE.Ref.{7559441D-6667-464D-952C-D3F971F83E8E}</w:instrText>
      </w:r>
      <w:r w:rsidR="00B411DC">
        <w:rPr>
          <w:rFonts w:ascii="Times New Roman" w:eastAsia="宋体" w:hAnsi="Times New Roman" w:cs="Times New Roman"/>
          <w:bCs/>
          <w:color w:val="000000" w:themeColor="text1"/>
          <w:sz w:val="24"/>
          <w:szCs w:val="24"/>
        </w:rPr>
        <w:fldChar w:fldCharType="separate"/>
      </w:r>
      <w:r>
        <w:rPr>
          <w:rFonts w:ascii="Times New Roman" w:eastAsia="宋体" w:hAnsi="Times New Roman" w:cs="Times New Roman"/>
          <w:color w:val="000000" w:themeColor="text1"/>
          <w:kern w:val="0"/>
          <w:sz w:val="24"/>
          <w:szCs w:val="24"/>
          <w:vertAlign w:val="superscript"/>
        </w:rPr>
        <w:t>[12]</w:t>
      </w:r>
      <w:r w:rsidR="00B411DC">
        <w:rPr>
          <w:rFonts w:ascii="Times New Roman" w:eastAsia="宋体" w:hAnsi="Times New Roman" w:cs="Times New Roman"/>
          <w:bCs/>
          <w:color w:val="000000" w:themeColor="text1"/>
          <w:sz w:val="24"/>
          <w:szCs w:val="24"/>
        </w:rPr>
        <w:fldChar w:fldCharType="end"/>
      </w:r>
      <w:r>
        <w:rPr>
          <w:rFonts w:ascii="Times New Roman" w:eastAsia="宋体" w:hAnsi="Times New Roman" w:cs="Times New Roman" w:hint="eastAsia"/>
          <w:bCs/>
          <w:color w:val="000000" w:themeColor="text1"/>
          <w:sz w:val="24"/>
          <w:szCs w:val="24"/>
        </w:rPr>
        <w:t>。慢性高血压患者妊娠前的治疗措施以改善生活方式和非药物干预为主，部分患者需要松弛情绪，推荐摄盐量控制于</w:t>
      </w:r>
      <w:r>
        <w:rPr>
          <w:rFonts w:ascii="Times New Roman" w:eastAsia="宋体" w:hAnsi="Times New Roman" w:cs="Times New Roman"/>
          <w:bCs/>
          <w:color w:val="000000" w:themeColor="text1"/>
          <w:sz w:val="24"/>
          <w:szCs w:val="24"/>
        </w:rPr>
        <w:t xml:space="preserve"> 6 g/d</w:t>
      </w:r>
      <w:r>
        <w:rPr>
          <w:rFonts w:ascii="Times New Roman" w:eastAsia="宋体" w:hAnsi="Times New Roman" w:cs="Times New Roman" w:hint="eastAsia"/>
          <w:bCs/>
          <w:color w:val="000000" w:themeColor="text1"/>
          <w:sz w:val="24"/>
          <w:szCs w:val="24"/>
        </w:rPr>
        <w:t>，但不应过度限盐，以免导致低血容量，影响胎盘循环</w:t>
      </w:r>
      <w:r w:rsidR="00B411DC">
        <w:rPr>
          <w:rFonts w:ascii="Times New Roman" w:eastAsia="宋体" w:hAnsi="Times New Roman" w:cs="Times New Roman"/>
          <w:bCs/>
          <w:color w:val="000000" w:themeColor="text1"/>
          <w:sz w:val="24"/>
          <w:szCs w:val="24"/>
        </w:rPr>
        <w:fldChar w:fldCharType="begin"/>
      </w:r>
      <w:r>
        <w:rPr>
          <w:rFonts w:ascii="Times New Roman" w:eastAsia="宋体" w:hAnsi="Times New Roman" w:cs="Times New Roman"/>
          <w:bCs/>
          <w:color w:val="000000" w:themeColor="text1"/>
          <w:sz w:val="24"/>
          <w:szCs w:val="24"/>
        </w:rPr>
        <w:instrText xml:space="preserve"> ADDIN NE.Ref.{261C06AF-03E2-4B07-9C46-4F4DD409B5CA}</w:instrText>
      </w:r>
      <w:r w:rsidR="00B411DC">
        <w:rPr>
          <w:rFonts w:ascii="Times New Roman" w:eastAsia="宋体" w:hAnsi="Times New Roman" w:cs="Times New Roman"/>
          <w:bCs/>
          <w:color w:val="000000" w:themeColor="text1"/>
          <w:sz w:val="24"/>
          <w:szCs w:val="24"/>
        </w:rPr>
        <w:fldChar w:fldCharType="end"/>
      </w:r>
      <w:r>
        <w:rPr>
          <w:rFonts w:ascii="Times New Roman" w:eastAsia="宋体" w:hAnsi="Times New Roman" w:cs="Times New Roman" w:hint="eastAsia"/>
          <w:bCs/>
          <w:color w:val="000000" w:themeColor="text1"/>
          <w:sz w:val="24"/>
          <w:szCs w:val="24"/>
        </w:rPr>
        <w:t>。</w:t>
      </w:r>
    </w:p>
    <w:p w:rsidR="002E5476" w:rsidRDefault="00423E71">
      <w:pPr>
        <w:pStyle w:val="10"/>
        <w:tabs>
          <w:tab w:val="left" w:pos="703"/>
        </w:tabs>
        <w:spacing w:line="360" w:lineRule="auto"/>
        <w:ind w:firstLineChars="0"/>
        <w:outlineLvl w:val="0"/>
        <w:rPr>
          <w:rFonts w:ascii="Times New Roman" w:eastAsia="宋体" w:hAnsi="Times New Roman" w:cs="Times New Roman"/>
          <w:b/>
          <w:bCs/>
          <w:color w:val="000000" w:themeColor="text1"/>
          <w:sz w:val="24"/>
          <w:szCs w:val="24"/>
        </w:rPr>
      </w:pPr>
      <w:r>
        <w:rPr>
          <w:rFonts w:ascii="Times New Roman" w:eastAsia="宋体" w:hAnsi="Times New Roman" w:cs="Times New Roman" w:hint="eastAsia"/>
          <w:bCs/>
          <w:color w:val="000000" w:themeColor="text1"/>
          <w:sz w:val="24"/>
          <w:szCs w:val="24"/>
        </w:rPr>
        <w:t>妊娠期高血压的药物治疗：首选的口服药物有甲基多巴、拉贝洛尔和硝苯地平，必要时可考虑小剂量噻嗪类利尿剂。因</w:t>
      </w:r>
      <w:r>
        <w:rPr>
          <w:rFonts w:ascii="Times New Roman" w:eastAsia="宋体" w:hAnsi="Times New Roman" w:cs="Times New Roman"/>
          <w:bCs/>
          <w:color w:val="000000" w:themeColor="text1"/>
          <w:sz w:val="24"/>
          <w:szCs w:val="24"/>
        </w:rPr>
        <w:t>ACEI /ARB</w:t>
      </w:r>
      <w:r>
        <w:rPr>
          <w:rFonts w:ascii="Times New Roman" w:eastAsia="宋体" w:hAnsi="Times New Roman" w:cs="Times New Roman" w:hint="eastAsia"/>
          <w:bCs/>
          <w:color w:val="000000" w:themeColor="text1"/>
          <w:sz w:val="24"/>
          <w:szCs w:val="24"/>
        </w:rPr>
        <w:t>类药物对胎儿和新生儿有不良影响，因此妊娠期间禁用</w:t>
      </w:r>
      <w:r>
        <w:rPr>
          <w:rFonts w:ascii="Times New Roman" w:eastAsia="宋体" w:hAnsi="Times New Roman" w:cs="Times New Roman"/>
          <w:bCs/>
          <w:color w:val="000000" w:themeColor="text1"/>
          <w:sz w:val="24"/>
          <w:szCs w:val="24"/>
        </w:rPr>
        <w:t>ACEI /ARB</w:t>
      </w:r>
      <w:r w:rsidR="00B411DC">
        <w:rPr>
          <w:rFonts w:ascii="Times New Roman" w:eastAsia="宋体" w:hAnsi="Times New Roman" w:cs="Times New Roman"/>
          <w:bCs/>
          <w:color w:val="000000" w:themeColor="text1"/>
          <w:sz w:val="24"/>
          <w:szCs w:val="24"/>
        </w:rPr>
        <w:fldChar w:fldCharType="begin"/>
      </w:r>
      <w:r>
        <w:rPr>
          <w:rFonts w:ascii="Times New Roman" w:eastAsia="宋体" w:hAnsi="Times New Roman" w:cs="Times New Roman"/>
          <w:bCs/>
          <w:color w:val="000000" w:themeColor="text1"/>
          <w:sz w:val="24"/>
          <w:szCs w:val="24"/>
        </w:rPr>
        <w:instrText xml:space="preserve"> ADDIN NE.Ref.{A7D93849-874A-4911-9EB6-8968CDEC5316}</w:instrText>
      </w:r>
      <w:r w:rsidR="00B411DC">
        <w:rPr>
          <w:rFonts w:ascii="Times New Roman" w:eastAsia="宋体" w:hAnsi="Times New Roman" w:cs="Times New Roman"/>
          <w:bCs/>
          <w:color w:val="000000" w:themeColor="text1"/>
          <w:sz w:val="24"/>
          <w:szCs w:val="24"/>
        </w:rPr>
        <w:fldChar w:fldCharType="separate"/>
      </w:r>
      <w:r>
        <w:rPr>
          <w:rFonts w:ascii="Times New Roman" w:eastAsia="宋体" w:hAnsi="Times New Roman" w:cs="Times New Roman"/>
          <w:color w:val="000000" w:themeColor="text1"/>
          <w:kern w:val="0"/>
          <w:sz w:val="24"/>
          <w:szCs w:val="24"/>
          <w:vertAlign w:val="superscript"/>
        </w:rPr>
        <w:t>[99]</w:t>
      </w:r>
      <w:r w:rsidR="00B411DC">
        <w:rPr>
          <w:rFonts w:ascii="Times New Roman" w:eastAsia="宋体" w:hAnsi="Times New Roman" w:cs="Times New Roman"/>
          <w:bCs/>
          <w:color w:val="000000" w:themeColor="text1"/>
          <w:sz w:val="24"/>
          <w:szCs w:val="24"/>
        </w:rPr>
        <w:fldChar w:fldCharType="end"/>
      </w:r>
      <w:r>
        <w:rPr>
          <w:rFonts w:ascii="Times New Roman" w:eastAsia="宋体" w:hAnsi="Times New Roman" w:cs="Times New Roman" w:hint="eastAsia"/>
          <w:bCs/>
          <w:color w:val="000000" w:themeColor="text1"/>
          <w:sz w:val="24"/>
          <w:szCs w:val="24"/>
        </w:rPr>
        <w:t>；有妊娠计划的慢性高血压患者，也应停用上述药物；产后哺乳期可继续应用产前使用的降压药物，但禁用</w:t>
      </w:r>
      <w:r>
        <w:rPr>
          <w:rFonts w:ascii="Times New Roman" w:eastAsia="宋体" w:hAnsi="Times New Roman" w:cs="Times New Roman"/>
          <w:bCs/>
          <w:color w:val="000000" w:themeColor="text1"/>
          <w:sz w:val="24"/>
          <w:szCs w:val="24"/>
        </w:rPr>
        <w:t>ACEI/ARB</w:t>
      </w:r>
      <w:r>
        <w:rPr>
          <w:rFonts w:ascii="Times New Roman" w:eastAsia="宋体" w:hAnsi="Times New Roman" w:cs="Times New Roman" w:hint="eastAsia"/>
          <w:bCs/>
          <w:color w:val="000000" w:themeColor="text1"/>
          <w:sz w:val="24"/>
          <w:szCs w:val="24"/>
        </w:rPr>
        <w:t>类降压药物（卡托普利、依那普利除外）</w:t>
      </w:r>
      <w:r w:rsidR="00B411DC">
        <w:rPr>
          <w:rFonts w:ascii="Times New Roman" w:eastAsia="宋体" w:hAnsi="Times New Roman" w:cs="Times New Roman"/>
          <w:bCs/>
          <w:color w:val="000000" w:themeColor="text1"/>
          <w:sz w:val="24"/>
          <w:szCs w:val="24"/>
        </w:rPr>
        <w:fldChar w:fldCharType="begin"/>
      </w:r>
      <w:r>
        <w:rPr>
          <w:rFonts w:ascii="Times New Roman" w:eastAsia="宋体" w:hAnsi="Times New Roman" w:cs="Times New Roman"/>
          <w:bCs/>
          <w:color w:val="000000" w:themeColor="text1"/>
          <w:sz w:val="24"/>
          <w:szCs w:val="24"/>
        </w:rPr>
        <w:instrText xml:space="preserve"> ADDIN NE.Ref.{F9029D81-B779-4F40-825F-80B0923574C5}</w:instrText>
      </w:r>
      <w:r w:rsidR="00B411DC">
        <w:rPr>
          <w:rFonts w:ascii="Times New Roman" w:eastAsia="宋体" w:hAnsi="Times New Roman" w:cs="Times New Roman"/>
          <w:bCs/>
          <w:color w:val="000000" w:themeColor="text1"/>
          <w:sz w:val="24"/>
          <w:szCs w:val="24"/>
        </w:rPr>
        <w:fldChar w:fldCharType="separate"/>
      </w:r>
      <w:r>
        <w:rPr>
          <w:rFonts w:ascii="Times New Roman" w:eastAsia="宋体" w:hAnsi="Times New Roman" w:cs="Times New Roman"/>
          <w:color w:val="000000" w:themeColor="text1"/>
          <w:kern w:val="0"/>
          <w:sz w:val="24"/>
          <w:szCs w:val="24"/>
          <w:vertAlign w:val="superscript"/>
        </w:rPr>
        <w:t>[98]</w:t>
      </w:r>
      <w:r w:rsidR="00B411DC">
        <w:rPr>
          <w:rFonts w:ascii="Times New Roman" w:eastAsia="宋体" w:hAnsi="Times New Roman" w:cs="Times New Roman"/>
          <w:bCs/>
          <w:color w:val="000000" w:themeColor="text1"/>
          <w:sz w:val="24"/>
          <w:szCs w:val="24"/>
        </w:rPr>
        <w:fldChar w:fldCharType="end"/>
      </w:r>
      <w:r>
        <w:rPr>
          <w:rFonts w:ascii="Times New Roman" w:eastAsia="宋体" w:hAnsi="Times New Roman" w:cs="Times New Roman" w:hint="eastAsia"/>
          <w:bCs/>
          <w:color w:val="000000" w:themeColor="text1"/>
          <w:sz w:val="24"/>
          <w:szCs w:val="24"/>
        </w:rPr>
        <w:t>。</w:t>
      </w:r>
    </w:p>
    <w:p w:rsidR="002E5476" w:rsidRDefault="002E5476">
      <w:pPr>
        <w:spacing w:line="360" w:lineRule="auto"/>
        <w:ind w:firstLineChars="200" w:firstLine="482"/>
        <w:jc w:val="left"/>
        <w:outlineLvl w:val="1"/>
        <w:rPr>
          <w:rFonts w:ascii="Times New Roman" w:eastAsia="宋体" w:hAnsi="Times New Roman" w:cs="Times New Roman"/>
          <w:b/>
          <w:bCs/>
          <w:color w:val="000000" w:themeColor="text1"/>
          <w:sz w:val="24"/>
          <w:szCs w:val="24"/>
        </w:rPr>
      </w:pPr>
    </w:p>
    <w:p w:rsidR="002E5476" w:rsidRDefault="00423E71">
      <w:pPr>
        <w:numPr>
          <w:ilvl w:val="0"/>
          <w:numId w:val="4"/>
        </w:numPr>
        <w:spacing w:line="360" w:lineRule="auto"/>
        <w:jc w:val="left"/>
        <w:outlineLvl w:val="1"/>
        <w:rPr>
          <w:rFonts w:ascii="Times New Roman" w:eastAsia="宋体" w:hAnsi="Times New Roman" w:cs="Times New Roman"/>
          <w:b/>
          <w:bCs/>
          <w:color w:val="000000" w:themeColor="text1"/>
          <w:sz w:val="24"/>
          <w:szCs w:val="24"/>
        </w:rPr>
      </w:pPr>
      <w:r>
        <w:rPr>
          <w:rFonts w:ascii="Times New Roman" w:eastAsia="宋体" w:hAnsi="Times New Roman" w:cs="Times New Roman" w:hint="eastAsia"/>
          <w:b/>
          <w:bCs/>
          <w:color w:val="000000" w:themeColor="text1"/>
          <w:sz w:val="24"/>
          <w:szCs w:val="24"/>
        </w:rPr>
        <w:t>总结</w:t>
      </w:r>
    </w:p>
    <w:p w:rsidR="002E5476" w:rsidRDefault="00423E71">
      <w:pPr>
        <w:numPr>
          <w:ilvl w:val="255"/>
          <w:numId w:val="0"/>
        </w:numPr>
        <w:spacing w:line="360" w:lineRule="auto"/>
        <w:ind w:firstLineChars="200" w:firstLine="480"/>
        <w:jc w:val="left"/>
        <w:outlineLvl w:val="1"/>
        <w:rPr>
          <w:rFonts w:ascii="Times New Roman" w:eastAsia="宋体" w:hAnsi="Times New Roman" w:cs="Times New Roman"/>
          <w:color w:val="000000" w:themeColor="text1"/>
          <w:sz w:val="24"/>
          <w:szCs w:val="24"/>
        </w:rPr>
      </w:pPr>
      <w:r>
        <w:rPr>
          <w:rFonts w:ascii="Times New Roman" w:eastAsia="宋体" w:hAnsi="Times New Roman" w:cs="Times New Roman" w:hint="eastAsia"/>
          <w:color w:val="000000" w:themeColor="text1"/>
          <w:sz w:val="24"/>
          <w:szCs w:val="24"/>
        </w:rPr>
        <w:t>本指引总结了各种</w:t>
      </w:r>
      <w:r>
        <w:rPr>
          <w:rFonts w:ascii="Times New Roman" w:eastAsia="宋体" w:hAnsi="Times New Roman" w:cs="Times New Roman"/>
          <w:color w:val="000000" w:themeColor="text1"/>
          <w:sz w:val="24"/>
          <w:szCs w:val="24"/>
        </w:rPr>
        <w:t>CKD</w:t>
      </w:r>
      <w:r>
        <w:rPr>
          <w:rFonts w:ascii="Times New Roman" w:eastAsia="宋体" w:hAnsi="Times New Roman" w:cs="Times New Roman" w:hint="eastAsia"/>
          <w:color w:val="000000" w:themeColor="text1"/>
          <w:sz w:val="24"/>
          <w:szCs w:val="24"/>
        </w:rPr>
        <w:t>高血压患者降压治疗的靶目标值、降压药物的药代动力学、药理作用特点、降压药物的选择和联合使用原则以及</w:t>
      </w:r>
      <w:r>
        <w:rPr>
          <w:rFonts w:ascii="Times New Roman" w:eastAsia="宋体" w:hAnsi="Times New Roman" w:cs="Times New Roman" w:hint="eastAsia"/>
          <w:bCs/>
          <w:color w:val="000000" w:themeColor="text1"/>
          <w:sz w:val="24"/>
          <w:szCs w:val="24"/>
        </w:rPr>
        <w:t>其他特殊情况。</w:t>
      </w:r>
      <w:r>
        <w:rPr>
          <w:rFonts w:ascii="Times New Roman" w:eastAsia="宋体" w:hAnsi="Times New Roman" w:cs="Times New Roman" w:hint="eastAsia"/>
          <w:color w:val="000000" w:themeColor="text1"/>
          <w:sz w:val="24"/>
          <w:szCs w:val="24"/>
        </w:rPr>
        <w:t>从靶目标值来看，各指南最新的推荐血压目标值均比既往指南有进一步下降，即血压低一点更好。降压药物的使用原则则在降压的基础上应尽量</w:t>
      </w:r>
      <w:r>
        <w:rPr>
          <w:rFonts w:ascii="Times New Roman" w:eastAsia="宋体" w:hAnsi="Times New Roman" w:cs="Times New Roman" w:hint="eastAsia"/>
          <w:color w:val="000000" w:themeColor="text1"/>
          <w:sz w:val="24"/>
          <w:szCs w:val="24"/>
        </w:rPr>
        <w:lastRenderedPageBreak/>
        <w:t>使用对靶器官及预后有保护作用的降压药物，比如</w:t>
      </w:r>
      <w:r>
        <w:rPr>
          <w:rFonts w:ascii="Times New Roman" w:eastAsia="宋体" w:hAnsi="Times New Roman" w:cs="Times New Roman"/>
          <w:color w:val="000000" w:themeColor="text1"/>
          <w:sz w:val="24"/>
          <w:szCs w:val="24"/>
        </w:rPr>
        <w:t>ACEI/ARB</w:t>
      </w:r>
      <w:r>
        <w:rPr>
          <w:rFonts w:ascii="Times New Roman" w:eastAsia="宋体" w:hAnsi="Times New Roman" w:cs="Times New Roman" w:hint="eastAsia"/>
          <w:color w:val="000000" w:themeColor="text1"/>
          <w:sz w:val="24"/>
          <w:szCs w:val="24"/>
        </w:rPr>
        <w:t>、沙库巴曲缬沙坦等。但目前大多数指南提出的</w:t>
      </w:r>
      <w:r>
        <w:rPr>
          <w:rFonts w:ascii="Times New Roman" w:eastAsia="宋体" w:hAnsi="Times New Roman" w:cs="Times New Roman"/>
          <w:color w:val="000000" w:themeColor="text1"/>
          <w:sz w:val="24"/>
          <w:szCs w:val="24"/>
        </w:rPr>
        <w:t>CKD</w:t>
      </w:r>
      <w:r>
        <w:rPr>
          <w:rFonts w:ascii="Times New Roman" w:eastAsia="宋体" w:hAnsi="Times New Roman" w:cs="Times New Roman" w:hint="eastAsia"/>
          <w:color w:val="000000" w:themeColor="text1"/>
          <w:sz w:val="24"/>
          <w:szCs w:val="24"/>
        </w:rPr>
        <w:t>患者血压靶目标值都是基于诊室血压的</w:t>
      </w:r>
      <w:r>
        <w:rPr>
          <w:rFonts w:ascii="Times New Roman" w:eastAsia="宋体" w:hAnsi="Times New Roman" w:cs="Times New Roman"/>
          <w:color w:val="000000" w:themeColor="text1"/>
          <w:sz w:val="24"/>
          <w:szCs w:val="24"/>
        </w:rPr>
        <w:t>RCT</w:t>
      </w:r>
      <w:r>
        <w:rPr>
          <w:rFonts w:ascii="Times New Roman" w:eastAsia="宋体" w:hAnsi="Times New Roman" w:cs="Times New Roman" w:hint="eastAsia"/>
          <w:color w:val="000000" w:themeColor="text1"/>
          <w:sz w:val="24"/>
          <w:szCs w:val="24"/>
        </w:rPr>
        <w:t>研究，缺乏动态血压及夜间血压为基础的</w:t>
      </w:r>
      <w:r>
        <w:rPr>
          <w:rFonts w:ascii="Times New Roman" w:eastAsia="宋体" w:hAnsi="Times New Roman" w:cs="Times New Roman"/>
          <w:color w:val="000000" w:themeColor="text1"/>
          <w:sz w:val="24"/>
          <w:szCs w:val="24"/>
        </w:rPr>
        <w:t>RCT</w:t>
      </w:r>
      <w:r>
        <w:rPr>
          <w:rFonts w:ascii="Times New Roman" w:eastAsia="宋体" w:hAnsi="Times New Roman" w:cs="Times New Roman" w:hint="eastAsia"/>
          <w:color w:val="000000" w:themeColor="text1"/>
          <w:sz w:val="24"/>
          <w:szCs w:val="24"/>
        </w:rPr>
        <w:t>研究</w:t>
      </w:r>
      <w:r w:rsidR="00B411DC">
        <w:rPr>
          <w:rFonts w:ascii="Times New Roman" w:eastAsia="宋体" w:hAnsi="Times New Roman" w:cs="Times New Roman"/>
          <w:bCs/>
          <w:color w:val="000000" w:themeColor="text1"/>
          <w:sz w:val="24"/>
          <w:szCs w:val="24"/>
        </w:rPr>
        <w:fldChar w:fldCharType="begin"/>
      </w:r>
      <w:r>
        <w:rPr>
          <w:rFonts w:ascii="Times New Roman" w:eastAsia="宋体" w:hAnsi="Times New Roman" w:cs="Times New Roman"/>
          <w:bCs/>
          <w:color w:val="000000" w:themeColor="text1"/>
          <w:sz w:val="24"/>
          <w:szCs w:val="24"/>
        </w:rPr>
        <w:instrText xml:space="preserve"> ADDIN NE.Ref.{A7D93849-874A-4911-9EB6-8968CDEC5316}</w:instrText>
      </w:r>
      <w:r w:rsidR="00B411DC">
        <w:rPr>
          <w:rFonts w:ascii="Times New Roman" w:eastAsia="宋体" w:hAnsi="Times New Roman" w:cs="Times New Roman"/>
          <w:bCs/>
          <w:color w:val="000000" w:themeColor="text1"/>
          <w:sz w:val="24"/>
          <w:szCs w:val="24"/>
        </w:rPr>
        <w:fldChar w:fldCharType="separate"/>
      </w:r>
      <w:r>
        <w:rPr>
          <w:rFonts w:ascii="Times New Roman" w:eastAsia="宋体" w:hAnsi="Times New Roman" w:cs="Times New Roman"/>
          <w:color w:val="000000" w:themeColor="text1"/>
          <w:kern w:val="0"/>
          <w:sz w:val="24"/>
          <w:szCs w:val="24"/>
          <w:vertAlign w:val="superscript"/>
        </w:rPr>
        <w:t>[100]</w:t>
      </w:r>
      <w:r w:rsidR="00B411DC">
        <w:rPr>
          <w:rFonts w:ascii="Times New Roman" w:eastAsia="宋体" w:hAnsi="Times New Roman" w:cs="Times New Roman"/>
          <w:bCs/>
          <w:color w:val="000000" w:themeColor="text1"/>
          <w:sz w:val="24"/>
          <w:szCs w:val="24"/>
        </w:rPr>
        <w:fldChar w:fldCharType="end"/>
      </w:r>
      <w:r>
        <w:rPr>
          <w:rFonts w:ascii="Times New Roman" w:eastAsia="宋体" w:hAnsi="Times New Roman" w:cs="Times New Roman" w:hint="eastAsia"/>
          <w:color w:val="000000" w:themeColor="text1"/>
          <w:sz w:val="24"/>
          <w:szCs w:val="24"/>
        </w:rPr>
        <w:t>，因此我们期待越来越多的针对</w:t>
      </w:r>
      <w:r>
        <w:rPr>
          <w:rFonts w:ascii="Times New Roman" w:eastAsia="宋体" w:hAnsi="Times New Roman" w:cs="Times New Roman" w:hint="eastAsia"/>
          <w:color w:val="000000" w:themeColor="text1"/>
          <w:sz w:val="24"/>
          <w:szCs w:val="24"/>
        </w:rPr>
        <w:t>CKD</w:t>
      </w:r>
      <w:r>
        <w:rPr>
          <w:rFonts w:ascii="Times New Roman" w:eastAsia="宋体" w:hAnsi="Times New Roman" w:cs="Times New Roman" w:hint="eastAsia"/>
          <w:color w:val="000000" w:themeColor="text1"/>
          <w:sz w:val="24"/>
          <w:szCs w:val="24"/>
        </w:rPr>
        <w:t>患者的临床研究，未来</w:t>
      </w:r>
      <w:r>
        <w:rPr>
          <w:rFonts w:ascii="Times New Roman" w:eastAsia="宋体" w:hAnsi="Times New Roman" w:cs="Times New Roman"/>
          <w:color w:val="000000" w:themeColor="text1"/>
          <w:sz w:val="24"/>
          <w:szCs w:val="24"/>
        </w:rPr>
        <w:t>CKD</w:t>
      </w:r>
      <w:r>
        <w:rPr>
          <w:rFonts w:ascii="Times New Roman" w:eastAsia="宋体" w:hAnsi="Times New Roman" w:cs="Times New Roman" w:hint="eastAsia"/>
          <w:color w:val="000000" w:themeColor="text1"/>
          <w:sz w:val="24"/>
          <w:szCs w:val="24"/>
        </w:rPr>
        <w:t>患者的血压靶目标值仍可能改变。</w:t>
      </w:r>
    </w:p>
    <w:p w:rsidR="002E5476" w:rsidRDefault="002E5476">
      <w:pPr>
        <w:numPr>
          <w:ilvl w:val="255"/>
          <w:numId w:val="0"/>
        </w:numPr>
        <w:spacing w:line="360" w:lineRule="auto"/>
        <w:ind w:firstLineChars="200" w:firstLine="480"/>
        <w:jc w:val="left"/>
        <w:outlineLvl w:val="1"/>
        <w:rPr>
          <w:rFonts w:ascii="Times New Roman" w:eastAsia="宋体" w:hAnsi="Times New Roman" w:cs="Times New Roman"/>
          <w:color w:val="000000" w:themeColor="text1"/>
          <w:sz w:val="24"/>
          <w:szCs w:val="24"/>
        </w:rPr>
      </w:pPr>
    </w:p>
    <w:p w:rsidR="002E5476" w:rsidRDefault="00423E71">
      <w:pPr>
        <w:numPr>
          <w:ilvl w:val="0"/>
          <w:numId w:val="4"/>
        </w:numPr>
        <w:spacing w:line="360" w:lineRule="auto"/>
        <w:jc w:val="left"/>
        <w:outlineLvl w:val="1"/>
        <w:rPr>
          <w:rFonts w:ascii="Times New Roman" w:eastAsia="宋体" w:hAnsi="Times New Roman" w:cs="Times New Roman"/>
          <w:b/>
          <w:bCs/>
          <w:color w:val="000000" w:themeColor="text1"/>
          <w:sz w:val="24"/>
          <w:szCs w:val="24"/>
        </w:rPr>
      </w:pPr>
      <w:bookmarkStart w:id="34" w:name="_Toc1656547108_WPSOffice_Level1"/>
      <w:r>
        <w:rPr>
          <w:rFonts w:ascii="Times New Roman" w:eastAsia="宋体" w:hAnsi="Times New Roman" w:cs="Times New Roman" w:hint="eastAsia"/>
          <w:b/>
          <w:bCs/>
          <w:color w:val="000000" w:themeColor="text1"/>
          <w:sz w:val="24"/>
          <w:szCs w:val="24"/>
        </w:rPr>
        <w:t xml:space="preserve"> </w:t>
      </w:r>
      <w:r>
        <w:rPr>
          <w:rFonts w:ascii="Times New Roman" w:eastAsia="宋体" w:hAnsi="Times New Roman" w:cs="Times New Roman" w:hint="eastAsia"/>
          <w:b/>
          <w:bCs/>
          <w:color w:val="000000" w:themeColor="text1"/>
          <w:sz w:val="24"/>
          <w:szCs w:val="24"/>
        </w:rPr>
        <w:t>附表</w:t>
      </w:r>
      <w:bookmarkEnd w:id="34"/>
    </w:p>
    <w:p w:rsidR="002E5476" w:rsidRDefault="00423E71">
      <w:pPr>
        <w:spacing w:line="360" w:lineRule="auto"/>
        <w:ind w:firstLine="300"/>
        <w:jc w:val="center"/>
        <w:outlineLvl w:val="1"/>
        <w:rPr>
          <w:rFonts w:ascii="Times New Roman" w:eastAsia="宋体" w:hAnsi="Times New Roman" w:cs="Times New Roman"/>
          <w:b/>
          <w:bCs/>
          <w:color w:val="000000" w:themeColor="text1"/>
          <w:sz w:val="24"/>
          <w:szCs w:val="24"/>
        </w:rPr>
      </w:pPr>
      <w:bookmarkStart w:id="35" w:name="_Toc1609244448_WPSOffice_Level1"/>
      <w:r>
        <w:rPr>
          <w:rFonts w:ascii="Times New Roman" w:eastAsia="宋体" w:hAnsi="Times New Roman" w:cs="Times New Roman" w:hint="eastAsia"/>
          <w:b/>
          <w:bCs/>
          <w:color w:val="000000" w:themeColor="text1"/>
          <w:sz w:val="24"/>
          <w:szCs w:val="24"/>
        </w:rPr>
        <w:t>表</w:t>
      </w:r>
      <w:r>
        <w:rPr>
          <w:rFonts w:ascii="Times New Roman" w:eastAsia="宋体" w:hAnsi="Times New Roman" w:cs="Times New Roman"/>
          <w:b/>
          <w:bCs/>
          <w:color w:val="000000" w:themeColor="text1"/>
          <w:sz w:val="24"/>
          <w:szCs w:val="24"/>
        </w:rPr>
        <w:t xml:space="preserve">3 </w:t>
      </w:r>
      <w:r>
        <w:rPr>
          <w:rFonts w:ascii="Times New Roman" w:eastAsia="宋体" w:hAnsi="Times New Roman" w:cs="Times New Roman" w:hint="eastAsia"/>
          <w:b/>
          <w:bCs/>
          <w:color w:val="000000" w:themeColor="text1"/>
          <w:sz w:val="24"/>
          <w:szCs w:val="24"/>
        </w:rPr>
        <w:t>常见口服降压药物的药代动力学特点、不良反应及注</w:t>
      </w:r>
      <w:bookmarkEnd w:id="35"/>
      <w:r>
        <w:rPr>
          <w:rFonts w:ascii="Times New Roman" w:eastAsia="宋体" w:hAnsi="Times New Roman" w:cs="Times New Roman" w:hint="eastAsia"/>
          <w:b/>
          <w:bCs/>
          <w:color w:val="000000" w:themeColor="text1"/>
          <w:sz w:val="24"/>
          <w:szCs w:val="24"/>
        </w:rPr>
        <w:t>意事项</w:t>
      </w:r>
    </w:p>
    <w:tbl>
      <w:tblPr>
        <w:tblW w:w="4996" w:type="pct"/>
        <w:jc w:val="center"/>
        <w:tblCellMar>
          <w:top w:w="15" w:type="dxa"/>
          <w:left w:w="15" w:type="dxa"/>
          <w:bottom w:w="15" w:type="dxa"/>
          <w:right w:w="15" w:type="dxa"/>
        </w:tblCellMar>
        <w:tblLook w:val="04A0"/>
      </w:tblPr>
      <w:tblGrid>
        <w:gridCol w:w="937"/>
        <w:gridCol w:w="984"/>
        <w:gridCol w:w="1124"/>
        <w:gridCol w:w="774"/>
        <w:gridCol w:w="849"/>
        <w:gridCol w:w="564"/>
        <w:gridCol w:w="914"/>
        <w:gridCol w:w="879"/>
        <w:gridCol w:w="914"/>
        <w:gridCol w:w="774"/>
        <w:gridCol w:w="1011"/>
        <w:gridCol w:w="765"/>
      </w:tblGrid>
      <w:tr w:rsidR="002E5476">
        <w:trPr>
          <w:trHeight w:val="768"/>
          <w:jc w:val="center"/>
        </w:trPr>
        <w:tc>
          <w:tcPr>
            <w:tcW w:w="514"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2E5476" w:rsidRDefault="00423E71">
            <w:pPr>
              <w:widowControl/>
              <w:jc w:val="center"/>
              <w:textAlignment w:val="center"/>
              <w:rPr>
                <w:rFonts w:ascii="Times New Roman" w:eastAsia="宋体" w:hAnsi="Times New Roman" w:cs="Times New Roman"/>
                <w:b/>
                <w:bCs/>
                <w:color w:val="000000" w:themeColor="text1"/>
                <w:szCs w:val="21"/>
              </w:rPr>
            </w:pPr>
            <w:r>
              <w:rPr>
                <w:rFonts w:ascii="Times New Roman" w:eastAsia="宋体" w:hAnsi="Times New Roman" w:cs="Times New Roman" w:hint="eastAsia"/>
                <w:b/>
                <w:bCs/>
                <w:color w:val="000000" w:themeColor="text1"/>
                <w:kern w:val="0"/>
                <w:szCs w:val="21"/>
              </w:rPr>
              <w:t>药物</w:t>
            </w:r>
          </w:p>
        </w:tc>
        <w:tc>
          <w:tcPr>
            <w:tcW w:w="509"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2E5476" w:rsidRDefault="00423E71">
            <w:pPr>
              <w:widowControl/>
              <w:jc w:val="center"/>
              <w:textAlignment w:val="center"/>
              <w:rPr>
                <w:rFonts w:ascii="Times New Roman" w:eastAsia="宋体" w:hAnsi="Times New Roman" w:cs="Times New Roman"/>
                <w:b/>
                <w:bCs/>
                <w:color w:val="000000" w:themeColor="text1"/>
                <w:szCs w:val="21"/>
              </w:rPr>
            </w:pPr>
            <w:r>
              <w:rPr>
                <w:rStyle w:val="font41"/>
                <w:rFonts w:eastAsia="宋体" w:hint="eastAsia"/>
                <w:b/>
                <w:bCs/>
                <w:color w:val="000000" w:themeColor="text1"/>
                <w:sz w:val="21"/>
                <w:szCs w:val="21"/>
              </w:rPr>
              <w:t>常用剂量</w:t>
            </w:r>
          </w:p>
        </w:tc>
        <w:tc>
          <w:tcPr>
            <w:tcW w:w="461"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2E5476" w:rsidRDefault="00423E71">
            <w:pPr>
              <w:widowControl/>
              <w:jc w:val="center"/>
              <w:textAlignment w:val="center"/>
              <w:rPr>
                <w:rFonts w:ascii="Times New Roman" w:eastAsia="宋体" w:hAnsi="Times New Roman" w:cs="Times New Roman"/>
                <w:b/>
                <w:bCs/>
                <w:color w:val="000000" w:themeColor="text1"/>
                <w:szCs w:val="21"/>
              </w:rPr>
            </w:pPr>
            <w:r>
              <w:rPr>
                <w:rStyle w:val="font41"/>
                <w:rFonts w:eastAsia="宋体" w:hint="eastAsia"/>
                <w:b/>
                <w:bCs/>
                <w:color w:val="000000" w:themeColor="text1"/>
                <w:sz w:val="21"/>
                <w:szCs w:val="21"/>
              </w:rPr>
              <w:t>食物影响</w:t>
            </w:r>
            <w:r>
              <w:rPr>
                <w:rStyle w:val="font41"/>
                <w:rFonts w:eastAsia="宋体"/>
                <w:b/>
                <w:bCs/>
                <w:color w:val="000000" w:themeColor="text1"/>
                <w:sz w:val="21"/>
                <w:szCs w:val="21"/>
              </w:rPr>
              <w:t>/</w:t>
            </w:r>
            <w:r>
              <w:rPr>
                <w:rStyle w:val="font31"/>
                <w:rFonts w:ascii="Times New Roman" w:hAnsi="Times New Roman" w:cs="Times New Roman" w:hint="default"/>
                <w:b/>
                <w:bCs/>
                <w:color w:val="000000" w:themeColor="text1"/>
                <w:sz w:val="21"/>
                <w:szCs w:val="21"/>
              </w:rPr>
              <w:t>服用方法</w:t>
            </w:r>
          </w:p>
        </w:tc>
        <w:tc>
          <w:tcPr>
            <w:tcW w:w="355"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2E5476" w:rsidRDefault="00423E71">
            <w:pPr>
              <w:widowControl/>
              <w:jc w:val="center"/>
              <w:textAlignment w:val="center"/>
              <w:rPr>
                <w:rFonts w:ascii="Times New Roman" w:eastAsia="宋体" w:hAnsi="Times New Roman" w:cs="Times New Roman"/>
                <w:b/>
                <w:bCs/>
                <w:color w:val="000000" w:themeColor="text1"/>
                <w:szCs w:val="21"/>
              </w:rPr>
            </w:pPr>
            <w:r>
              <w:rPr>
                <w:rStyle w:val="font41"/>
                <w:rFonts w:eastAsia="宋体" w:hint="eastAsia"/>
                <w:b/>
                <w:bCs/>
                <w:color w:val="000000" w:themeColor="text1"/>
                <w:sz w:val="21"/>
                <w:szCs w:val="21"/>
              </w:rPr>
              <w:t>起效时间</w:t>
            </w:r>
          </w:p>
        </w:tc>
        <w:tc>
          <w:tcPr>
            <w:tcW w:w="477"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2E5476" w:rsidRDefault="00423E71">
            <w:pPr>
              <w:widowControl/>
              <w:jc w:val="center"/>
              <w:textAlignment w:val="center"/>
              <w:rPr>
                <w:rFonts w:ascii="Times New Roman" w:eastAsia="宋体" w:hAnsi="Times New Roman" w:cs="Times New Roman"/>
                <w:b/>
                <w:bCs/>
                <w:color w:val="000000" w:themeColor="text1"/>
                <w:szCs w:val="21"/>
              </w:rPr>
            </w:pPr>
            <w:r>
              <w:rPr>
                <w:rStyle w:val="font41"/>
                <w:rFonts w:eastAsia="宋体" w:hint="eastAsia"/>
                <w:b/>
                <w:bCs/>
                <w:color w:val="000000" w:themeColor="text1"/>
                <w:sz w:val="21"/>
                <w:szCs w:val="21"/>
              </w:rPr>
              <w:t>达峰时间（</w:t>
            </w:r>
            <w:r>
              <w:rPr>
                <w:rStyle w:val="font41"/>
                <w:rFonts w:eastAsia="宋体"/>
                <w:b/>
                <w:bCs/>
                <w:color w:val="000000" w:themeColor="text1"/>
                <w:sz w:val="21"/>
                <w:szCs w:val="21"/>
              </w:rPr>
              <w:t>T</w:t>
            </w:r>
            <w:r>
              <w:rPr>
                <w:rStyle w:val="font41"/>
                <w:rFonts w:eastAsia="宋体"/>
                <w:b/>
                <w:bCs/>
                <w:color w:val="000000" w:themeColor="text1"/>
                <w:sz w:val="21"/>
                <w:szCs w:val="21"/>
                <w:vertAlign w:val="subscript"/>
              </w:rPr>
              <w:t>max</w:t>
            </w:r>
            <w:r>
              <w:rPr>
                <w:rStyle w:val="font41"/>
                <w:rFonts w:eastAsia="宋体" w:hint="eastAsia"/>
                <w:b/>
                <w:bCs/>
                <w:color w:val="000000" w:themeColor="text1"/>
                <w:sz w:val="21"/>
                <w:szCs w:val="21"/>
              </w:rPr>
              <w:t>）</w:t>
            </w:r>
          </w:p>
        </w:tc>
        <w:tc>
          <w:tcPr>
            <w:tcW w:w="286"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2E5476" w:rsidRDefault="00423E71">
            <w:pPr>
              <w:widowControl/>
              <w:jc w:val="center"/>
              <w:textAlignment w:val="center"/>
              <w:rPr>
                <w:rFonts w:ascii="Times New Roman" w:eastAsia="宋体" w:hAnsi="Times New Roman" w:cs="Times New Roman"/>
                <w:b/>
                <w:bCs/>
                <w:color w:val="000000" w:themeColor="text1"/>
                <w:szCs w:val="21"/>
              </w:rPr>
            </w:pPr>
            <w:r>
              <w:rPr>
                <w:rStyle w:val="font41"/>
                <w:rFonts w:eastAsia="宋体" w:hint="eastAsia"/>
                <w:b/>
                <w:bCs/>
                <w:color w:val="000000" w:themeColor="text1"/>
                <w:sz w:val="21"/>
                <w:szCs w:val="21"/>
              </w:rPr>
              <w:t>作用持续时间</w:t>
            </w:r>
          </w:p>
        </w:tc>
        <w:tc>
          <w:tcPr>
            <w:tcW w:w="343"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2E5476" w:rsidRDefault="00423E71">
            <w:pPr>
              <w:widowControl/>
              <w:jc w:val="center"/>
              <w:textAlignment w:val="center"/>
              <w:rPr>
                <w:rFonts w:ascii="Times New Roman" w:eastAsia="宋体" w:hAnsi="Times New Roman" w:cs="Times New Roman"/>
                <w:b/>
                <w:bCs/>
                <w:color w:val="000000" w:themeColor="text1"/>
                <w:szCs w:val="21"/>
              </w:rPr>
            </w:pPr>
            <w:r>
              <w:rPr>
                <w:rStyle w:val="font41"/>
                <w:rFonts w:eastAsia="宋体" w:hint="eastAsia"/>
                <w:b/>
                <w:bCs/>
                <w:color w:val="000000" w:themeColor="text1"/>
                <w:sz w:val="21"/>
                <w:szCs w:val="21"/>
              </w:rPr>
              <w:t>蛋白结合率（</w:t>
            </w:r>
            <w:r>
              <w:rPr>
                <w:rStyle w:val="font41"/>
                <w:rFonts w:eastAsia="宋体"/>
                <w:b/>
                <w:bCs/>
                <w:color w:val="000000" w:themeColor="text1"/>
                <w:sz w:val="21"/>
                <w:szCs w:val="21"/>
              </w:rPr>
              <w:t>%</w:t>
            </w:r>
            <w:r>
              <w:rPr>
                <w:rStyle w:val="font31"/>
                <w:rFonts w:ascii="Times New Roman" w:hAnsi="Times New Roman" w:cs="Times New Roman" w:hint="default"/>
                <w:b/>
                <w:bCs/>
                <w:color w:val="000000" w:themeColor="text1"/>
                <w:sz w:val="21"/>
                <w:szCs w:val="21"/>
              </w:rPr>
              <w:t>）</w:t>
            </w:r>
          </w:p>
        </w:tc>
        <w:tc>
          <w:tcPr>
            <w:tcW w:w="286"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2E5476" w:rsidRDefault="00423E71">
            <w:pPr>
              <w:widowControl/>
              <w:jc w:val="center"/>
              <w:textAlignment w:val="center"/>
              <w:rPr>
                <w:rFonts w:ascii="Times New Roman" w:eastAsia="宋体" w:hAnsi="Times New Roman" w:cs="Times New Roman"/>
                <w:b/>
                <w:bCs/>
                <w:color w:val="000000" w:themeColor="text1"/>
                <w:szCs w:val="21"/>
              </w:rPr>
            </w:pPr>
            <w:r>
              <w:rPr>
                <w:rStyle w:val="font41"/>
                <w:rFonts w:eastAsia="宋体" w:hint="eastAsia"/>
                <w:b/>
                <w:bCs/>
                <w:color w:val="000000" w:themeColor="text1"/>
                <w:sz w:val="21"/>
                <w:szCs w:val="21"/>
              </w:rPr>
              <w:t>平均半衰期</w:t>
            </w:r>
          </w:p>
        </w:tc>
        <w:tc>
          <w:tcPr>
            <w:tcW w:w="375"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2E5476" w:rsidRDefault="00423E71">
            <w:pPr>
              <w:widowControl/>
              <w:jc w:val="center"/>
              <w:textAlignment w:val="center"/>
              <w:rPr>
                <w:rFonts w:ascii="Times New Roman" w:eastAsia="宋体" w:hAnsi="Times New Roman" w:cs="Times New Roman"/>
                <w:b/>
                <w:bCs/>
                <w:color w:val="000000" w:themeColor="text1"/>
                <w:szCs w:val="21"/>
              </w:rPr>
            </w:pPr>
            <w:r>
              <w:rPr>
                <w:rFonts w:ascii="Times New Roman" w:eastAsia="宋体" w:hAnsi="Times New Roman" w:cs="Times New Roman" w:hint="eastAsia"/>
                <w:b/>
                <w:bCs/>
                <w:color w:val="000000" w:themeColor="text1"/>
                <w:kern w:val="0"/>
                <w:szCs w:val="21"/>
              </w:rPr>
              <w:t>肾排泄</w:t>
            </w:r>
          </w:p>
        </w:tc>
        <w:tc>
          <w:tcPr>
            <w:tcW w:w="333"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2E5476" w:rsidRDefault="00423E71">
            <w:pPr>
              <w:widowControl/>
              <w:jc w:val="center"/>
              <w:textAlignment w:val="center"/>
              <w:rPr>
                <w:rFonts w:ascii="Times New Roman" w:eastAsia="宋体" w:hAnsi="Times New Roman" w:cs="Times New Roman"/>
                <w:b/>
                <w:bCs/>
                <w:color w:val="000000" w:themeColor="text1"/>
                <w:szCs w:val="21"/>
              </w:rPr>
            </w:pPr>
            <w:r>
              <w:rPr>
                <w:rFonts w:ascii="Times New Roman" w:eastAsia="宋体" w:hAnsi="Times New Roman" w:cs="Times New Roman" w:hint="eastAsia"/>
                <w:b/>
                <w:bCs/>
                <w:color w:val="000000" w:themeColor="text1"/>
                <w:kern w:val="0"/>
                <w:szCs w:val="21"/>
              </w:rPr>
              <w:t>日极量</w:t>
            </w:r>
          </w:p>
        </w:tc>
        <w:tc>
          <w:tcPr>
            <w:tcW w:w="499"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2E5476" w:rsidRDefault="00423E71">
            <w:pPr>
              <w:widowControl/>
              <w:jc w:val="center"/>
              <w:textAlignment w:val="center"/>
              <w:rPr>
                <w:rFonts w:ascii="Times New Roman" w:eastAsia="宋体" w:hAnsi="Times New Roman" w:cs="Times New Roman"/>
                <w:b/>
                <w:bCs/>
                <w:color w:val="000000" w:themeColor="text1"/>
                <w:szCs w:val="21"/>
              </w:rPr>
            </w:pPr>
            <w:r>
              <w:rPr>
                <w:rFonts w:ascii="Times New Roman" w:eastAsia="宋体" w:hAnsi="Times New Roman" w:cs="Times New Roman" w:hint="eastAsia"/>
                <w:b/>
                <w:bCs/>
                <w:color w:val="000000" w:themeColor="text1"/>
                <w:kern w:val="0"/>
                <w:szCs w:val="21"/>
              </w:rPr>
              <w:t>相互作用</w:t>
            </w:r>
          </w:p>
        </w:tc>
        <w:tc>
          <w:tcPr>
            <w:tcW w:w="555"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2E5476" w:rsidRDefault="00423E71">
            <w:pPr>
              <w:widowControl/>
              <w:jc w:val="center"/>
              <w:textAlignment w:val="center"/>
              <w:rPr>
                <w:rFonts w:ascii="Times New Roman" w:eastAsia="宋体" w:hAnsi="Times New Roman" w:cs="Times New Roman"/>
                <w:b/>
                <w:bCs/>
                <w:color w:val="000000" w:themeColor="text1"/>
                <w:szCs w:val="21"/>
              </w:rPr>
            </w:pPr>
            <w:r>
              <w:rPr>
                <w:rFonts w:ascii="Times New Roman" w:eastAsia="宋体" w:hAnsi="Times New Roman" w:cs="Times New Roman" w:hint="eastAsia"/>
                <w:b/>
                <w:bCs/>
                <w:color w:val="000000" w:themeColor="text1"/>
                <w:kern w:val="0"/>
                <w:szCs w:val="21"/>
              </w:rPr>
              <w:t>不良反应及注意事项</w:t>
            </w:r>
          </w:p>
        </w:tc>
      </w:tr>
      <w:tr w:rsidR="002E5476">
        <w:trPr>
          <w:trHeight w:val="465"/>
          <w:jc w:val="center"/>
        </w:trPr>
        <w:tc>
          <w:tcPr>
            <w:tcW w:w="5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b/>
                <w:bCs/>
                <w:color w:val="000000" w:themeColor="text1"/>
                <w:kern w:val="0"/>
                <w:szCs w:val="21"/>
              </w:rPr>
              <w:t>ACEI</w:t>
            </w:r>
            <w:r>
              <w:rPr>
                <w:rFonts w:ascii="Times New Roman" w:eastAsia="宋体" w:hAnsi="Times New Roman" w:cs="Times New Roman" w:hint="eastAsia"/>
                <w:b/>
                <w:bCs/>
                <w:color w:val="000000" w:themeColor="text1"/>
                <w:kern w:val="0"/>
                <w:szCs w:val="21"/>
              </w:rPr>
              <w:t>类</w:t>
            </w:r>
          </w:p>
        </w:tc>
        <w:tc>
          <w:tcPr>
            <w:tcW w:w="5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Style w:val="font41"/>
                <w:rFonts w:eastAsia="宋体"/>
                <w:color w:val="000000" w:themeColor="text1"/>
                <w:sz w:val="21"/>
                <w:szCs w:val="21"/>
              </w:rPr>
            </w:pPr>
          </w:p>
        </w:tc>
        <w:tc>
          <w:tcPr>
            <w:tcW w:w="46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Style w:val="font41"/>
                <w:rFonts w:eastAsia="宋体"/>
                <w:color w:val="000000" w:themeColor="text1"/>
                <w:sz w:val="21"/>
                <w:szCs w:val="21"/>
              </w:rPr>
            </w:pPr>
          </w:p>
        </w:tc>
        <w:tc>
          <w:tcPr>
            <w:tcW w:w="3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jc w:val="center"/>
              <w:textAlignment w:val="center"/>
              <w:rPr>
                <w:rFonts w:ascii="Times New Roman" w:eastAsia="宋体" w:hAnsi="Times New Roman" w:cs="Times New Roman"/>
                <w:color w:val="000000" w:themeColor="text1"/>
                <w:kern w:val="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jc w:val="center"/>
              <w:textAlignment w:val="center"/>
              <w:rPr>
                <w:rStyle w:val="font41"/>
                <w:rFonts w:eastAsia="宋体"/>
                <w:color w:val="000000" w:themeColor="text1"/>
                <w:sz w:val="21"/>
                <w:szCs w:val="21"/>
              </w:rPr>
            </w:pP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c>
          <w:tcPr>
            <w:tcW w:w="3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Style w:val="font41"/>
                <w:rFonts w:eastAsia="宋体"/>
                <w:color w:val="000000" w:themeColor="text1"/>
                <w:sz w:val="21"/>
                <w:szCs w:val="21"/>
              </w:rPr>
            </w:pPr>
          </w:p>
        </w:tc>
        <w:tc>
          <w:tcPr>
            <w:tcW w:w="3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kern w:val="0"/>
                <w:szCs w:val="21"/>
              </w:rPr>
            </w:pPr>
          </w:p>
        </w:tc>
        <w:tc>
          <w:tcPr>
            <w:tcW w:w="33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Style w:val="font41"/>
                <w:rFonts w:eastAsia="宋体"/>
                <w:color w:val="000000" w:themeColor="text1"/>
                <w:sz w:val="21"/>
                <w:szCs w:val="21"/>
              </w:rPr>
            </w:pPr>
          </w:p>
        </w:tc>
        <w:tc>
          <w:tcPr>
            <w:tcW w:w="49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Style w:val="font41"/>
                <w:rFonts w:eastAsia="宋体"/>
                <w:color w:val="000000" w:themeColor="text1"/>
                <w:sz w:val="21"/>
                <w:szCs w:val="21"/>
              </w:rPr>
            </w:pPr>
          </w:p>
        </w:tc>
        <w:tc>
          <w:tcPr>
            <w:tcW w:w="555" w:type="pct"/>
            <w:tcBorders>
              <w:top w:val="single" w:sz="4" w:space="0" w:color="000000"/>
              <w:left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r>
      <w:tr w:rsidR="002E5476">
        <w:trPr>
          <w:trHeight w:val="465"/>
          <w:jc w:val="center"/>
        </w:trPr>
        <w:tc>
          <w:tcPr>
            <w:tcW w:w="5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卡托普利</w:t>
            </w:r>
          </w:p>
        </w:tc>
        <w:tc>
          <w:tcPr>
            <w:tcW w:w="5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Style w:val="font41"/>
                <w:rFonts w:eastAsia="宋体"/>
                <w:color w:val="000000" w:themeColor="text1"/>
                <w:sz w:val="21"/>
                <w:szCs w:val="21"/>
              </w:rPr>
            </w:pPr>
            <w:r>
              <w:rPr>
                <w:rStyle w:val="font41"/>
                <w:rFonts w:eastAsia="宋体"/>
                <w:color w:val="000000" w:themeColor="text1"/>
                <w:sz w:val="21"/>
                <w:szCs w:val="21"/>
              </w:rPr>
              <w:t>12.5</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50.0 mg</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tid</w:t>
            </w:r>
          </w:p>
        </w:tc>
        <w:tc>
          <w:tcPr>
            <w:tcW w:w="46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jc w:val="left"/>
              <w:textAlignment w:val="center"/>
              <w:rPr>
                <w:rFonts w:ascii="Times New Roman" w:eastAsia="宋体" w:hAnsi="Times New Roman" w:cs="Times New Roman"/>
                <w:color w:val="000000" w:themeColor="text1"/>
                <w:kern w:val="0"/>
                <w:szCs w:val="21"/>
              </w:rPr>
            </w:pPr>
            <w:r>
              <w:rPr>
                <w:rStyle w:val="font41"/>
                <w:rFonts w:eastAsia="宋体" w:hint="eastAsia"/>
                <w:color w:val="000000" w:themeColor="text1"/>
                <w:sz w:val="21"/>
                <w:szCs w:val="21"/>
              </w:rPr>
              <w:t>食物使吸收减少</w:t>
            </w:r>
            <w:r>
              <w:rPr>
                <w:rStyle w:val="font41"/>
                <w:rFonts w:eastAsia="宋体"/>
                <w:color w:val="000000" w:themeColor="text1"/>
                <w:sz w:val="21"/>
                <w:szCs w:val="21"/>
              </w:rPr>
              <w:t>30%~40%</w:t>
            </w:r>
            <w:r>
              <w:rPr>
                <w:rStyle w:val="font31"/>
                <w:rFonts w:ascii="Times New Roman" w:hAnsi="Times New Roman" w:cs="Times New Roman" w:hint="default"/>
                <w:color w:val="000000" w:themeColor="text1"/>
                <w:sz w:val="21"/>
                <w:szCs w:val="21"/>
              </w:rPr>
              <w:t>，宜餐前</w:t>
            </w:r>
            <w:r>
              <w:rPr>
                <w:rStyle w:val="font41"/>
                <w:rFonts w:eastAsia="宋体"/>
                <w:color w:val="000000" w:themeColor="text1"/>
                <w:sz w:val="21"/>
                <w:szCs w:val="21"/>
              </w:rPr>
              <w:t>1 h</w:t>
            </w:r>
            <w:r>
              <w:rPr>
                <w:rStyle w:val="font31"/>
                <w:rFonts w:ascii="Times New Roman" w:hAnsi="Times New Roman" w:cs="Times New Roman" w:hint="default"/>
                <w:color w:val="000000" w:themeColor="text1"/>
                <w:sz w:val="21"/>
                <w:szCs w:val="21"/>
              </w:rPr>
              <w:t>服药</w:t>
            </w:r>
          </w:p>
        </w:tc>
        <w:tc>
          <w:tcPr>
            <w:tcW w:w="3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jc w:val="center"/>
              <w:textAlignment w:val="center"/>
              <w:rPr>
                <w:rStyle w:val="font41"/>
                <w:rFonts w:eastAsia="宋体"/>
                <w:color w:val="000000" w:themeColor="text1"/>
                <w:sz w:val="21"/>
                <w:szCs w:val="21"/>
              </w:rPr>
            </w:pPr>
            <w:r>
              <w:rPr>
                <w:rFonts w:ascii="Times New Roman" w:eastAsia="宋体" w:hAnsi="Times New Roman" w:cs="Times New Roman"/>
                <w:color w:val="000000" w:themeColor="text1"/>
                <w:kern w:val="0"/>
                <w:szCs w:val="21"/>
              </w:rPr>
              <w:t>15 min</w:t>
            </w:r>
          </w:p>
        </w:tc>
        <w:tc>
          <w:tcPr>
            <w:tcW w:w="4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jc w:val="center"/>
              <w:textAlignment w:val="center"/>
              <w:rPr>
                <w:rStyle w:val="font41"/>
                <w:rFonts w:eastAsia="宋体"/>
                <w:color w:val="000000" w:themeColor="text1"/>
                <w:sz w:val="21"/>
                <w:szCs w:val="21"/>
              </w:rPr>
            </w:pPr>
            <w:r>
              <w:rPr>
                <w:rStyle w:val="font41"/>
                <w:rFonts w:eastAsia="宋体"/>
                <w:color w:val="000000" w:themeColor="text1"/>
                <w:sz w:val="21"/>
                <w:szCs w:val="21"/>
              </w:rPr>
              <w:t>1.0</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1.5 h</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6~12 h</w:t>
            </w:r>
          </w:p>
        </w:tc>
        <w:tc>
          <w:tcPr>
            <w:tcW w:w="3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25%~</w:t>
            </w:r>
          </w:p>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30%</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Style w:val="font41"/>
                <w:rFonts w:eastAsia="宋体"/>
                <w:color w:val="000000" w:themeColor="text1"/>
                <w:sz w:val="21"/>
                <w:szCs w:val="21"/>
              </w:rPr>
            </w:pPr>
            <w:r>
              <w:rPr>
                <w:rStyle w:val="font41"/>
                <w:rFonts w:eastAsia="宋体" w:hint="eastAsia"/>
                <w:color w:val="000000" w:themeColor="text1"/>
                <w:sz w:val="21"/>
                <w:szCs w:val="21"/>
              </w:rPr>
              <w:t>＜</w:t>
            </w:r>
            <w:r>
              <w:rPr>
                <w:rStyle w:val="font41"/>
                <w:rFonts w:eastAsia="宋体"/>
                <w:color w:val="000000" w:themeColor="text1"/>
                <w:sz w:val="21"/>
                <w:szCs w:val="21"/>
              </w:rPr>
              <w:t>3 h</w:t>
            </w:r>
          </w:p>
        </w:tc>
        <w:tc>
          <w:tcPr>
            <w:tcW w:w="3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40%~</w:t>
            </w:r>
          </w:p>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50%</w:t>
            </w:r>
            <w:r>
              <w:rPr>
                <w:rFonts w:ascii="Times New Roman" w:eastAsia="宋体" w:hAnsi="Times New Roman" w:cs="Times New Roman" w:hint="eastAsia"/>
                <w:color w:val="000000" w:themeColor="text1"/>
                <w:kern w:val="0"/>
                <w:szCs w:val="21"/>
              </w:rPr>
              <w:t>原型药物</w:t>
            </w:r>
          </w:p>
        </w:tc>
        <w:tc>
          <w:tcPr>
            <w:tcW w:w="33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rPr>
                <w:rFonts w:ascii="Times New Roman" w:eastAsia="宋体" w:hAnsi="Times New Roman" w:cs="Times New Roman"/>
                <w:color w:val="000000" w:themeColor="text1"/>
                <w:szCs w:val="21"/>
              </w:rPr>
            </w:pPr>
            <w:r>
              <w:rPr>
                <w:rStyle w:val="font41"/>
                <w:rFonts w:eastAsia="宋体"/>
                <w:color w:val="000000" w:themeColor="text1"/>
                <w:sz w:val="21"/>
                <w:szCs w:val="21"/>
              </w:rPr>
              <w:t>450 mg</w:t>
            </w:r>
          </w:p>
        </w:tc>
        <w:tc>
          <w:tcPr>
            <w:tcW w:w="49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Style w:val="font41"/>
                <w:rFonts w:eastAsia="宋体"/>
                <w:color w:val="000000" w:themeColor="text1"/>
                <w:sz w:val="21"/>
                <w:szCs w:val="21"/>
              </w:rPr>
            </w:pPr>
          </w:p>
        </w:tc>
        <w:tc>
          <w:tcPr>
            <w:tcW w:w="555" w:type="pct"/>
            <w:vMerge w:val="restart"/>
            <w:tcBorders>
              <w:top w:val="single" w:sz="4" w:space="0" w:color="000000"/>
              <w:left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干咳，血管神经性水肿、皮疹、疲劳、味觉异常、白细胞减少、血钾升高、一过性肌酐升高；高钾、妊娠、双侧肾动脉狭窄者禁用</w:t>
            </w:r>
          </w:p>
        </w:tc>
      </w:tr>
      <w:tr w:rsidR="002E5476">
        <w:trPr>
          <w:trHeight w:val="1768"/>
          <w:jc w:val="center"/>
        </w:trPr>
        <w:tc>
          <w:tcPr>
            <w:tcW w:w="5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依那普利</w:t>
            </w:r>
          </w:p>
        </w:tc>
        <w:tc>
          <w:tcPr>
            <w:tcW w:w="5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Style w:val="font41"/>
                <w:rFonts w:eastAsia="宋体"/>
                <w:color w:val="000000" w:themeColor="text1"/>
                <w:sz w:val="21"/>
                <w:szCs w:val="21"/>
              </w:rPr>
            </w:pPr>
            <w:r>
              <w:rPr>
                <w:rStyle w:val="font41"/>
                <w:rFonts w:eastAsia="宋体"/>
                <w:color w:val="000000" w:themeColor="text1"/>
                <w:sz w:val="21"/>
                <w:szCs w:val="21"/>
              </w:rPr>
              <w:t>2.5~10.0 mg</w:t>
            </w:r>
            <w:r>
              <w:rPr>
                <w:rStyle w:val="font41"/>
                <w:rFonts w:eastAsia="宋体" w:hint="eastAsia"/>
                <w:color w:val="000000" w:themeColor="text1"/>
                <w:sz w:val="21"/>
                <w:szCs w:val="21"/>
              </w:rPr>
              <w:t>，</w:t>
            </w:r>
            <w:r>
              <w:rPr>
                <w:rStyle w:val="font41"/>
                <w:rFonts w:eastAsia="宋体"/>
                <w:color w:val="000000" w:themeColor="text1"/>
                <w:sz w:val="21"/>
                <w:szCs w:val="21"/>
              </w:rPr>
              <w:t>qd</w:t>
            </w:r>
          </w:p>
        </w:tc>
        <w:tc>
          <w:tcPr>
            <w:tcW w:w="46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jc w:val="center"/>
              <w:textAlignment w:val="center"/>
              <w:rPr>
                <w:rStyle w:val="font41"/>
                <w:rFonts w:eastAsia="宋体"/>
                <w:color w:val="000000" w:themeColor="text1"/>
                <w:sz w:val="21"/>
                <w:szCs w:val="21"/>
              </w:rPr>
            </w:pPr>
            <w:r>
              <w:rPr>
                <w:rStyle w:val="font41"/>
                <w:rFonts w:eastAsia="宋体" w:hint="eastAsia"/>
                <w:color w:val="000000" w:themeColor="text1"/>
                <w:sz w:val="21"/>
                <w:szCs w:val="21"/>
              </w:rPr>
              <w:t>无影响</w:t>
            </w:r>
          </w:p>
        </w:tc>
        <w:tc>
          <w:tcPr>
            <w:tcW w:w="3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Style w:val="font41"/>
                <w:rFonts w:eastAsia="宋体"/>
                <w:color w:val="000000" w:themeColor="text1"/>
                <w:sz w:val="21"/>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Style w:val="font41"/>
                <w:rFonts w:eastAsia="宋体"/>
                <w:color w:val="000000" w:themeColor="text1"/>
                <w:sz w:val="21"/>
                <w:szCs w:val="21"/>
              </w:rPr>
            </w:pPr>
            <w:r>
              <w:rPr>
                <w:rStyle w:val="font41"/>
                <w:rFonts w:eastAsia="宋体"/>
                <w:color w:val="000000" w:themeColor="text1"/>
                <w:sz w:val="21"/>
                <w:szCs w:val="21"/>
              </w:rPr>
              <w:t>1 h</w:t>
            </w:r>
            <w:r>
              <w:rPr>
                <w:rStyle w:val="font31"/>
                <w:rFonts w:ascii="Times New Roman" w:hAnsi="Times New Roman" w:cs="Times New Roman" w:hint="default"/>
                <w:color w:val="000000" w:themeColor="text1"/>
                <w:sz w:val="21"/>
                <w:szCs w:val="21"/>
              </w:rPr>
              <w:t>（依那普利）</w:t>
            </w:r>
            <w:r>
              <w:rPr>
                <w:rStyle w:val="font41"/>
                <w:rFonts w:eastAsia="宋体"/>
                <w:color w:val="000000" w:themeColor="text1"/>
                <w:sz w:val="21"/>
                <w:szCs w:val="21"/>
              </w:rPr>
              <w:br/>
              <w:t>3~4 h</w:t>
            </w:r>
            <w:r>
              <w:rPr>
                <w:rStyle w:val="font31"/>
                <w:rFonts w:ascii="Times New Roman" w:hAnsi="Times New Roman" w:cs="Times New Roman" w:hint="default"/>
                <w:color w:val="000000" w:themeColor="text1"/>
                <w:sz w:val="21"/>
                <w:szCs w:val="21"/>
              </w:rPr>
              <w:t>（依那普利拉）</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c>
          <w:tcPr>
            <w:tcW w:w="3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50%</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Style w:val="font41"/>
                <w:rFonts w:eastAsia="宋体"/>
                <w:color w:val="000000" w:themeColor="text1"/>
                <w:sz w:val="21"/>
                <w:szCs w:val="21"/>
              </w:rPr>
            </w:pPr>
            <w:r>
              <w:rPr>
                <w:rFonts w:ascii="Times New Roman" w:eastAsia="宋体" w:hAnsi="Times New Roman" w:cs="Times New Roman"/>
                <w:color w:val="000000" w:themeColor="text1"/>
                <w:kern w:val="0"/>
                <w:szCs w:val="21"/>
              </w:rPr>
              <w:t>11 h</w:t>
            </w:r>
          </w:p>
        </w:tc>
        <w:tc>
          <w:tcPr>
            <w:tcW w:w="3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依那普利拉主要经肾排泄</w:t>
            </w:r>
          </w:p>
        </w:tc>
        <w:tc>
          <w:tcPr>
            <w:tcW w:w="33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40 mg</w:t>
            </w:r>
          </w:p>
        </w:tc>
        <w:tc>
          <w:tcPr>
            <w:tcW w:w="49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Style w:val="font41"/>
                <w:rFonts w:eastAsia="宋体"/>
                <w:color w:val="000000" w:themeColor="text1"/>
                <w:sz w:val="21"/>
                <w:szCs w:val="21"/>
              </w:rPr>
            </w:pPr>
          </w:p>
        </w:tc>
        <w:tc>
          <w:tcPr>
            <w:tcW w:w="555" w:type="pct"/>
            <w:vMerge/>
            <w:tcBorders>
              <w:left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r>
      <w:tr w:rsidR="002E5476">
        <w:trPr>
          <w:trHeight w:val="465"/>
          <w:jc w:val="center"/>
        </w:trPr>
        <w:tc>
          <w:tcPr>
            <w:tcW w:w="5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贝那普利</w:t>
            </w:r>
          </w:p>
        </w:tc>
        <w:tc>
          <w:tcPr>
            <w:tcW w:w="5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Style w:val="font41"/>
                <w:rFonts w:eastAsia="宋体"/>
                <w:color w:val="000000" w:themeColor="text1"/>
                <w:sz w:val="21"/>
                <w:szCs w:val="21"/>
              </w:rPr>
            </w:pPr>
            <w:r>
              <w:rPr>
                <w:rStyle w:val="font41"/>
                <w:rFonts w:eastAsia="宋体"/>
                <w:color w:val="000000" w:themeColor="text1"/>
                <w:sz w:val="21"/>
                <w:szCs w:val="21"/>
              </w:rPr>
              <w:t>5</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40 mg</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qd</w:t>
            </w:r>
          </w:p>
        </w:tc>
        <w:tc>
          <w:tcPr>
            <w:tcW w:w="46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进食后服药可延迟吸收，但不影响吸收量和转变为贝那普利拉。可在进食中或两餐间服用</w:t>
            </w:r>
          </w:p>
        </w:tc>
        <w:tc>
          <w:tcPr>
            <w:tcW w:w="3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Style w:val="font41"/>
                <w:rFonts w:eastAsia="宋体"/>
                <w:color w:val="000000" w:themeColor="text1"/>
                <w:sz w:val="21"/>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Style w:val="font41"/>
                <w:rFonts w:eastAsia="宋体"/>
                <w:color w:val="000000" w:themeColor="text1"/>
                <w:sz w:val="21"/>
                <w:szCs w:val="21"/>
              </w:rPr>
            </w:pPr>
            <w:r>
              <w:rPr>
                <w:rFonts w:ascii="Times New Roman" w:eastAsia="宋体" w:hAnsi="Times New Roman" w:cs="Times New Roman"/>
                <w:color w:val="000000" w:themeColor="text1"/>
                <w:kern w:val="0"/>
                <w:szCs w:val="21"/>
              </w:rPr>
              <w:t>1.5 h</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c>
          <w:tcPr>
            <w:tcW w:w="3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95%</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Style w:val="font41"/>
                <w:rFonts w:eastAsia="宋体"/>
                <w:color w:val="000000" w:themeColor="text1"/>
                <w:sz w:val="21"/>
                <w:szCs w:val="21"/>
              </w:rPr>
            </w:pPr>
            <w:r>
              <w:rPr>
                <w:rFonts w:ascii="Times New Roman" w:eastAsia="宋体" w:hAnsi="Times New Roman" w:cs="Times New Roman"/>
                <w:color w:val="000000" w:themeColor="text1"/>
                <w:kern w:val="0"/>
                <w:szCs w:val="21"/>
              </w:rPr>
              <w:t>11 h</w:t>
            </w:r>
          </w:p>
        </w:tc>
        <w:tc>
          <w:tcPr>
            <w:tcW w:w="3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rPr>
                <w:rFonts w:ascii="Times New Roman" w:eastAsia="宋体" w:hAnsi="Times New Roman" w:cs="Times New Roman"/>
                <w:color w:val="000000" w:themeColor="text1"/>
                <w:szCs w:val="21"/>
              </w:rPr>
            </w:pPr>
            <w:r>
              <w:rPr>
                <w:rStyle w:val="font41"/>
                <w:rFonts w:eastAsia="宋体"/>
                <w:color w:val="000000" w:themeColor="text1"/>
                <w:sz w:val="21"/>
                <w:szCs w:val="21"/>
              </w:rPr>
              <w:t>1%</w:t>
            </w:r>
            <w:r>
              <w:rPr>
                <w:rStyle w:val="font31"/>
                <w:rFonts w:ascii="Times New Roman" w:hAnsi="Times New Roman" w:cs="Times New Roman" w:hint="default"/>
                <w:color w:val="000000" w:themeColor="text1"/>
                <w:sz w:val="21"/>
                <w:szCs w:val="21"/>
              </w:rPr>
              <w:t>贝那普利；</w:t>
            </w:r>
            <w:r>
              <w:rPr>
                <w:rStyle w:val="font41"/>
                <w:rFonts w:eastAsia="宋体"/>
                <w:color w:val="000000" w:themeColor="text1"/>
                <w:sz w:val="21"/>
                <w:szCs w:val="21"/>
              </w:rPr>
              <w:t>20%</w:t>
            </w:r>
            <w:r>
              <w:rPr>
                <w:rStyle w:val="font31"/>
                <w:rFonts w:ascii="Times New Roman" w:hAnsi="Times New Roman" w:cs="Times New Roman" w:hint="default"/>
                <w:color w:val="000000" w:themeColor="text1"/>
                <w:sz w:val="21"/>
                <w:szCs w:val="21"/>
              </w:rPr>
              <w:t>贝那普利拉</w:t>
            </w:r>
          </w:p>
        </w:tc>
        <w:tc>
          <w:tcPr>
            <w:tcW w:w="33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40 mg</w:t>
            </w:r>
          </w:p>
        </w:tc>
        <w:tc>
          <w:tcPr>
            <w:tcW w:w="49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Style w:val="font41"/>
                <w:rFonts w:eastAsia="宋体"/>
                <w:color w:val="000000" w:themeColor="text1"/>
                <w:sz w:val="21"/>
                <w:szCs w:val="21"/>
              </w:rPr>
            </w:pPr>
          </w:p>
        </w:tc>
        <w:tc>
          <w:tcPr>
            <w:tcW w:w="555" w:type="pct"/>
            <w:vMerge/>
            <w:tcBorders>
              <w:left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r>
      <w:tr w:rsidR="002E5476">
        <w:trPr>
          <w:trHeight w:val="465"/>
          <w:jc w:val="center"/>
        </w:trPr>
        <w:tc>
          <w:tcPr>
            <w:tcW w:w="5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赖诺普利</w:t>
            </w:r>
          </w:p>
        </w:tc>
        <w:tc>
          <w:tcPr>
            <w:tcW w:w="5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Style w:val="font41"/>
                <w:rFonts w:eastAsia="宋体"/>
                <w:color w:val="000000" w:themeColor="text1"/>
                <w:sz w:val="21"/>
                <w:szCs w:val="21"/>
              </w:rPr>
            </w:pPr>
            <w:r>
              <w:rPr>
                <w:rStyle w:val="font41"/>
                <w:rFonts w:eastAsia="宋体"/>
                <w:color w:val="000000" w:themeColor="text1"/>
                <w:sz w:val="21"/>
                <w:szCs w:val="21"/>
              </w:rPr>
              <w:t>2.5</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10.0 mg</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qd</w:t>
            </w:r>
          </w:p>
        </w:tc>
        <w:tc>
          <w:tcPr>
            <w:tcW w:w="46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无影响</w:t>
            </w:r>
          </w:p>
        </w:tc>
        <w:tc>
          <w:tcPr>
            <w:tcW w:w="3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Style w:val="font41"/>
                <w:rFonts w:eastAsia="宋体"/>
                <w:color w:val="000000" w:themeColor="text1"/>
                <w:sz w:val="21"/>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Style w:val="font41"/>
                <w:rFonts w:eastAsia="宋体"/>
                <w:color w:val="000000" w:themeColor="text1"/>
                <w:sz w:val="21"/>
                <w:szCs w:val="21"/>
              </w:rPr>
            </w:pPr>
            <w:r>
              <w:rPr>
                <w:rFonts w:ascii="Times New Roman" w:eastAsia="宋体" w:hAnsi="Times New Roman" w:cs="Times New Roman"/>
                <w:color w:val="000000" w:themeColor="text1"/>
                <w:kern w:val="0"/>
                <w:szCs w:val="21"/>
              </w:rPr>
              <w:t>6~8 h</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c>
          <w:tcPr>
            <w:tcW w:w="3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Style w:val="font41"/>
                <w:rFonts w:eastAsia="宋体"/>
                <w:color w:val="000000" w:themeColor="text1"/>
                <w:sz w:val="21"/>
                <w:szCs w:val="21"/>
              </w:rPr>
            </w:pPr>
            <w:r>
              <w:rPr>
                <w:rFonts w:ascii="Times New Roman" w:eastAsia="宋体" w:hAnsi="Times New Roman" w:cs="Times New Roman"/>
                <w:color w:val="000000" w:themeColor="text1"/>
                <w:kern w:val="0"/>
                <w:szCs w:val="21"/>
              </w:rPr>
              <w:t>12 h</w:t>
            </w:r>
          </w:p>
        </w:tc>
        <w:tc>
          <w:tcPr>
            <w:tcW w:w="3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100%</w:t>
            </w:r>
            <w:r>
              <w:rPr>
                <w:rFonts w:ascii="Times New Roman" w:eastAsia="宋体" w:hAnsi="Times New Roman" w:cs="Times New Roman" w:hint="eastAsia"/>
                <w:color w:val="000000" w:themeColor="text1"/>
                <w:kern w:val="0"/>
                <w:szCs w:val="21"/>
              </w:rPr>
              <w:t>原型药</w:t>
            </w:r>
          </w:p>
        </w:tc>
        <w:tc>
          <w:tcPr>
            <w:tcW w:w="33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80 mg</w:t>
            </w:r>
          </w:p>
        </w:tc>
        <w:tc>
          <w:tcPr>
            <w:tcW w:w="49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Style w:val="font41"/>
                <w:rFonts w:eastAsia="宋体"/>
                <w:color w:val="000000" w:themeColor="text1"/>
                <w:sz w:val="21"/>
                <w:szCs w:val="21"/>
              </w:rPr>
            </w:pPr>
          </w:p>
        </w:tc>
        <w:tc>
          <w:tcPr>
            <w:tcW w:w="555" w:type="pct"/>
            <w:vMerge/>
            <w:tcBorders>
              <w:left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r>
      <w:tr w:rsidR="002E5476">
        <w:trPr>
          <w:trHeight w:val="465"/>
          <w:jc w:val="center"/>
        </w:trPr>
        <w:tc>
          <w:tcPr>
            <w:tcW w:w="5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雷米普利</w:t>
            </w:r>
          </w:p>
        </w:tc>
        <w:tc>
          <w:tcPr>
            <w:tcW w:w="5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Style w:val="font41"/>
                <w:rFonts w:eastAsia="宋体"/>
                <w:color w:val="000000" w:themeColor="text1"/>
                <w:sz w:val="21"/>
                <w:szCs w:val="21"/>
              </w:rPr>
            </w:pPr>
            <w:r>
              <w:rPr>
                <w:rStyle w:val="font41"/>
                <w:rFonts w:eastAsia="宋体"/>
                <w:color w:val="000000" w:themeColor="text1"/>
                <w:sz w:val="21"/>
                <w:szCs w:val="21"/>
              </w:rPr>
              <w:t>5</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10 mg</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qd</w:t>
            </w:r>
          </w:p>
        </w:tc>
        <w:tc>
          <w:tcPr>
            <w:tcW w:w="46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无影响</w:t>
            </w:r>
          </w:p>
        </w:tc>
        <w:tc>
          <w:tcPr>
            <w:tcW w:w="3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Style w:val="font41"/>
                <w:rFonts w:eastAsia="宋体"/>
                <w:color w:val="000000" w:themeColor="text1"/>
                <w:sz w:val="21"/>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Style w:val="font41"/>
                <w:rFonts w:eastAsia="宋体"/>
                <w:color w:val="000000" w:themeColor="text1"/>
                <w:sz w:val="21"/>
                <w:szCs w:val="21"/>
              </w:rPr>
            </w:pPr>
            <w:r>
              <w:rPr>
                <w:rStyle w:val="font41"/>
                <w:rFonts w:eastAsia="宋体"/>
                <w:color w:val="000000" w:themeColor="text1"/>
                <w:sz w:val="21"/>
                <w:szCs w:val="21"/>
              </w:rPr>
              <w:t>1 h(</w:t>
            </w:r>
            <w:r>
              <w:rPr>
                <w:rStyle w:val="font31"/>
                <w:rFonts w:ascii="Times New Roman" w:hAnsi="Times New Roman" w:cs="Times New Roman" w:hint="default"/>
                <w:color w:val="000000" w:themeColor="text1"/>
                <w:sz w:val="21"/>
                <w:szCs w:val="21"/>
              </w:rPr>
              <w:t>雷米普利）；</w:t>
            </w:r>
            <w:r>
              <w:rPr>
                <w:rStyle w:val="font41"/>
                <w:rFonts w:eastAsia="宋体"/>
                <w:color w:val="000000" w:themeColor="text1"/>
                <w:sz w:val="21"/>
                <w:szCs w:val="21"/>
              </w:rPr>
              <w:t>2~4 h</w:t>
            </w:r>
            <w:r>
              <w:rPr>
                <w:rStyle w:val="font31"/>
                <w:rFonts w:ascii="Times New Roman" w:hAnsi="Times New Roman" w:cs="Times New Roman" w:hint="default"/>
                <w:color w:val="000000" w:themeColor="text1"/>
                <w:sz w:val="21"/>
                <w:szCs w:val="21"/>
              </w:rPr>
              <w:t>（雷米普利拉）</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c>
          <w:tcPr>
            <w:tcW w:w="3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雷米普利</w:t>
            </w:r>
            <w:r>
              <w:rPr>
                <w:rFonts w:ascii="Times New Roman" w:eastAsia="宋体" w:hAnsi="Times New Roman" w:cs="Times New Roman"/>
                <w:color w:val="000000" w:themeColor="text1"/>
                <w:kern w:val="0"/>
                <w:szCs w:val="21"/>
              </w:rPr>
              <w:t>73%</w:t>
            </w:r>
            <w:r>
              <w:rPr>
                <w:rFonts w:ascii="Times New Roman" w:eastAsia="宋体" w:hAnsi="Times New Roman" w:cs="Times New Roman" w:hint="eastAsia"/>
                <w:color w:val="000000" w:themeColor="text1"/>
                <w:kern w:val="0"/>
                <w:szCs w:val="21"/>
              </w:rPr>
              <w:t>、</w:t>
            </w:r>
          </w:p>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雷米普利拉</w:t>
            </w:r>
            <w:r>
              <w:rPr>
                <w:rFonts w:ascii="Times New Roman" w:eastAsia="宋体" w:hAnsi="Times New Roman" w:cs="Times New Roman"/>
                <w:color w:val="000000" w:themeColor="text1"/>
                <w:kern w:val="0"/>
                <w:szCs w:val="21"/>
              </w:rPr>
              <w:t>56%</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Style w:val="font41"/>
                <w:rFonts w:eastAsia="宋体"/>
                <w:color w:val="000000" w:themeColor="text1"/>
                <w:sz w:val="21"/>
                <w:szCs w:val="21"/>
              </w:rPr>
            </w:pPr>
            <w:r>
              <w:rPr>
                <w:rStyle w:val="font41"/>
                <w:rFonts w:eastAsia="宋体"/>
                <w:color w:val="000000" w:themeColor="text1"/>
                <w:sz w:val="21"/>
                <w:szCs w:val="21"/>
              </w:rPr>
              <w:t>13~</w:t>
            </w:r>
            <w:r>
              <w:rPr>
                <w:rStyle w:val="font41"/>
                <w:rFonts w:eastAsia="宋体" w:hint="eastAsia"/>
                <w:color w:val="000000" w:themeColor="text1"/>
                <w:sz w:val="21"/>
                <w:szCs w:val="21"/>
              </w:rPr>
              <w:t xml:space="preserve"> </w:t>
            </w:r>
            <w:r>
              <w:rPr>
                <w:rStyle w:val="font41"/>
                <w:rFonts w:eastAsia="宋体"/>
                <w:color w:val="000000" w:themeColor="text1"/>
                <w:sz w:val="21"/>
                <w:szCs w:val="21"/>
              </w:rPr>
              <w:t>17 h</w:t>
            </w:r>
            <w:r>
              <w:rPr>
                <w:rStyle w:val="font31"/>
                <w:rFonts w:ascii="Times New Roman" w:hAnsi="Times New Roman" w:cs="Times New Roman" w:hint="default"/>
                <w:color w:val="000000" w:themeColor="text1"/>
                <w:sz w:val="21"/>
                <w:szCs w:val="21"/>
              </w:rPr>
              <w:t>（雷米普利拉）</w:t>
            </w:r>
          </w:p>
        </w:tc>
        <w:tc>
          <w:tcPr>
            <w:tcW w:w="3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rPr>
                <w:rFonts w:ascii="Times New Roman" w:eastAsia="宋体" w:hAnsi="Times New Roman" w:cs="Times New Roman"/>
                <w:color w:val="000000" w:themeColor="text1"/>
                <w:szCs w:val="21"/>
              </w:rPr>
            </w:pPr>
            <w:r>
              <w:rPr>
                <w:rStyle w:val="font41"/>
                <w:rFonts w:eastAsia="宋体"/>
                <w:color w:val="000000" w:themeColor="text1"/>
                <w:sz w:val="21"/>
                <w:szCs w:val="21"/>
              </w:rPr>
              <w:t>60%</w:t>
            </w:r>
            <w:r>
              <w:rPr>
                <w:rStyle w:val="font31"/>
                <w:rFonts w:ascii="Times New Roman" w:hAnsi="Times New Roman" w:cs="Times New Roman" w:hint="default"/>
                <w:color w:val="000000" w:themeColor="text1"/>
                <w:sz w:val="21"/>
                <w:szCs w:val="21"/>
              </w:rPr>
              <w:t>（雷米普利拉）</w:t>
            </w:r>
          </w:p>
        </w:tc>
        <w:tc>
          <w:tcPr>
            <w:tcW w:w="33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10 mg</w:t>
            </w:r>
          </w:p>
        </w:tc>
        <w:tc>
          <w:tcPr>
            <w:tcW w:w="49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Style w:val="font41"/>
                <w:rFonts w:eastAsia="宋体"/>
                <w:color w:val="000000" w:themeColor="text1"/>
                <w:sz w:val="21"/>
                <w:szCs w:val="21"/>
              </w:rPr>
            </w:pPr>
          </w:p>
        </w:tc>
        <w:tc>
          <w:tcPr>
            <w:tcW w:w="555" w:type="pct"/>
            <w:vMerge/>
            <w:tcBorders>
              <w:left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r>
      <w:tr w:rsidR="002E5476">
        <w:trPr>
          <w:trHeight w:val="465"/>
          <w:jc w:val="center"/>
        </w:trPr>
        <w:tc>
          <w:tcPr>
            <w:tcW w:w="5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福辛普利</w:t>
            </w:r>
          </w:p>
        </w:tc>
        <w:tc>
          <w:tcPr>
            <w:tcW w:w="5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Style w:val="font41"/>
                <w:rFonts w:eastAsia="宋体"/>
                <w:color w:val="000000" w:themeColor="text1"/>
                <w:sz w:val="21"/>
                <w:szCs w:val="21"/>
              </w:rPr>
            </w:pPr>
            <w:r>
              <w:rPr>
                <w:rStyle w:val="font41"/>
                <w:rFonts w:eastAsia="宋体"/>
                <w:color w:val="000000" w:themeColor="text1"/>
                <w:sz w:val="21"/>
                <w:szCs w:val="21"/>
              </w:rPr>
              <w:t>10 mg</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qd</w:t>
            </w:r>
          </w:p>
        </w:tc>
        <w:tc>
          <w:tcPr>
            <w:tcW w:w="46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无影响</w:t>
            </w:r>
          </w:p>
        </w:tc>
        <w:tc>
          <w:tcPr>
            <w:tcW w:w="3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Style w:val="font41"/>
                <w:rFonts w:eastAsia="宋体"/>
                <w:color w:val="000000" w:themeColor="text1"/>
                <w:sz w:val="21"/>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Style w:val="font41"/>
                <w:rFonts w:eastAsia="宋体"/>
                <w:color w:val="000000" w:themeColor="text1"/>
                <w:sz w:val="21"/>
                <w:szCs w:val="21"/>
              </w:rPr>
            </w:pPr>
            <w:r>
              <w:rPr>
                <w:rStyle w:val="font41"/>
                <w:rFonts w:eastAsia="宋体"/>
                <w:color w:val="000000" w:themeColor="text1"/>
                <w:sz w:val="21"/>
                <w:szCs w:val="21"/>
              </w:rPr>
              <w:t>3 h</w:t>
            </w:r>
            <w:r>
              <w:rPr>
                <w:rStyle w:val="font31"/>
                <w:rFonts w:ascii="Times New Roman" w:hAnsi="Times New Roman" w:cs="Times New Roman" w:hint="default"/>
                <w:color w:val="000000" w:themeColor="text1"/>
                <w:sz w:val="21"/>
                <w:szCs w:val="21"/>
              </w:rPr>
              <w:t>（福辛普利拉）</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24 h</w:t>
            </w:r>
          </w:p>
        </w:tc>
        <w:tc>
          <w:tcPr>
            <w:tcW w:w="3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Style w:val="font41"/>
                <w:rFonts w:eastAsia="宋体"/>
                <w:color w:val="000000" w:themeColor="text1"/>
                <w:sz w:val="21"/>
                <w:szCs w:val="21"/>
              </w:rPr>
              <w:t>95%</w:t>
            </w:r>
            <w:r>
              <w:rPr>
                <w:rStyle w:val="font31"/>
                <w:rFonts w:ascii="Times New Roman" w:hAnsi="Times New Roman" w:cs="Times New Roman" w:hint="default"/>
                <w:color w:val="000000" w:themeColor="text1"/>
                <w:sz w:val="21"/>
                <w:szCs w:val="21"/>
              </w:rPr>
              <w:t>（福辛普利钠）</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Style w:val="font41"/>
                <w:rFonts w:eastAsia="宋体"/>
                <w:color w:val="000000" w:themeColor="text1"/>
                <w:sz w:val="21"/>
                <w:szCs w:val="21"/>
              </w:rPr>
            </w:pPr>
            <w:r>
              <w:rPr>
                <w:rStyle w:val="font41"/>
                <w:rFonts w:eastAsia="宋体"/>
                <w:color w:val="000000" w:themeColor="text1"/>
                <w:sz w:val="21"/>
                <w:szCs w:val="21"/>
              </w:rPr>
              <w:t>12 h</w:t>
            </w:r>
            <w:r>
              <w:rPr>
                <w:rStyle w:val="font31"/>
                <w:rFonts w:ascii="Times New Roman" w:hAnsi="Times New Roman" w:cs="Times New Roman" w:hint="default"/>
                <w:color w:val="000000" w:themeColor="text1"/>
                <w:sz w:val="21"/>
                <w:szCs w:val="21"/>
              </w:rPr>
              <w:t>（福辛普利拉）</w:t>
            </w:r>
          </w:p>
        </w:tc>
        <w:tc>
          <w:tcPr>
            <w:tcW w:w="3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福辛普利拉肝肾双途径消除</w:t>
            </w:r>
          </w:p>
        </w:tc>
        <w:tc>
          <w:tcPr>
            <w:tcW w:w="33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rPr>
                <w:rFonts w:ascii="Times New Roman" w:eastAsia="宋体" w:hAnsi="Times New Roman" w:cs="Times New Roman"/>
                <w:color w:val="000000" w:themeColor="text1"/>
                <w:szCs w:val="21"/>
              </w:rPr>
            </w:pPr>
            <w:r>
              <w:rPr>
                <w:rStyle w:val="font41"/>
                <w:rFonts w:eastAsia="宋体"/>
                <w:color w:val="000000" w:themeColor="text1"/>
                <w:sz w:val="21"/>
                <w:szCs w:val="21"/>
              </w:rPr>
              <w:t>40 mg,</w:t>
            </w:r>
            <w:r>
              <w:rPr>
                <w:rStyle w:val="font31"/>
                <w:rFonts w:ascii="Times New Roman" w:hAnsi="Times New Roman" w:cs="Times New Roman" w:hint="default"/>
                <w:color w:val="000000" w:themeColor="text1"/>
                <w:sz w:val="21"/>
                <w:szCs w:val="21"/>
              </w:rPr>
              <w:t>超过该剂量不增强降</w:t>
            </w:r>
            <w:r>
              <w:rPr>
                <w:rStyle w:val="font31"/>
                <w:rFonts w:ascii="Times New Roman" w:hAnsi="Times New Roman" w:cs="Times New Roman" w:hint="default"/>
                <w:color w:val="000000" w:themeColor="text1"/>
                <w:sz w:val="21"/>
                <w:szCs w:val="21"/>
              </w:rPr>
              <w:lastRenderedPageBreak/>
              <w:t>压作用</w:t>
            </w:r>
          </w:p>
        </w:tc>
        <w:tc>
          <w:tcPr>
            <w:tcW w:w="49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Style w:val="font41"/>
                <w:rFonts w:eastAsia="宋体"/>
                <w:color w:val="000000" w:themeColor="text1"/>
                <w:sz w:val="21"/>
                <w:szCs w:val="21"/>
              </w:rPr>
            </w:pPr>
          </w:p>
        </w:tc>
        <w:tc>
          <w:tcPr>
            <w:tcW w:w="555" w:type="pct"/>
            <w:vMerge/>
            <w:tcBorders>
              <w:left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r>
      <w:tr w:rsidR="002E5476">
        <w:trPr>
          <w:trHeight w:val="465"/>
          <w:jc w:val="center"/>
        </w:trPr>
        <w:tc>
          <w:tcPr>
            <w:tcW w:w="5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lastRenderedPageBreak/>
              <w:t>培哚普利</w:t>
            </w:r>
          </w:p>
        </w:tc>
        <w:tc>
          <w:tcPr>
            <w:tcW w:w="5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Style w:val="font41"/>
                <w:rFonts w:eastAsia="宋体"/>
                <w:color w:val="000000" w:themeColor="text1"/>
                <w:sz w:val="21"/>
                <w:szCs w:val="21"/>
              </w:rPr>
            </w:pPr>
            <w:r>
              <w:rPr>
                <w:rStyle w:val="font41"/>
                <w:rFonts w:eastAsia="宋体"/>
                <w:color w:val="000000" w:themeColor="text1"/>
                <w:sz w:val="21"/>
                <w:szCs w:val="21"/>
              </w:rPr>
              <w:t>2</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8 mg</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qd</w:t>
            </w:r>
          </w:p>
        </w:tc>
        <w:tc>
          <w:tcPr>
            <w:tcW w:w="46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进食降低培哚普利拉的转化，降低生物利用度，建议进食前服用</w:t>
            </w:r>
          </w:p>
        </w:tc>
        <w:tc>
          <w:tcPr>
            <w:tcW w:w="3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Style w:val="font41"/>
                <w:rFonts w:eastAsia="宋体"/>
                <w:color w:val="000000" w:themeColor="text1"/>
                <w:sz w:val="21"/>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Style w:val="font41"/>
                <w:rFonts w:eastAsia="宋体"/>
                <w:color w:val="000000" w:themeColor="text1"/>
                <w:sz w:val="21"/>
                <w:szCs w:val="21"/>
              </w:rPr>
            </w:pPr>
            <w:r>
              <w:rPr>
                <w:rStyle w:val="font41"/>
                <w:rFonts w:eastAsia="宋体"/>
                <w:color w:val="000000" w:themeColor="text1"/>
                <w:sz w:val="21"/>
                <w:szCs w:val="21"/>
              </w:rPr>
              <w:t>3~4 h</w:t>
            </w:r>
            <w:r>
              <w:rPr>
                <w:rStyle w:val="font31"/>
                <w:rFonts w:ascii="Times New Roman" w:hAnsi="Times New Roman" w:cs="Times New Roman" w:hint="default"/>
                <w:color w:val="000000" w:themeColor="text1"/>
                <w:sz w:val="21"/>
                <w:szCs w:val="21"/>
              </w:rPr>
              <w:t>（培哚普利拉）</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c>
          <w:tcPr>
            <w:tcW w:w="3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Style w:val="font41"/>
                <w:rFonts w:eastAsia="宋体"/>
                <w:color w:val="000000" w:themeColor="text1"/>
                <w:sz w:val="21"/>
                <w:szCs w:val="21"/>
              </w:rPr>
              <w:t>20%</w:t>
            </w:r>
            <w:r>
              <w:rPr>
                <w:rStyle w:val="font31"/>
                <w:rFonts w:ascii="Times New Roman" w:hAnsi="Times New Roman" w:cs="Times New Roman" w:hint="default"/>
                <w:color w:val="000000" w:themeColor="text1"/>
                <w:sz w:val="21"/>
                <w:szCs w:val="21"/>
              </w:rPr>
              <w:t>（培哚普利拉）</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Style w:val="font41"/>
                <w:rFonts w:eastAsia="宋体"/>
                <w:color w:val="000000" w:themeColor="text1"/>
                <w:sz w:val="21"/>
                <w:szCs w:val="21"/>
              </w:rPr>
            </w:pPr>
            <w:r>
              <w:rPr>
                <w:rStyle w:val="font41"/>
                <w:rFonts w:eastAsia="宋体"/>
                <w:color w:val="000000" w:themeColor="text1"/>
                <w:sz w:val="21"/>
                <w:szCs w:val="21"/>
              </w:rPr>
              <w:t>17 h</w:t>
            </w:r>
            <w:r>
              <w:rPr>
                <w:rStyle w:val="font31"/>
                <w:rFonts w:ascii="Times New Roman" w:hAnsi="Times New Roman" w:cs="Times New Roman" w:hint="default"/>
                <w:color w:val="000000" w:themeColor="text1"/>
                <w:sz w:val="21"/>
                <w:szCs w:val="21"/>
              </w:rPr>
              <w:t>（培哚普利拉）</w:t>
            </w:r>
          </w:p>
        </w:tc>
        <w:tc>
          <w:tcPr>
            <w:tcW w:w="3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33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49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Style w:val="font41"/>
                <w:rFonts w:eastAsia="宋体"/>
                <w:color w:val="000000" w:themeColor="text1"/>
                <w:sz w:val="21"/>
                <w:szCs w:val="21"/>
              </w:rPr>
            </w:pPr>
          </w:p>
        </w:tc>
        <w:tc>
          <w:tcPr>
            <w:tcW w:w="555" w:type="pct"/>
            <w:vMerge/>
            <w:tcBorders>
              <w:left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r>
      <w:tr w:rsidR="002E5476">
        <w:trPr>
          <w:trHeight w:val="465"/>
          <w:jc w:val="center"/>
        </w:trPr>
        <w:tc>
          <w:tcPr>
            <w:tcW w:w="5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咪达普利</w:t>
            </w:r>
          </w:p>
        </w:tc>
        <w:tc>
          <w:tcPr>
            <w:tcW w:w="5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Style w:val="font41"/>
                <w:rFonts w:eastAsia="宋体"/>
                <w:color w:val="000000" w:themeColor="text1"/>
                <w:sz w:val="21"/>
                <w:szCs w:val="21"/>
              </w:rPr>
            </w:pPr>
            <w:r>
              <w:rPr>
                <w:rStyle w:val="font41"/>
                <w:rFonts w:eastAsia="宋体"/>
                <w:color w:val="000000" w:themeColor="text1"/>
                <w:sz w:val="21"/>
                <w:szCs w:val="21"/>
              </w:rPr>
              <w:t>2.5</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10.0 mg</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qd</w:t>
            </w:r>
          </w:p>
        </w:tc>
        <w:tc>
          <w:tcPr>
            <w:tcW w:w="46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c>
          <w:tcPr>
            <w:tcW w:w="3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Style w:val="font41"/>
                <w:rFonts w:eastAsia="宋体"/>
                <w:color w:val="000000" w:themeColor="text1"/>
                <w:sz w:val="21"/>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Style w:val="font41"/>
                <w:rFonts w:eastAsia="宋体"/>
                <w:color w:val="000000" w:themeColor="text1"/>
                <w:sz w:val="21"/>
                <w:szCs w:val="21"/>
              </w:rPr>
            </w:pPr>
            <w:r>
              <w:rPr>
                <w:rStyle w:val="font41"/>
                <w:rFonts w:eastAsia="宋体"/>
                <w:color w:val="000000" w:themeColor="text1"/>
                <w:sz w:val="21"/>
                <w:szCs w:val="21"/>
              </w:rPr>
              <w:t>6~8 h</w:t>
            </w:r>
            <w:r>
              <w:rPr>
                <w:rStyle w:val="font31"/>
                <w:rFonts w:ascii="Times New Roman" w:hAnsi="Times New Roman" w:cs="Times New Roman" w:hint="default"/>
                <w:color w:val="000000" w:themeColor="text1"/>
                <w:sz w:val="21"/>
                <w:szCs w:val="21"/>
              </w:rPr>
              <w:t>（咪达普利拉）</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c>
          <w:tcPr>
            <w:tcW w:w="3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Style w:val="font41"/>
                <w:rFonts w:eastAsia="宋体"/>
                <w:color w:val="000000" w:themeColor="text1"/>
                <w:sz w:val="21"/>
                <w:szCs w:val="21"/>
              </w:rPr>
            </w:pPr>
            <w:r>
              <w:rPr>
                <w:rFonts w:ascii="Times New Roman" w:eastAsia="宋体" w:hAnsi="Times New Roman" w:cs="Times New Roman"/>
                <w:color w:val="000000" w:themeColor="text1"/>
                <w:kern w:val="0"/>
                <w:szCs w:val="21"/>
              </w:rPr>
              <w:t>8 h</w:t>
            </w:r>
          </w:p>
        </w:tc>
        <w:tc>
          <w:tcPr>
            <w:tcW w:w="3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33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49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Style w:val="font41"/>
                <w:rFonts w:eastAsia="宋体"/>
                <w:color w:val="000000" w:themeColor="text1"/>
                <w:sz w:val="21"/>
                <w:szCs w:val="21"/>
              </w:rPr>
            </w:pPr>
          </w:p>
        </w:tc>
        <w:tc>
          <w:tcPr>
            <w:tcW w:w="555" w:type="pct"/>
            <w:vMerge/>
            <w:tcBorders>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r>
      <w:tr w:rsidR="002E5476">
        <w:trPr>
          <w:trHeight w:val="465"/>
          <w:jc w:val="center"/>
        </w:trPr>
        <w:tc>
          <w:tcPr>
            <w:tcW w:w="5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b/>
                <w:bCs/>
                <w:color w:val="000000" w:themeColor="text1"/>
                <w:kern w:val="0"/>
                <w:szCs w:val="21"/>
              </w:rPr>
              <w:t>ARB</w:t>
            </w:r>
            <w:r>
              <w:rPr>
                <w:rFonts w:ascii="Times New Roman" w:eastAsia="宋体" w:hAnsi="Times New Roman" w:cs="Times New Roman" w:hint="eastAsia"/>
                <w:b/>
                <w:bCs/>
                <w:color w:val="000000" w:themeColor="text1"/>
                <w:kern w:val="0"/>
                <w:szCs w:val="21"/>
              </w:rPr>
              <w:t>类</w:t>
            </w:r>
          </w:p>
        </w:tc>
        <w:tc>
          <w:tcPr>
            <w:tcW w:w="5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Style w:val="font41"/>
                <w:rFonts w:eastAsia="宋体"/>
                <w:color w:val="000000" w:themeColor="text1"/>
                <w:sz w:val="21"/>
                <w:szCs w:val="21"/>
              </w:rPr>
            </w:pPr>
          </w:p>
        </w:tc>
        <w:tc>
          <w:tcPr>
            <w:tcW w:w="46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c>
          <w:tcPr>
            <w:tcW w:w="3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Style w:val="font41"/>
                <w:rFonts w:eastAsia="宋体"/>
                <w:color w:val="000000" w:themeColor="text1"/>
                <w:sz w:val="21"/>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Style w:val="font41"/>
                <w:rFonts w:eastAsia="宋体"/>
                <w:color w:val="000000" w:themeColor="text1"/>
                <w:sz w:val="21"/>
                <w:szCs w:val="21"/>
              </w:rPr>
            </w:pP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c>
          <w:tcPr>
            <w:tcW w:w="3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Style w:val="font41"/>
                <w:rFonts w:eastAsia="宋体"/>
                <w:color w:val="000000" w:themeColor="text1"/>
                <w:sz w:val="21"/>
                <w:szCs w:val="21"/>
              </w:rPr>
            </w:pPr>
          </w:p>
        </w:tc>
        <w:tc>
          <w:tcPr>
            <w:tcW w:w="3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kern w:val="0"/>
                <w:szCs w:val="21"/>
              </w:rPr>
            </w:pPr>
          </w:p>
        </w:tc>
        <w:tc>
          <w:tcPr>
            <w:tcW w:w="33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49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Style w:val="font41"/>
                <w:rFonts w:eastAsia="宋体"/>
                <w:color w:val="000000" w:themeColor="text1"/>
                <w:sz w:val="21"/>
                <w:szCs w:val="21"/>
              </w:rPr>
            </w:pPr>
          </w:p>
        </w:tc>
        <w:tc>
          <w:tcPr>
            <w:tcW w:w="555" w:type="pct"/>
            <w:tcBorders>
              <w:top w:val="single" w:sz="4" w:space="0" w:color="000000"/>
              <w:left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r>
      <w:tr w:rsidR="002E5476">
        <w:trPr>
          <w:trHeight w:val="465"/>
          <w:jc w:val="center"/>
        </w:trPr>
        <w:tc>
          <w:tcPr>
            <w:tcW w:w="5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氯沙坦</w:t>
            </w:r>
          </w:p>
        </w:tc>
        <w:tc>
          <w:tcPr>
            <w:tcW w:w="5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Style w:val="font41"/>
                <w:rFonts w:eastAsia="宋体"/>
                <w:color w:val="000000" w:themeColor="text1"/>
                <w:sz w:val="21"/>
                <w:szCs w:val="21"/>
              </w:rPr>
            </w:pPr>
            <w:r>
              <w:rPr>
                <w:rStyle w:val="font41"/>
                <w:rFonts w:eastAsia="宋体"/>
                <w:color w:val="000000" w:themeColor="text1"/>
                <w:sz w:val="21"/>
                <w:szCs w:val="21"/>
              </w:rPr>
              <w:t>50</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100 mg</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qd</w:t>
            </w:r>
          </w:p>
        </w:tc>
        <w:tc>
          <w:tcPr>
            <w:tcW w:w="46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无影响</w:t>
            </w:r>
          </w:p>
        </w:tc>
        <w:tc>
          <w:tcPr>
            <w:tcW w:w="3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Style w:val="font41"/>
                <w:rFonts w:eastAsia="宋体"/>
                <w:color w:val="000000" w:themeColor="text1"/>
                <w:sz w:val="21"/>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Style w:val="font41"/>
                <w:rFonts w:eastAsia="宋体"/>
                <w:color w:val="000000" w:themeColor="text1"/>
                <w:sz w:val="21"/>
                <w:szCs w:val="21"/>
              </w:rPr>
            </w:pPr>
            <w:r>
              <w:rPr>
                <w:rStyle w:val="font41"/>
                <w:rFonts w:eastAsia="宋体"/>
                <w:color w:val="000000" w:themeColor="text1"/>
                <w:sz w:val="21"/>
                <w:szCs w:val="21"/>
              </w:rPr>
              <w:t>1 h</w:t>
            </w:r>
            <w:r>
              <w:rPr>
                <w:rStyle w:val="font31"/>
                <w:rFonts w:ascii="Times New Roman" w:hAnsi="Times New Roman" w:cs="Times New Roman" w:hint="default"/>
                <w:color w:val="000000" w:themeColor="text1"/>
                <w:sz w:val="21"/>
                <w:szCs w:val="21"/>
              </w:rPr>
              <w:t>（氯沙坦）；</w:t>
            </w:r>
            <w:r>
              <w:rPr>
                <w:rStyle w:val="font41"/>
                <w:rFonts w:eastAsia="宋体"/>
                <w:color w:val="000000" w:themeColor="text1"/>
                <w:sz w:val="21"/>
                <w:szCs w:val="21"/>
              </w:rPr>
              <w:t>3</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4 h</w:t>
            </w:r>
            <w:r>
              <w:rPr>
                <w:rStyle w:val="font31"/>
                <w:rFonts w:ascii="Times New Roman" w:hAnsi="Times New Roman" w:cs="Times New Roman" w:hint="default"/>
                <w:color w:val="000000" w:themeColor="text1"/>
                <w:sz w:val="21"/>
                <w:szCs w:val="21"/>
              </w:rPr>
              <w:t>（活性代谢产物）</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c>
          <w:tcPr>
            <w:tcW w:w="3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99%</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jc w:val="distribute"/>
              <w:textAlignment w:val="center"/>
              <w:rPr>
                <w:rStyle w:val="font41"/>
                <w:rFonts w:eastAsia="宋体"/>
                <w:color w:val="000000" w:themeColor="text1"/>
                <w:sz w:val="21"/>
                <w:szCs w:val="21"/>
              </w:rPr>
            </w:pPr>
            <w:r>
              <w:rPr>
                <w:rStyle w:val="font41"/>
                <w:rFonts w:eastAsia="宋体" w:hint="eastAsia"/>
                <w:color w:val="000000" w:themeColor="text1"/>
                <w:sz w:val="21"/>
                <w:szCs w:val="21"/>
              </w:rPr>
              <w:t xml:space="preserve">2 </w:t>
            </w:r>
            <w:r>
              <w:rPr>
                <w:rStyle w:val="font41"/>
                <w:rFonts w:eastAsia="宋体"/>
                <w:color w:val="000000" w:themeColor="text1"/>
                <w:sz w:val="21"/>
                <w:szCs w:val="21"/>
              </w:rPr>
              <w:t>h</w:t>
            </w:r>
            <w:r>
              <w:rPr>
                <w:rStyle w:val="font31"/>
                <w:rFonts w:ascii="Times New Roman" w:hAnsi="Times New Roman" w:cs="Times New Roman" w:hint="default"/>
                <w:color w:val="000000" w:themeColor="text1"/>
                <w:sz w:val="21"/>
                <w:szCs w:val="21"/>
              </w:rPr>
              <w:t>（氯沙坦）；</w:t>
            </w:r>
            <w:r>
              <w:rPr>
                <w:rStyle w:val="font41"/>
                <w:rFonts w:eastAsia="宋体"/>
                <w:color w:val="000000" w:themeColor="text1"/>
                <w:sz w:val="21"/>
                <w:szCs w:val="21"/>
              </w:rPr>
              <w:t>6</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9 h</w:t>
            </w:r>
            <w:r>
              <w:rPr>
                <w:rStyle w:val="font31"/>
                <w:rFonts w:ascii="Times New Roman" w:hAnsi="Times New Roman" w:cs="Times New Roman" w:hint="default"/>
                <w:color w:val="000000" w:themeColor="text1"/>
                <w:sz w:val="21"/>
                <w:szCs w:val="21"/>
              </w:rPr>
              <w:t>（活性产物）</w:t>
            </w:r>
          </w:p>
        </w:tc>
        <w:tc>
          <w:tcPr>
            <w:tcW w:w="3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35%</w:t>
            </w:r>
            <w:r>
              <w:rPr>
                <w:rFonts w:ascii="Times New Roman" w:eastAsia="宋体" w:hAnsi="Times New Roman" w:cs="Times New Roman" w:hint="eastAsia"/>
                <w:color w:val="000000" w:themeColor="text1"/>
                <w:kern w:val="0"/>
                <w:szCs w:val="21"/>
              </w:rPr>
              <w:t>（氯沙坦及活性代谢产物）</w:t>
            </w:r>
          </w:p>
        </w:tc>
        <w:tc>
          <w:tcPr>
            <w:tcW w:w="33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49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Style w:val="font41"/>
                <w:rFonts w:eastAsia="宋体"/>
                <w:color w:val="000000" w:themeColor="text1"/>
                <w:sz w:val="21"/>
                <w:szCs w:val="21"/>
              </w:rPr>
            </w:pPr>
          </w:p>
        </w:tc>
        <w:tc>
          <w:tcPr>
            <w:tcW w:w="555" w:type="pct"/>
            <w:vMerge w:val="restart"/>
            <w:tcBorders>
              <w:top w:val="single" w:sz="4" w:space="0" w:color="000000"/>
              <w:left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不良反应：血钾升高、血管性神经水肿</w:t>
            </w:r>
            <w:r>
              <w:rPr>
                <w:rFonts w:ascii="Times New Roman" w:eastAsia="宋体" w:hAnsi="Times New Roman" w:cs="Times New Roman"/>
                <w:color w:val="000000" w:themeColor="text1"/>
                <w:kern w:val="0"/>
                <w:szCs w:val="21"/>
              </w:rPr>
              <w:t>(</w:t>
            </w:r>
            <w:r>
              <w:rPr>
                <w:rFonts w:ascii="Times New Roman" w:eastAsia="宋体" w:hAnsi="Times New Roman" w:cs="Times New Roman" w:hint="eastAsia"/>
                <w:color w:val="000000" w:themeColor="text1"/>
                <w:kern w:val="0"/>
                <w:szCs w:val="21"/>
              </w:rPr>
              <w:t>罕见</w:t>
            </w:r>
            <w:r>
              <w:rPr>
                <w:rFonts w:ascii="Times New Roman" w:eastAsia="宋体" w:hAnsi="Times New Roman" w:cs="Times New Roman"/>
                <w:color w:val="000000" w:themeColor="text1"/>
                <w:kern w:val="0"/>
                <w:szCs w:val="21"/>
              </w:rPr>
              <w:t>)</w:t>
            </w:r>
            <w:r>
              <w:rPr>
                <w:rFonts w:ascii="Times New Roman" w:eastAsia="宋体" w:hAnsi="Times New Roman" w:cs="Times New Roman" w:hint="eastAsia"/>
                <w:color w:val="000000" w:themeColor="text1"/>
                <w:kern w:val="0"/>
                <w:szCs w:val="21"/>
              </w:rPr>
              <w:t>；高钾、妊娠、双侧肾动脉狭窄者禁用</w:t>
            </w:r>
          </w:p>
        </w:tc>
      </w:tr>
      <w:tr w:rsidR="002E5476">
        <w:trPr>
          <w:trHeight w:val="465"/>
          <w:jc w:val="center"/>
        </w:trPr>
        <w:tc>
          <w:tcPr>
            <w:tcW w:w="5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缬沙坦</w:t>
            </w:r>
          </w:p>
        </w:tc>
        <w:tc>
          <w:tcPr>
            <w:tcW w:w="5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Style w:val="font41"/>
                <w:rFonts w:eastAsia="宋体"/>
                <w:color w:val="000000" w:themeColor="text1"/>
                <w:sz w:val="21"/>
                <w:szCs w:val="21"/>
              </w:rPr>
            </w:pPr>
            <w:r>
              <w:rPr>
                <w:rStyle w:val="font41"/>
                <w:rFonts w:eastAsia="宋体"/>
                <w:color w:val="000000" w:themeColor="text1"/>
                <w:sz w:val="21"/>
                <w:szCs w:val="21"/>
              </w:rPr>
              <w:t>80</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320 mg</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qd</w:t>
            </w:r>
          </w:p>
        </w:tc>
        <w:tc>
          <w:tcPr>
            <w:tcW w:w="46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Style w:val="font41"/>
                <w:rFonts w:eastAsia="宋体" w:hint="eastAsia"/>
                <w:color w:val="000000" w:themeColor="text1"/>
                <w:sz w:val="21"/>
                <w:szCs w:val="21"/>
              </w:rPr>
              <w:t>进食使</w:t>
            </w:r>
            <w:r>
              <w:rPr>
                <w:rStyle w:val="font41"/>
                <w:rFonts w:eastAsia="宋体"/>
                <w:color w:val="000000" w:themeColor="text1"/>
                <w:sz w:val="21"/>
                <w:szCs w:val="21"/>
              </w:rPr>
              <w:t>AUC</w:t>
            </w:r>
            <w:r>
              <w:rPr>
                <w:rStyle w:val="font31"/>
                <w:rFonts w:ascii="Times New Roman" w:hAnsi="Times New Roman" w:cs="Times New Roman" w:hint="default"/>
                <w:color w:val="000000" w:themeColor="text1"/>
                <w:sz w:val="21"/>
                <w:szCs w:val="21"/>
              </w:rPr>
              <w:t>减少</w:t>
            </w:r>
            <w:r>
              <w:rPr>
                <w:rStyle w:val="font41"/>
                <w:rFonts w:eastAsia="宋体"/>
                <w:color w:val="000000" w:themeColor="text1"/>
                <w:sz w:val="21"/>
                <w:szCs w:val="21"/>
              </w:rPr>
              <w:t>48%</w:t>
            </w:r>
            <w:r>
              <w:rPr>
                <w:rStyle w:val="font31"/>
                <w:rFonts w:ascii="Times New Roman" w:hAnsi="Times New Roman" w:cs="Times New Roman" w:hint="default"/>
                <w:color w:val="000000" w:themeColor="text1"/>
                <w:sz w:val="21"/>
                <w:szCs w:val="21"/>
              </w:rPr>
              <w:t>，但其</w:t>
            </w:r>
            <w:r>
              <w:rPr>
                <w:rStyle w:val="font41"/>
                <w:rFonts w:eastAsia="宋体"/>
                <w:color w:val="000000" w:themeColor="text1"/>
                <w:sz w:val="21"/>
                <w:szCs w:val="21"/>
              </w:rPr>
              <w:t>AUC</w:t>
            </w:r>
            <w:r>
              <w:rPr>
                <w:rStyle w:val="font31"/>
                <w:rFonts w:ascii="Times New Roman" w:hAnsi="Times New Roman" w:cs="Times New Roman" w:hint="default"/>
                <w:color w:val="000000" w:themeColor="text1"/>
                <w:sz w:val="21"/>
                <w:szCs w:val="21"/>
              </w:rPr>
              <w:t>变化对临床疗效无明显影响，可进食中或空腹服用</w:t>
            </w:r>
          </w:p>
        </w:tc>
        <w:tc>
          <w:tcPr>
            <w:tcW w:w="3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Style w:val="font41"/>
                <w:rFonts w:eastAsia="宋体"/>
                <w:color w:val="000000" w:themeColor="text1"/>
                <w:sz w:val="21"/>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Style w:val="font41"/>
                <w:rFonts w:eastAsia="宋体"/>
                <w:color w:val="000000" w:themeColor="text1"/>
                <w:sz w:val="21"/>
                <w:szCs w:val="21"/>
              </w:rPr>
            </w:pPr>
            <w:r>
              <w:rPr>
                <w:rFonts w:ascii="Times New Roman" w:eastAsia="宋体" w:hAnsi="Times New Roman" w:cs="Times New Roman"/>
                <w:color w:val="000000" w:themeColor="text1"/>
                <w:kern w:val="0"/>
                <w:szCs w:val="21"/>
              </w:rPr>
              <w:t>2~4 h</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c>
          <w:tcPr>
            <w:tcW w:w="3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94%~97%</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Style w:val="font41"/>
                <w:rFonts w:eastAsia="宋体"/>
                <w:color w:val="000000" w:themeColor="text1"/>
                <w:sz w:val="21"/>
                <w:szCs w:val="21"/>
              </w:rPr>
            </w:pPr>
            <w:r>
              <w:rPr>
                <w:rFonts w:ascii="Times New Roman" w:eastAsia="宋体" w:hAnsi="Times New Roman" w:cs="Times New Roman"/>
                <w:color w:val="000000" w:themeColor="text1"/>
                <w:kern w:val="0"/>
                <w:szCs w:val="21"/>
              </w:rPr>
              <w:t>6 h</w:t>
            </w:r>
          </w:p>
        </w:tc>
        <w:tc>
          <w:tcPr>
            <w:tcW w:w="3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13%</w:t>
            </w:r>
            <w:r>
              <w:rPr>
                <w:rFonts w:ascii="Times New Roman" w:eastAsia="宋体" w:hAnsi="Times New Roman" w:cs="Times New Roman" w:hint="eastAsia"/>
                <w:color w:val="000000" w:themeColor="text1"/>
                <w:kern w:val="0"/>
                <w:szCs w:val="21"/>
              </w:rPr>
              <w:t>以原型药</w:t>
            </w:r>
          </w:p>
        </w:tc>
        <w:tc>
          <w:tcPr>
            <w:tcW w:w="33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49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Style w:val="font41"/>
                <w:rFonts w:eastAsia="宋体"/>
                <w:color w:val="000000" w:themeColor="text1"/>
                <w:sz w:val="21"/>
                <w:szCs w:val="21"/>
              </w:rPr>
            </w:pPr>
          </w:p>
        </w:tc>
        <w:tc>
          <w:tcPr>
            <w:tcW w:w="555" w:type="pct"/>
            <w:vMerge/>
            <w:tcBorders>
              <w:left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r>
      <w:tr w:rsidR="002E5476">
        <w:trPr>
          <w:trHeight w:val="341"/>
          <w:jc w:val="center"/>
        </w:trPr>
        <w:tc>
          <w:tcPr>
            <w:tcW w:w="5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厄贝沙坦</w:t>
            </w:r>
          </w:p>
        </w:tc>
        <w:tc>
          <w:tcPr>
            <w:tcW w:w="5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Style w:val="font41"/>
                <w:rFonts w:eastAsia="宋体"/>
                <w:color w:val="000000" w:themeColor="text1"/>
                <w:sz w:val="21"/>
                <w:szCs w:val="21"/>
              </w:rPr>
            </w:pPr>
            <w:r>
              <w:rPr>
                <w:rStyle w:val="font41"/>
                <w:rFonts w:eastAsia="宋体"/>
                <w:color w:val="000000" w:themeColor="text1"/>
                <w:sz w:val="21"/>
                <w:szCs w:val="21"/>
              </w:rPr>
              <w:t>75</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300 mg</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qd</w:t>
            </w:r>
          </w:p>
        </w:tc>
        <w:tc>
          <w:tcPr>
            <w:tcW w:w="46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无影响</w:t>
            </w:r>
          </w:p>
        </w:tc>
        <w:tc>
          <w:tcPr>
            <w:tcW w:w="3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Style w:val="font41"/>
                <w:rFonts w:eastAsia="宋体"/>
                <w:color w:val="000000" w:themeColor="text1"/>
                <w:sz w:val="21"/>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Style w:val="font41"/>
                <w:rFonts w:eastAsia="宋体"/>
                <w:color w:val="000000" w:themeColor="text1"/>
                <w:sz w:val="21"/>
                <w:szCs w:val="21"/>
              </w:rPr>
            </w:pPr>
            <w:r>
              <w:rPr>
                <w:rStyle w:val="font41"/>
                <w:rFonts w:eastAsia="宋体"/>
                <w:color w:val="000000" w:themeColor="text1"/>
                <w:sz w:val="21"/>
                <w:szCs w:val="21"/>
              </w:rPr>
              <w:t>1.0</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1.5 h</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c>
          <w:tcPr>
            <w:tcW w:w="3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96%</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Style w:val="font41"/>
                <w:rFonts w:eastAsia="宋体"/>
                <w:color w:val="000000" w:themeColor="text1"/>
                <w:sz w:val="21"/>
                <w:szCs w:val="21"/>
              </w:rPr>
            </w:pPr>
            <w:r>
              <w:rPr>
                <w:rStyle w:val="font41"/>
                <w:rFonts w:eastAsia="宋体"/>
                <w:color w:val="000000" w:themeColor="text1"/>
                <w:sz w:val="21"/>
                <w:szCs w:val="21"/>
              </w:rPr>
              <w:t>11</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15 h</w:t>
            </w:r>
          </w:p>
        </w:tc>
        <w:tc>
          <w:tcPr>
            <w:tcW w:w="3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w:t>
            </w:r>
            <w:r>
              <w:rPr>
                <w:rFonts w:ascii="Times New Roman" w:eastAsia="宋体" w:hAnsi="Times New Roman" w:cs="Times New Roman"/>
                <w:color w:val="000000" w:themeColor="text1"/>
                <w:szCs w:val="21"/>
              </w:rPr>
              <w:t>2%</w:t>
            </w:r>
            <w:r>
              <w:rPr>
                <w:rFonts w:ascii="Times New Roman" w:eastAsia="宋体" w:hAnsi="Times New Roman" w:cs="Times New Roman" w:hint="eastAsia"/>
                <w:color w:val="000000" w:themeColor="text1"/>
                <w:szCs w:val="21"/>
              </w:rPr>
              <w:t>原型药</w:t>
            </w:r>
          </w:p>
        </w:tc>
        <w:tc>
          <w:tcPr>
            <w:tcW w:w="33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49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Style w:val="font41"/>
                <w:rFonts w:eastAsia="宋体"/>
                <w:color w:val="000000" w:themeColor="text1"/>
                <w:sz w:val="21"/>
                <w:szCs w:val="21"/>
              </w:rPr>
            </w:pPr>
          </w:p>
        </w:tc>
        <w:tc>
          <w:tcPr>
            <w:tcW w:w="555" w:type="pct"/>
            <w:vMerge/>
            <w:tcBorders>
              <w:left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r>
      <w:tr w:rsidR="002E5476">
        <w:trPr>
          <w:trHeight w:val="465"/>
          <w:jc w:val="center"/>
        </w:trPr>
        <w:tc>
          <w:tcPr>
            <w:tcW w:w="5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替米沙坦</w:t>
            </w:r>
          </w:p>
        </w:tc>
        <w:tc>
          <w:tcPr>
            <w:tcW w:w="5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Style w:val="font41"/>
                <w:rFonts w:eastAsia="宋体"/>
                <w:color w:val="000000" w:themeColor="text1"/>
                <w:sz w:val="21"/>
                <w:szCs w:val="21"/>
              </w:rPr>
            </w:pPr>
            <w:r>
              <w:rPr>
                <w:rStyle w:val="font41"/>
                <w:rFonts w:eastAsia="宋体"/>
                <w:color w:val="000000" w:themeColor="text1"/>
                <w:sz w:val="21"/>
                <w:szCs w:val="21"/>
              </w:rPr>
              <w:t>40</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80 mg</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qd</w:t>
            </w:r>
          </w:p>
        </w:tc>
        <w:tc>
          <w:tcPr>
            <w:tcW w:w="46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进食中或进食后</w:t>
            </w:r>
          </w:p>
        </w:tc>
        <w:tc>
          <w:tcPr>
            <w:tcW w:w="3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Style w:val="font41"/>
                <w:rFonts w:eastAsia="宋体"/>
                <w:color w:val="000000" w:themeColor="text1"/>
                <w:sz w:val="21"/>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Style w:val="font41"/>
                <w:rFonts w:eastAsia="宋体"/>
                <w:color w:val="000000" w:themeColor="text1"/>
                <w:sz w:val="21"/>
                <w:szCs w:val="21"/>
              </w:rPr>
            </w:pPr>
            <w:r>
              <w:rPr>
                <w:rStyle w:val="font41"/>
                <w:rFonts w:eastAsia="宋体"/>
                <w:color w:val="000000" w:themeColor="text1"/>
                <w:sz w:val="21"/>
                <w:szCs w:val="21"/>
              </w:rPr>
              <w:t>0.5</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1.0 h</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c>
          <w:tcPr>
            <w:tcW w:w="3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Style w:val="font41"/>
                <w:rFonts w:eastAsia="宋体" w:hint="eastAsia"/>
                <w:color w:val="000000" w:themeColor="text1"/>
                <w:sz w:val="21"/>
                <w:szCs w:val="21"/>
              </w:rPr>
              <w:t>＞</w:t>
            </w:r>
            <w:r>
              <w:rPr>
                <w:rStyle w:val="font41"/>
                <w:rFonts w:eastAsia="宋体"/>
                <w:color w:val="000000" w:themeColor="text1"/>
                <w:sz w:val="21"/>
                <w:szCs w:val="21"/>
              </w:rPr>
              <w:t>99.5%</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Style w:val="font41"/>
                <w:rFonts w:eastAsia="宋体"/>
                <w:color w:val="000000" w:themeColor="text1"/>
                <w:sz w:val="21"/>
                <w:szCs w:val="21"/>
              </w:rPr>
            </w:pP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20 h</w:t>
            </w:r>
          </w:p>
        </w:tc>
        <w:tc>
          <w:tcPr>
            <w:tcW w:w="3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w:t>
            </w:r>
            <w:r>
              <w:rPr>
                <w:rFonts w:ascii="Times New Roman" w:eastAsia="宋体" w:hAnsi="Times New Roman" w:cs="Times New Roman"/>
                <w:color w:val="000000" w:themeColor="text1"/>
                <w:szCs w:val="21"/>
              </w:rPr>
              <w:t>1%</w:t>
            </w:r>
            <w:r>
              <w:rPr>
                <w:rFonts w:ascii="Times New Roman" w:eastAsia="宋体" w:hAnsi="Times New Roman" w:cs="Times New Roman" w:hint="eastAsia"/>
                <w:color w:val="000000" w:themeColor="text1"/>
                <w:szCs w:val="21"/>
              </w:rPr>
              <w:t>原型药</w:t>
            </w:r>
          </w:p>
        </w:tc>
        <w:tc>
          <w:tcPr>
            <w:tcW w:w="33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80 mg</w:t>
            </w:r>
          </w:p>
        </w:tc>
        <w:tc>
          <w:tcPr>
            <w:tcW w:w="49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Style w:val="font41"/>
                <w:rFonts w:eastAsia="宋体"/>
                <w:color w:val="000000" w:themeColor="text1"/>
                <w:sz w:val="21"/>
                <w:szCs w:val="21"/>
              </w:rPr>
            </w:pPr>
          </w:p>
        </w:tc>
        <w:tc>
          <w:tcPr>
            <w:tcW w:w="555" w:type="pct"/>
            <w:vMerge/>
            <w:tcBorders>
              <w:left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r>
      <w:tr w:rsidR="002E5476">
        <w:trPr>
          <w:trHeight w:val="465"/>
          <w:jc w:val="center"/>
        </w:trPr>
        <w:tc>
          <w:tcPr>
            <w:tcW w:w="5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坎地沙坦</w:t>
            </w:r>
          </w:p>
        </w:tc>
        <w:tc>
          <w:tcPr>
            <w:tcW w:w="5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Style w:val="font31"/>
                <w:rFonts w:ascii="Times New Roman" w:hAnsi="Times New Roman" w:cs="Times New Roman" w:hint="default"/>
                <w:color w:val="000000" w:themeColor="text1"/>
                <w:sz w:val="21"/>
                <w:szCs w:val="21"/>
              </w:rPr>
              <w:t>8~35 mg</w:t>
            </w:r>
            <w:r>
              <w:rPr>
                <w:rStyle w:val="font31"/>
                <w:rFonts w:ascii="Times New Roman" w:hAnsi="Times New Roman" w:cs="Times New Roman" w:hint="default"/>
                <w:color w:val="000000" w:themeColor="text1"/>
                <w:sz w:val="21"/>
                <w:szCs w:val="21"/>
              </w:rPr>
              <w:t>，</w:t>
            </w:r>
            <w:r>
              <w:rPr>
                <w:rStyle w:val="font31"/>
                <w:rFonts w:ascii="Times New Roman" w:hAnsi="Times New Roman" w:cs="Times New Roman" w:hint="default"/>
                <w:color w:val="000000" w:themeColor="text1"/>
                <w:sz w:val="21"/>
                <w:szCs w:val="21"/>
              </w:rPr>
              <w:t>qd</w:t>
            </w:r>
          </w:p>
        </w:tc>
        <w:tc>
          <w:tcPr>
            <w:tcW w:w="46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c>
          <w:tcPr>
            <w:tcW w:w="3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Style w:val="font41"/>
                <w:rFonts w:eastAsia="宋体"/>
                <w:color w:val="000000" w:themeColor="text1"/>
                <w:sz w:val="21"/>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Style w:val="font41"/>
                <w:rFonts w:eastAsia="宋体"/>
                <w:color w:val="000000" w:themeColor="text1"/>
                <w:sz w:val="21"/>
                <w:szCs w:val="21"/>
              </w:rPr>
            </w:pPr>
            <w:r>
              <w:rPr>
                <w:rStyle w:val="font41"/>
                <w:rFonts w:eastAsia="宋体"/>
                <w:color w:val="000000" w:themeColor="text1"/>
                <w:sz w:val="21"/>
                <w:szCs w:val="21"/>
              </w:rPr>
              <w:t>3~4 h</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Style w:val="font41"/>
                <w:rFonts w:eastAsia="宋体"/>
                <w:color w:val="000000" w:themeColor="text1"/>
                <w:sz w:val="21"/>
                <w:szCs w:val="21"/>
              </w:rPr>
            </w:pPr>
          </w:p>
        </w:tc>
        <w:tc>
          <w:tcPr>
            <w:tcW w:w="3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Style w:val="font41"/>
                <w:rFonts w:eastAsia="宋体"/>
                <w:color w:val="000000" w:themeColor="text1"/>
                <w:sz w:val="21"/>
                <w:szCs w:val="21"/>
              </w:rPr>
            </w:pPr>
            <w:r>
              <w:rPr>
                <w:rStyle w:val="font41"/>
                <w:rFonts w:eastAsia="宋体" w:hint="eastAsia"/>
                <w:color w:val="000000" w:themeColor="text1"/>
                <w:sz w:val="21"/>
                <w:szCs w:val="21"/>
              </w:rPr>
              <w:t>＞</w:t>
            </w:r>
            <w:r>
              <w:rPr>
                <w:rStyle w:val="font41"/>
                <w:rFonts w:eastAsia="宋体"/>
                <w:color w:val="000000" w:themeColor="text1"/>
                <w:sz w:val="21"/>
                <w:szCs w:val="21"/>
              </w:rPr>
              <w:t>99%</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Style w:val="font41"/>
                <w:rFonts w:eastAsia="宋体"/>
                <w:color w:val="000000" w:themeColor="text1"/>
                <w:sz w:val="21"/>
                <w:szCs w:val="21"/>
              </w:rPr>
            </w:pPr>
            <w:r>
              <w:rPr>
                <w:rStyle w:val="font41"/>
                <w:rFonts w:eastAsia="宋体"/>
                <w:color w:val="000000" w:themeColor="text1"/>
                <w:sz w:val="21"/>
                <w:szCs w:val="21"/>
              </w:rPr>
              <w:t>9~13 h</w:t>
            </w:r>
          </w:p>
        </w:tc>
        <w:tc>
          <w:tcPr>
            <w:tcW w:w="3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33%</w:t>
            </w:r>
            <w:r>
              <w:rPr>
                <w:rFonts w:ascii="Times New Roman" w:eastAsia="宋体" w:hAnsi="Times New Roman" w:cs="Times New Roman" w:hint="eastAsia"/>
                <w:color w:val="000000" w:themeColor="text1"/>
                <w:kern w:val="0"/>
                <w:szCs w:val="21"/>
              </w:rPr>
              <w:t>原型药</w:t>
            </w:r>
          </w:p>
        </w:tc>
        <w:tc>
          <w:tcPr>
            <w:tcW w:w="33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32 mg</w:t>
            </w:r>
          </w:p>
        </w:tc>
        <w:tc>
          <w:tcPr>
            <w:tcW w:w="49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c>
          <w:tcPr>
            <w:tcW w:w="555" w:type="pct"/>
            <w:vMerge/>
            <w:tcBorders>
              <w:left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r>
      <w:tr w:rsidR="002E5476">
        <w:trPr>
          <w:trHeight w:val="465"/>
          <w:jc w:val="center"/>
        </w:trPr>
        <w:tc>
          <w:tcPr>
            <w:tcW w:w="5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奥美沙坦</w:t>
            </w:r>
          </w:p>
        </w:tc>
        <w:tc>
          <w:tcPr>
            <w:tcW w:w="5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Style w:val="font41"/>
                <w:rFonts w:eastAsia="宋体"/>
                <w:color w:val="000000" w:themeColor="text1"/>
                <w:sz w:val="21"/>
                <w:szCs w:val="21"/>
              </w:rPr>
            </w:pPr>
            <w:r>
              <w:rPr>
                <w:rStyle w:val="font41"/>
                <w:rFonts w:eastAsia="宋体"/>
                <w:color w:val="000000" w:themeColor="text1"/>
                <w:sz w:val="21"/>
                <w:szCs w:val="21"/>
              </w:rPr>
              <w:t>10~40 mg</w:t>
            </w:r>
            <w:r>
              <w:rPr>
                <w:rStyle w:val="font41"/>
                <w:rFonts w:eastAsia="宋体" w:hint="eastAsia"/>
                <w:color w:val="000000" w:themeColor="text1"/>
                <w:sz w:val="21"/>
                <w:szCs w:val="21"/>
              </w:rPr>
              <w:t>，</w:t>
            </w:r>
            <w:r>
              <w:rPr>
                <w:rStyle w:val="font41"/>
                <w:rFonts w:eastAsia="宋体"/>
                <w:color w:val="000000" w:themeColor="text1"/>
                <w:sz w:val="21"/>
                <w:szCs w:val="21"/>
              </w:rPr>
              <w:t>qd</w:t>
            </w:r>
          </w:p>
        </w:tc>
        <w:tc>
          <w:tcPr>
            <w:tcW w:w="46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Style w:val="font41"/>
                <w:rFonts w:eastAsia="宋体"/>
                <w:color w:val="000000" w:themeColor="text1"/>
                <w:sz w:val="21"/>
                <w:szCs w:val="21"/>
              </w:rPr>
            </w:pPr>
            <w:r>
              <w:rPr>
                <w:rStyle w:val="font41"/>
                <w:rFonts w:eastAsia="宋体" w:hint="eastAsia"/>
                <w:color w:val="000000" w:themeColor="text1"/>
                <w:sz w:val="21"/>
                <w:szCs w:val="21"/>
              </w:rPr>
              <w:t>无影响</w:t>
            </w:r>
          </w:p>
        </w:tc>
        <w:tc>
          <w:tcPr>
            <w:tcW w:w="3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Style w:val="font41"/>
                <w:rFonts w:eastAsia="宋体"/>
                <w:color w:val="000000" w:themeColor="text1"/>
                <w:sz w:val="21"/>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Style w:val="font41"/>
                <w:rFonts w:eastAsia="宋体"/>
                <w:color w:val="000000" w:themeColor="text1"/>
                <w:sz w:val="21"/>
                <w:szCs w:val="21"/>
              </w:rPr>
            </w:pPr>
            <w:r>
              <w:rPr>
                <w:rStyle w:val="font41"/>
                <w:rFonts w:eastAsia="宋体"/>
                <w:color w:val="000000" w:themeColor="text1"/>
                <w:sz w:val="21"/>
                <w:szCs w:val="21"/>
              </w:rPr>
              <w:t>1~2 h</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Style w:val="font41"/>
                <w:rFonts w:eastAsia="宋体"/>
                <w:color w:val="000000" w:themeColor="text1"/>
                <w:sz w:val="21"/>
                <w:szCs w:val="21"/>
              </w:rPr>
            </w:pPr>
          </w:p>
        </w:tc>
        <w:tc>
          <w:tcPr>
            <w:tcW w:w="3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99%</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13 h</w:t>
            </w:r>
          </w:p>
        </w:tc>
        <w:tc>
          <w:tcPr>
            <w:tcW w:w="3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35%~50%</w:t>
            </w:r>
            <w:r>
              <w:rPr>
                <w:rFonts w:ascii="Times New Roman" w:eastAsia="宋体" w:hAnsi="Times New Roman" w:cs="Times New Roman" w:hint="eastAsia"/>
                <w:color w:val="000000" w:themeColor="text1"/>
                <w:kern w:val="0"/>
                <w:szCs w:val="21"/>
              </w:rPr>
              <w:t>原型药</w:t>
            </w:r>
          </w:p>
        </w:tc>
        <w:tc>
          <w:tcPr>
            <w:tcW w:w="33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超过</w:t>
            </w:r>
            <w:r>
              <w:rPr>
                <w:rFonts w:ascii="Times New Roman" w:eastAsia="宋体" w:hAnsi="Times New Roman" w:cs="Times New Roman"/>
                <w:color w:val="000000" w:themeColor="text1"/>
                <w:kern w:val="0"/>
                <w:szCs w:val="21"/>
              </w:rPr>
              <w:t>40 mg</w:t>
            </w:r>
            <w:r>
              <w:rPr>
                <w:rFonts w:ascii="Times New Roman" w:eastAsia="宋体" w:hAnsi="Times New Roman" w:cs="Times New Roman" w:hint="eastAsia"/>
                <w:color w:val="000000" w:themeColor="text1"/>
                <w:kern w:val="0"/>
                <w:szCs w:val="21"/>
              </w:rPr>
              <w:t>未显示出更强的降压效果</w:t>
            </w:r>
          </w:p>
        </w:tc>
        <w:tc>
          <w:tcPr>
            <w:tcW w:w="49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c>
          <w:tcPr>
            <w:tcW w:w="555" w:type="pct"/>
            <w:vMerge/>
            <w:tcBorders>
              <w:left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r>
      <w:tr w:rsidR="002E5476">
        <w:trPr>
          <w:trHeight w:val="465"/>
          <w:jc w:val="center"/>
        </w:trPr>
        <w:tc>
          <w:tcPr>
            <w:tcW w:w="5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阿利沙坦酯</w:t>
            </w:r>
          </w:p>
        </w:tc>
        <w:tc>
          <w:tcPr>
            <w:tcW w:w="5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Style w:val="font41"/>
                <w:rFonts w:eastAsia="宋体"/>
                <w:color w:val="000000" w:themeColor="text1"/>
                <w:sz w:val="21"/>
                <w:szCs w:val="21"/>
              </w:rPr>
            </w:pPr>
            <w:r>
              <w:rPr>
                <w:rStyle w:val="font41"/>
                <w:rFonts w:eastAsia="宋体"/>
                <w:color w:val="000000" w:themeColor="text1"/>
                <w:sz w:val="21"/>
                <w:szCs w:val="21"/>
              </w:rPr>
              <w:t>80</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240 mg</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qd</w:t>
            </w:r>
          </w:p>
        </w:tc>
        <w:tc>
          <w:tcPr>
            <w:tcW w:w="46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食物降低药物的吸收，建议不与食物同服</w:t>
            </w:r>
          </w:p>
        </w:tc>
        <w:tc>
          <w:tcPr>
            <w:tcW w:w="3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Style w:val="font41"/>
                <w:rFonts w:eastAsia="宋体"/>
                <w:color w:val="000000" w:themeColor="text1"/>
                <w:sz w:val="21"/>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Style w:val="font41"/>
                <w:rFonts w:eastAsia="宋体"/>
                <w:color w:val="000000" w:themeColor="text1"/>
                <w:sz w:val="21"/>
                <w:szCs w:val="21"/>
              </w:rPr>
            </w:pPr>
            <w:r>
              <w:rPr>
                <w:rStyle w:val="font41"/>
                <w:rFonts w:eastAsia="宋体"/>
                <w:color w:val="000000" w:themeColor="text1"/>
                <w:sz w:val="21"/>
                <w:szCs w:val="21"/>
              </w:rPr>
              <w:t>1.5</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2.5 h</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c>
          <w:tcPr>
            <w:tcW w:w="3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Style w:val="font41"/>
                <w:rFonts w:eastAsia="宋体" w:hint="eastAsia"/>
                <w:color w:val="000000" w:themeColor="text1"/>
                <w:sz w:val="21"/>
                <w:szCs w:val="21"/>
              </w:rPr>
              <w:t>＞</w:t>
            </w:r>
            <w:r>
              <w:rPr>
                <w:rStyle w:val="font41"/>
                <w:rFonts w:eastAsia="宋体"/>
                <w:color w:val="000000" w:themeColor="text1"/>
                <w:sz w:val="21"/>
                <w:szCs w:val="21"/>
              </w:rPr>
              <w:t>99.7%</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Style w:val="font41"/>
                <w:rFonts w:eastAsia="宋体"/>
                <w:color w:val="000000" w:themeColor="text1"/>
                <w:sz w:val="21"/>
                <w:szCs w:val="21"/>
              </w:rPr>
            </w:pPr>
            <w:r>
              <w:rPr>
                <w:rFonts w:ascii="Times New Roman" w:eastAsia="宋体" w:hAnsi="Times New Roman" w:cs="Times New Roman"/>
                <w:color w:val="000000" w:themeColor="text1"/>
                <w:kern w:val="0"/>
                <w:szCs w:val="21"/>
              </w:rPr>
              <w:t>10 h</w:t>
            </w:r>
          </w:p>
        </w:tc>
        <w:tc>
          <w:tcPr>
            <w:tcW w:w="3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极少</w:t>
            </w:r>
          </w:p>
        </w:tc>
        <w:tc>
          <w:tcPr>
            <w:tcW w:w="33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rPr>
                <w:rFonts w:ascii="Times New Roman" w:eastAsia="宋体" w:hAnsi="Times New Roman" w:cs="Times New Roman"/>
                <w:color w:val="000000" w:themeColor="text1"/>
                <w:szCs w:val="21"/>
              </w:rPr>
            </w:pPr>
            <w:r>
              <w:rPr>
                <w:rStyle w:val="font41"/>
                <w:rFonts w:eastAsia="宋体" w:hint="eastAsia"/>
                <w:color w:val="000000" w:themeColor="text1"/>
                <w:sz w:val="21"/>
                <w:szCs w:val="21"/>
              </w:rPr>
              <w:t>超过</w:t>
            </w:r>
            <w:r>
              <w:rPr>
                <w:rStyle w:val="font41"/>
                <w:rFonts w:eastAsia="宋体"/>
                <w:color w:val="000000" w:themeColor="text1"/>
                <w:sz w:val="21"/>
                <w:szCs w:val="21"/>
              </w:rPr>
              <w:t>240 mg/d</w:t>
            </w:r>
            <w:r>
              <w:rPr>
                <w:rStyle w:val="font31"/>
                <w:rFonts w:ascii="Times New Roman" w:hAnsi="Times New Roman" w:cs="Times New Roman" w:hint="default"/>
                <w:color w:val="000000" w:themeColor="text1"/>
                <w:sz w:val="21"/>
                <w:szCs w:val="21"/>
              </w:rPr>
              <w:t>未显示出更强的降压效果</w:t>
            </w:r>
          </w:p>
        </w:tc>
        <w:tc>
          <w:tcPr>
            <w:tcW w:w="49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Style w:val="font41"/>
                <w:rFonts w:eastAsia="宋体"/>
                <w:color w:val="000000" w:themeColor="text1"/>
                <w:sz w:val="21"/>
                <w:szCs w:val="21"/>
              </w:rPr>
            </w:pPr>
          </w:p>
        </w:tc>
        <w:tc>
          <w:tcPr>
            <w:tcW w:w="555" w:type="pct"/>
            <w:vMerge/>
            <w:tcBorders>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r>
      <w:tr w:rsidR="002E5476" w:rsidTr="00314A0E">
        <w:trPr>
          <w:trHeight w:val="853"/>
          <w:jc w:val="center"/>
        </w:trPr>
        <w:tc>
          <w:tcPr>
            <w:tcW w:w="5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b/>
                <w:bCs/>
                <w:color w:val="000000" w:themeColor="text1"/>
                <w:kern w:val="0"/>
                <w:szCs w:val="21"/>
              </w:rPr>
              <w:lastRenderedPageBreak/>
              <w:t>二氢吡啶类</w:t>
            </w:r>
            <w:r>
              <w:rPr>
                <w:rFonts w:ascii="Times New Roman" w:eastAsia="宋体" w:hAnsi="Times New Roman" w:cs="Times New Roman"/>
                <w:b/>
                <w:bCs/>
                <w:color w:val="000000" w:themeColor="text1"/>
                <w:kern w:val="0"/>
                <w:szCs w:val="21"/>
              </w:rPr>
              <w:t>CCB</w:t>
            </w:r>
          </w:p>
        </w:tc>
        <w:tc>
          <w:tcPr>
            <w:tcW w:w="5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Style w:val="font41"/>
                <w:rFonts w:eastAsia="宋体"/>
                <w:color w:val="000000" w:themeColor="text1"/>
                <w:sz w:val="21"/>
                <w:szCs w:val="21"/>
              </w:rPr>
            </w:pPr>
          </w:p>
        </w:tc>
        <w:tc>
          <w:tcPr>
            <w:tcW w:w="46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c>
          <w:tcPr>
            <w:tcW w:w="3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Style w:val="font41"/>
                <w:rFonts w:eastAsia="宋体"/>
                <w:color w:val="000000" w:themeColor="text1"/>
                <w:sz w:val="21"/>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Style w:val="font41"/>
                <w:rFonts w:eastAsia="宋体"/>
                <w:color w:val="000000" w:themeColor="text1"/>
                <w:sz w:val="21"/>
                <w:szCs w:val="21"/>
              </w:rPr>
            </w:pP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c>
          <w:tcPr>
            <w:tcW w:w="3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Style w:val="font41"/>
                <w:rFonts w:eastAsia="宋体"/>
                <w:color w:val="000000" w:themeColor="text1"/>
                <w:sz w:val="21"/>
                <w:szCs w:val="21"/>
              </w:rPr>
            </w:pPr>
          </w:p>
        </w:tc>
        <w:tc>
          <w:tcPr>
            <w:tcW w:w="3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33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49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Style w:val="font41"/>
                <w:rFonts w:eastAsia="宋体"/>
                <w:color w:val="000000" w:themeColor="text1"/>
                <w:sz w:val="21"/>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r>
      <w:tr w:rsidR="002E5476">
        <w:trPr>
          <w:trHeight w:val="2001"/>
          <w:jc w:val="center"/>
        </w:trPr>
        <w:tc>
          <w:tcPr>
            <w:tcW w:w="5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硝苯地平</w:t>
            </w:r>
          </w:p>
        </w:tc>
        <w:tc>
          <w:tcPr>
            <w:tcW w:w="5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10</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30 mg</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tid</w:t>
            </w:r>
          </w:p>
        </w:tc>
        <w:tc>
          <w:tcPr>
            <w:tcW w:w="46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无影响</w:t>
            </w:r>
          </w:p>
        </w:tc>
        <w:tc>
          <w:tcPr>
            <w:tcW w:w="3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Style w:val="font41"/>
                <w:rFonts w:eastAsia="宋体"/>
                <w:color w:val="000000" w:themeColor="text1"/>
                <w:sz w:val="21"/>
                <w:szCs w:val="21"/>
              </w:rPr>
            </w:pPr>
            <w:r>
              <w:rPr>
                <w:rStyle w:val="font41"/>
                <w:rFonts w:eastAsia="宋体" w:hint="eastAsia"/>
                <w:color w:val="000000" w:themeColor="text1"/>
                <w:sz w:val="21"/>
                <w:szCs w:val="21"/>
              </w:rPr>
              <w:t>口服：</w:t>
            </w:r>
            <w:r>
              <w:rPr>
                <w:rStyle w:val="font41"/>
                <w:rFonts w:eastAsia="宋体"/>
                <w:color w:val="000000" w:themeColor="text1"/>
                <w:sz w:val="21"/>
                <w:szCs w:val="21"/>
              </w:rPr>
              <w:t>15 min</w:t>
            </w:r>
            <w:r>
              <w:rPr>
                <w:rStyle w:val="font31"/>
                <w:rFonts w:ascii="Times New Roman" w:hAnsi="Times New Roman" w:cs="Times New Roman" w:hint="default"/>
                <w:color w:val="000000" w:themeColor="text1"/>
                <w:sz w:val="21"/>
                <w:szCs w:val="21"/>
              </w:rPr>
              <w:t>起效，</w:t>
            </w:r>
            <w:r>
              <w:rPr>
                <w:rStyle w:val="font41"/>
                <w:rFonts w:eastAsia="宋体"/>
                <w:color w:val="000000" w:themeColor="text1"/>
                <w:sz w:val="21"/>
                <w:szCs w:val="21"/>
              </w:rPr>
              <w:t>1~2 h</w:t>
            </w:r>
            <w:r>
              <w:rPr>
                <w:rStyle w:val="font31"/>
                <w:rFonts w:ascii="Times New Roman" w:hAnsi="Times New Roman" w:cs="Times New Roman" w:hint="default"/>
                <w:color w:val="000000" w:themeColor="text1"/>
                <w:sz w:val="21"/>
                <w:szCs w:val="21"/>
              </w:rPr>
              <w:t>达高峰</w:t>
            </w:r>
          </w:p>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hint="eastAsia"/>
                <w:color w:val="000000" w:themeColor="text1"/>
                <w:sz w:val="21"/>
                <w:szCs w:val="21"/>
              </w:rPr>
              <w:t>舌</w:t>
            </w:r>
            <w:r>
              <w:rPr>
                <w:rStyle w:val="font31"/>
                <w:rFonts w:ascii="Times New Roman" w:hAnsi="Times New Roman" w:cs="Times New Roman" w:hint="default"/>
                <w:color w:val="000000" w:themeColor="text1"/>
                <w:sz w:val="21"/>
                <w:szCs w:val="21"/>
              </w:rPr>
              <w:t>下：</w:t>
            </w:r>
            <w:r>
              <w:rPr>
                <w:rStyle w:val="font41"/>
                <w:rFonts w:eastAsia="宋体"/>
                <w:color w:val="000000" w:themeColor="text1"/>
                <w:sz w:val="21"/>
                <w:szCs w:val="21"/>
              </w:rPr>
              <w:t>2~3 min</w:t>
            </w:r>
            <w:r>
              <w:rPr>
                <w:rStyle w:val="font31"/>
                <w:rFonts w:ascii="Times New Roman" w:hAnsi="Times New Roman" w:cs="Times New Roman" w:hint="default"/>
                <w:color w:val="000000" w:themeColor="text1"/>
                <w:sz w:val="21"/>
                <w:szCs w:val="21"/>
              </w:rPr>
              <w:t>起效，</w:t>
            </w:r>
            <w:r>
              <w:rPr>
                <w:rStyle w:val="font41"/>
                <w:rFonts w:eastAsia="宋体"/>
                <w:color w:val="000000" w:themeColor="text1"/>
                <w:sz w:val="21"/>
                <w:szCs w:val="21"/>
              </w:rPr>
              <w:t>20 min</w:t>
            </w:r>
            <w:r>
              <w:rPr>
                <w:rStyle w:val="font31"/>
                <w:rFonts w:ascii="Times New Roman" w:hAnsi="Times New Roman" w:cs="Times New Roman" w:hint="default"/>
                <w:color w:val="000000" w:themeColor="text1"/>
                <w:sz w:val="21"/>
                <w:szCs w:val="21"/>
              </w:rPr>
              <w:t>达高峰</w:t>
            </w:r>
          </w:p>
        </w:tc>
        <w:tc>
          <w:tcPr>
            <w:tcW w:w="4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0.5</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1.0 h</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4~8 h</w:t>
            </w:r>
          </w:p>
        </w:tc>
        <w:tc>
          <w:tcPr>
            <w:tcW w:w="3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90%</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Style w:val="font31"/>
                <w:rFonts w:ascii="Times New Roman" w:hAnsi="Times New Roman" w:cs="Times New Roman" w:hint="default"/>
                <w:color w:val="000000" w:themeColor="text1"/>
                <w:sz w:val="21"/>
                <w:szCs w:val="21"/>
              </w:rPr>
            </w:pPr>
            <w:r>
              <w:rPr>
                <w:rStyle w:val="font41"/>
                <w:rFonts w:eastAsia="宋体"/>
                <w:color w:val="000000" w:themeColor="text1"/>
                <w:sz w:val="21"/>
                <w:szCs w:val="21"/>
              </w:rPr>
              <w:t>1.7</w:t>
            </w:r>
            <w:r>
              <w:rPr>
                <w:rStyle w:val="font31"/>
                <w:rFonts w:ascii="Times New Roman" w:hAnsi="Times New Roman" w:cs="Times New Roman" w:hint="default"/>
                <w:color w:val="000000" w:themeColor="text1"/>
                <w:sz w:val="21"/>
                <w:szCs w:val="21"/>
              </w:rPr>
              <w:t>~</w:t>
            </w:r>
          </w:p>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3.4 h</w:t>
            </w:r>
          </w:p>
        </w:tc>
        <w:tc>
          <w:tcPr>
            <w:tcW w:w="3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无活性代谢产物</w:t>
            </w:r>
            <w:r>
              <w:rPr>
                <w:rFonts w:ascii="Times New Roman" w:eastAsia="宋体" w:hAnsi="Times New Roman" w:cs="Times New Roman"/>
                <w:color w:val="000000" w:themeColor="text1"/>
                <w:szCs w:val="21"/>
              </w:rPr>
              <w:t xml:space="preserve">80% </w:t>
            </w:r>
            <w:r>
              <w:rPr>
                <w:rFonts w:ascii="Times New Roman" w:eastAsia="宋体" w:hAnsi="Times New Roman" w:cs="Times New Roman" w:hint="eastAsia"/>
                <w:color w:val="000000" w:themeColor="text1"/>
                <w:szCs w:val="21"/>
              </w:rPr>
              <w:t>，原型药物仅</w:t>
            </w:r>
            <w:r>
              <w:rPr>
                <w:rFonts w:ascii="Times New Roman" w:eastAsia="宋体" w:hAnsi="Times New Roman" w:cs="Times New Roman"/>
                <w:color w:val="000000" w:themeColor="text1"/>
                <w:szCs w:val="21"/>
              </w:rPr>
              <w:t>0.1%</w:t>
            </w:r>
          </w:p>
        </w:tc>
        <w:tc>
          <w:tcPr>
            <w:tcW w:w="33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120 mg</w:t>
            </w:r>
          </w:p>
        </w:tc>
        <w:tc>
          <w:tcPr>
            <w:tcW w:w="499"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hint="eastAsia"/>
                <w:color w:val="000000" w:themeColor="text1"/>
                <w:sz w:val="21"/>
                <w:szCs w:val="21"/>
              </w:rPr>
              <w:t>利福平通过</w:t>
            </w:r>
            <w:r>
              <w:rPr>
                <w:rStyle w:val="font41"/>
                <w:rFonts w:eastAsia="宋体"/>
                <w:color w:val="000000" w:themeColor="text1"/>
                <w:sz w:val="21"/>
                <w:szCs w:val="21"/>
              </w:rPr>
              <w:t>P450</w:t>
            </w:r>
            <w:r>
              <w:rPr>
                <w:rStyle w:val="font31"/>
                <w:rFonts w:ascii="Times New Roman" w:hAnsi="Times New Roman" w:cs="Times New Roman" w:hint="default"/>
                <w:color w:val="000000" w:themeColor="text1"/>
                <w:sz w:val="21"/>
                <w:szCs w:val="21"/>
              </w:rPr>
              <w:t>酶诱导作用，合用时需降低硝苯地平血药浓度</w:t>
            </w:r>
          </w:p>
        </w:tc>
        <w:tc>
          <w:tcPr>
            <w:tcW w:w="555"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踝部水肿、头痛、潮红；短效的药物可增加发生心血管事件的危险，需慎用；对心力衰竭患者，推荐使用长效药物如氨氯地平或非洛地平缓释片</w:t>
            </w:r>
          </w:p>
        </w:tc>
      </w:tr>
      <w:tr w:rsidR="002E5476">
        <w:trPr>
          <w:trHeight w:val="435"/>
          <w:jc w:val="center"/>
        </w:trPr>
        <w:tc>
          <w:tcPr>
            <w:tcW w:w="5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硝苯地平缓释片</w:t>
            </w:r>
          </w:p>
        </w:tc>
        <w:tc>
          <w:tcPr>
            <w:tcW w:w="5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10</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20 mg</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bid</w:t>
            </w:r>
          </w:p>
        </w:tc>
        <w:tc>
          <w:tcPr>
            <w:tcW w:w="46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不受食物影响，但需整片吞服</w:t>
            </w:r>
          </w:p>
        </w:tc>
        <w:tc>
          <w:tcPr>
            <w:tcW w:w="3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1.6</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4.0 h</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3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92%~98%</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1.7</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3.4 h</w:t>
            </w:r>
          </w:p>
        </w:tc>
        <w:tc>
          <w:tcPr>
            <w:tcW w:w="3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主要为无活性代谢产物，原型药物仅</w:t>
            </w:r>
            <w:r>
              <w:rPr>
                <w:rFonts w:ascii="Times New Roman" w:eastAsia="宋体" w:hAnsi="Times New Roman" w:cs="Times New Roman"/>
                <w:color w:val="000000" w:themeColor="text1"/>
                <w:szCs w:val="21"/>
              </w:rPr>
              <w:t>0.1%</w:t>
            </w:r>
          </w:p>
        </w:tc>
        <w:tc>
          <w:tcPr>
            <w:tcW w:w="33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hint="eastAsia"/>
                <w:color w:val="000000" w:themeColor="text1"/>
                <w:sz w:val="21"/>
                <w:szCs w:val="21"/>
              </w:rPr>
              <w:t>一次</w:t>
            </w:r>
            <w:r>
              <w:rPr>
                <w:rStyle w:val="font41"/>
                <w:rFonts w:eastAsia="宋体"/>
                <w:color w:val="000000" w:themeColor="text1"/>
                <w:sz w:val="21"/>
                <w:szCs w:val="21"/>
              </w:rPr>
              <w:t>40 mg</w:t>
            </w:r>
            <w:r>
              <w:rPr>
                <w:rStyle w:val="font31"/>
                <w:rFonts w:ascii="Times New Roman" w:hAnsi="Times New Roman" w:cs="Times New Roman" w:hint="default"/>
                <w:color w:val="000000" w:themeColor="text1"/>
                <w:sz w:val="21"/>
                <w:szCs w:val="21"/>
              </w:rPr>
              <w:t>，一日</w:t>
            </w:r>
            <w:r>
              <w:rPr>
                <w:rStyle w:val="font41"/>
                <w:rFonts w:eastAsia="宋体"/>
                <w:color w:val="000000" w:themeColor="text1"/>
                <w:sz w:val="21"/>
                <w:szCs w:val="21"/>
              </w:rPr>
              <w:t>120 mg</w:t>
            </w:r>
          </w:p>
        </w:tc>
        <w:tc>
          <w:tcPr>
            <w:tcW w:w="49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55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r>
      <w:tr w:rsidR="002E5476">
        <w:trPr>
          <w:trHeight w:val="1515"/>
          <w:jc w:val="center"/>
        </w:trPr>
        <w:tc>
          <w:tcPr>
            <w:tcW w:w="5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硝苯地平控释片</w:t>
            </w:r>
          </w:p>
        </w:tc>
        <w:tc>
          <w:tcPr>
            <w:tcW w:w="5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Style w:val="font41"/>
                <w:rFonts w:eastAsia="宋体"/>
                <w:color w:val="000000" w:themeColor="text1"/>
                <w:sz w:val="21"/>
                <w:szCs w:val="21"/>
              </w:rPr>
            </w:pPr>
            <w:r>
              <w:rPr>
                <w:rStyle w:val="font41"/>
                <w:rFonts w:eastAsia="宋体"/>
                <w:color w:val="000000" w:themeColor="text1"/>
                <w:sz w:val="21"/>
                <w:szCs w:val="21"/>
              </w:rPr>
              <w:t>30~90 mg</w:t>
            </w:r>
            <w:r>
              <w:rPr>
                <w:rStyle w:val="font41"/>
                <w:rFonts w:eastAsia="宋体" w:hint="eastAsia"/>
                <w:color w:val="000000" w:themeColor="text1"/>
                <w:sz w:val="21"/>
                <w:szCs w:val="21"/>
              </w:rPr>
              <w:t>，</w:t>
            </w:r>
            <w:r>
              <w:rPr>
                <w:rStyle w:val="font41"/>
                <w:rFonts w:eastAsia="宋体"/>
                <w:color w:val="000000" w:themeColor="text1"/>
                <w:sz w:val="21"/>
                <w:szCs w:val="21"/>
              </w:rPr>
              <w:t>qd</w:t>
            </w:r>
          </w:p>
        </w:tc>
        <w:tc>
          <w:tcPr>
            <w:tcW w:w="46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Style w:val="font41"/>
                <w:rFonts w:eastAsia="宋体"/>
                <w:color w:val="000000" w:themeColor="text1"/>
                <w:sz w:val="21"/>
                <w:szCs w:val="21"/>
              </w:rPr>
            </w:pPr>
            <w:r>
              <w:rPr>
                <w:rStyle w:val="font41"/>
                <w:rFonts w:eastAsia="宋体" w:hint="eastAsia"/>
                <w:color w:val="000000" w:themeColor="text1"/>
                <w:sz w:val="21"/>
                <w:szCs w:val="21"/>
              </w:rPr>
              <w:t>不受食物影响，但需整片吞服，不得咀嚼、掰开或碾碎，其活性成分被吸收后，空药片完整地经肠道排出</w:t>
            </w:r>
          </w:p>
        </w:tc>
        <w:tc>
          <w:tcPr>
            <w:tcW w:w="3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hint="eastAsia"/>
                <w:color w:val="000000" w:themeColor="text1"/>
                <w:sz w:val="21"/>
                <w:szCs w:val="21"/>
              </w:rPr>
              <w:t>首</w:t>
            </w:r>
            <w:r>
              <w:rPr>
                <w:rStyle w:val="font31"/>
                <w:rFonts w:ascii="Times New Roman" w:hAnsi="Times New Roman" w:cs="Times New Roman" w:hint="default"/>
                <w:color w:val="000000" w:themeColor="text1"/>
                <w:sz w:val="21"/>
                <w:szCs w:val="21"/>
              </w:rPr>
              <w:t>剂达峰</w:t>
            </w:r>
            <w:r>
              <w:rPr>
                <w:rStyle w:val="font41"/>
                <w:rFonts w:eastAsia="宋体"/>
                <w:color w:val="000000" w:themeColor="text1"/>
                <w:sz w:val="21"/>
                <w:szCs w:val="21"/>
              </w:rPr>
              <w:t>6</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 xml:space="preserve">12 </w:t>
            </w:r>
            <w:r>
              <w:rPr>
                <w:rStyle w:val="font31"/>
                <w:rFonts w:ascii="Times New Roman" w:hAnsi="Times New Roman" w:cs="Times New Roman" w:hint="default"/>
                <w:color w:val="000000" w:themeColor="text1"/>
                <w:sz w:val="21"/>
                <w:szCs w:val="21"/>
              </w:rPr>
              <w:t>h</w:t>
            </w:r>
            <w:r>
              <w:rPr>
                <w:rStyle w:val="font31"/>
                <w:rFonts w:ascii="Times New Roman" w:hAnsi="Times New Roman" w:cs="Times New Roman" w:hint="default"/>
                <w:color w:val="000000" w:themeColor="text1"/>
                <w:sz w:val="21"/>
                <w:szCs w:val="21"/>
              </w:rPr>
              <w:t>，连续服药血浆药物浓度波动小</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3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92%~</w:t>
            </w:r>
          </w:p>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98%</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1.7</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3.4 h</w:t>
            </w:r>
          </w:p>
        </w:tc>
        <w:tc>
          <w:tcPr>
            <w:tcW w:w="3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无活性代谢产物</w:t>
            </w:r>
            <w:r>
              <w:rPr>
                <w:rFonts w:ascii="Times New Roman" w:eastAsia="宋体" w:hAnsi="Times New Roman" w:cs="Times New Roman"/>
                <w:color w:val="000000" w:themeColor="text1"/>
                <w:kern w:val="0"/>
                <w:szCs w:val="21"/>
              </w:rPr>
              <w:t>80%</w:t>
            </w:r>
            <w:r>
              <w:rPr>
                <w:rFonts w:ascii="Times New Roman" w:eastAsia="宋体" w:hAnsi="Times New Roman" w:cs="Times New Roman" w:hint="eastAsia"/>
                <w:color w:val="000000" w:themeColor="text1"/>
                <w:kern w:val="0"/>
                <w:szCs w:val="21"/>
              </w:rPr>
              <w:t>，原型药物＜</w:t>
            </w:r>
            <w:r>
              <w:rPr>
                <w:rFonts w:ascii="Times New Roman" w:eastAsia="宋体" w:hAnsi="Times New Roman" w:cs="Times New Roman"/>
                <w:color w:val="000000" w:themeColor="text1"/>
                <w:kern w:val="0"/>
                <w:szCs w:val="21"/>
              </w:rPr>
              <w:t>0.1%</w:t>
            </w:r>
          </w:p>
        </w:tc>
        <w:tc>
          <w:tcPr>
            <w:tcW w:w="33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49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55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r>
      <w:tr w:rsidR="002E5476">
        <w:trPr>
          <w:trHeight w:val="1680"/>
          <w:jc w:val="center"/>
        </w:trPr>
        <w:tc>
          <w:tcPr>
            <w:tcW w:w="5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氨氯地平</w:t>
            </w:r>
          </w:p>
        </w:tc>
        <w:tc>
          <w:tcPr>
            <w:tcW w:w="5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2.5</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10.0 mg</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qd</w:t>
            </w:r>
          </w:p>
        </w:tc>
        <w:tc>
          <w:tcPr>
            <w:tcW w:w="46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无影响</w:t>
            </w:r>
          </w:p>
        </w:tc>
        <w:tc>
          <w:tcPr>
            <w:tcW w:w="3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6</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12 h</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3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97.5%</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Style w:val="font31"/>
                <w:rFonts w:ascii="Times New Roman" w:hAnsi="Times New Roman" w:cs="Times New Roman" w:hint="default"/>
                <w:color w:val="000000" w:themeColor="text1"/>
                <w:sz w:val="21"/>
                <w:szCs w:val="21"/>
              </w:rPr>
            </w:pPr>
            <w:r>
              <w:rPr>
                <w:rStyle w:val="font41"/>
                <w:rFonts w:eastAsia="宋体"/>
                <w:color w:val="000000" w:themeColor="text1"/>
                <w:sz w:val="21"/>
                <w:szCs w:val="21"/>
              </w:rPr>
              <w:t>35</w:t>
            </w:r>
            <w:r>
              <w:rPr>
                <w:rStyle w:val="font31"/>
                <w:rFonts w:ascii="Times New Roman" w:hAnsi="Times New Roman" w:cs="Times New Roman" w:hint="default"/>
                <w:color w:val="000000" w:themeColor="text1"/>
                <w:sz w:val="21"/>
                <w:szCs w:val="21"/>
              </w:rPr>
              <w:t>~</w:t>
            </w:r>
          </w:p>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50 h</w:t>
            </w:r>
          </w:p>
        </w:tc>
        <w:tc>
          <w:tcPr>
            <w:tcW w:w="3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60%</w:t>
            </w:r>
            <w:r>
              <w:rPr>
                <w:rFonts w:ascii="Times New Roman" w:eastAsia="宋体" w:hAnsi="Times New Roman" w:cs="Times New Roman" w:hint="eastAsia"/>
                <w:color w:val="000000" w:themeColor="text1"/>
                <w:szCs w:val="21"/>
              </w:rPr>
              <w:t>代谢物，</w:t>
            </w:r>
            <w:r>
              <w:rPr>
                <w:rFonts w:ascii="Times New Roman" w:eastAsia="宋体" w:hAnsi="Times New Roman" w:cs="Times New Roman"/>
                <w:color w:val="000000" w:themeColor="text1"/>
                <w:szCs w:val="21"/>
              </w:rPr>
              <w:t>10%</w:t>
            </w:r>
            <w:r>
              <w:rPr>
                <w:rFonts w:ascii="Times New Roman" w:eastAsia="宋体" w:hAnsi="Times New Roman" w:cs="Times New Roman" w:hint="eastAsia"/>
                <w:color w:val="000000" w:themeColor="text1"/>
                <w:szCs w:val="21"/>
              </w:rPr>
              <w:t>原型</w:t>
            </w:r>
          </w:p>
        </w:tc>
        <w:tc>
          <w:tcPr>
            <w:tcW w:w="33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10 mg</w:t>
            </w:r>
          </w:p>
        </w:tc>
        <w:tc>
          <w:tcPr>
            <w:tcW w:w="49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hint="eastAsia"/>
                <w:color w:val="000000" w:themeColor="text1"/>
                <w:sz w:val="21"/>
                <w:szCs w:val="21"/>
              </w:rPr>
              <w:t>地尔硫卓及</w:t>
            </w:r>
            <w:r>
              <w:rPr>
                <w:rStyle w:val="font41"/>
                <w:rFonts w:eastAsia="宋体"/>
                <w:color w:val="000000" w:themeColor="text1"/>
                <w:sz w:val="21"/>
                <w:szCs w:val="21"/>
              </w:rPr>
              <w:t>CYP3A4</w:t>
            </w:r>
            <w:r>
              <w:rPr>
                <w:rStyle w:val="font31"/>
                <w:rFonts w:ascii="Times New Roman" w:hAnsi="Times New Roman" w:cs="Times New Roman" w:hint="default"/>
                <w:color w:val="000000" w:themeColor="text1"/>
                <w:sz w:val="21"/>
                <w:szCs w:val="21"/>
              </w:rPr>
              <w:t>强抑制剂增加氨氯地平血药浓度；辛伐他汀、环孢素、他克莫司合用时使这些药物浓度增加</w:t>
            </w:r>
          </w:p>
        </w:tc>
        <w:tc>
          <w:tcPr>
            <w:tcW w:w="55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r>
      <w:tr w:rsidR="002E5476">
        <w:trPr>
          <w:trHeight w:val="390"/>
          <w:jc w:val="center"/>
        </w:trPr>
        <w:tc>
          <w:tcPr>
            <w:tcW w:w="5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左旋氨氯地平</w:t>
            </w:r>
          </w:p>
        </w:tc>
        <w:tc>
          <w:tcPr>
            <w:tcW w:w="5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2.5</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5.0 mg</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qd</w:t>
            </w:r>
          </w:p>
        </w:tc>
        <w:tc>
          <w:tcPr>
            <w:tcW w:w="46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无影响</w:t>
            </w:r>
          </w:p>
        </w:tc>
        <w:tc>
          <w:tcPr>
            <w:tcW w:w="3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6</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12 h</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3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97.5%</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49.6 h</w:t>
            </w:r>
          </w:p>
        </w:tc>
        <w:tc>
          <w:tcPr>
            <w:tcW w:w="3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60%</w:t>
            </w:r>
            <w:r>
              <w:rPr>
                <w:rFonts w:ascii="Times New Roman" w:eastAsia="宋体" w:hAnsi="Times New Roman" w:cs="Times New Roman" w:hint="eastAsia"/>
                <w:color w:val="000000" w:themeColor="text1"/>
                <w:szCs w:val="21"/>
              </w:rPr>
              <w:t>代谢物，</w:t>
            </w:r>
            <w:r>
              <w:rPr>
                <w:rFonts w:ascii="Times New Roman" w:eastAsia="宋体" w:hAnsi="Times New Roman" w:cs="Times New Roman"/>
                <w:color w:val="000000" w:themeColor="text1"/>
                <w:szCs w:val="21"/>
              </w:rPr>
              <w:t>10%</w:t>
            </w:r>
            <w:r>
              <w:rPr>
                <w:rFonts w:ascii="Times New Roman" w:eastAsia="宋体" w:hAnsi="Times New Roman" w:cs="Times New Roman" w:hint="eastAsia"/>
                <w:color w:val="000000" w:themeColor="text1"/>
                <w:szCs w:val="21"/>
              </w:rPr>
              <w:t>原型</w:t>
            </w:r>
          </w:p>
        </w:tc>
        <w:tc>
          <w:tcPr>
            <w:tcW w:w="33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5 mg</w:t>
            </w:r>
          </w:p>
        </w:tc>
        <w:tc>
          <w:tcPr>
            <w:tcW w:w="49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55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r>
      <w:tr w:rsidR="002E5476">
        <w:trPr>
          <w:trHeight w:val="600"/>
          <w:jc w:val="center"/>
        </w:trPr>
        <w:tc>
          <w:tcPr>
            <w:tcW w:w="5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lastRenderedPageBreak/>
              <w:t>非洛地平</w:t>
            </w:r>
          </w:p>
        </w:tc>
        <w:tc>
          <w:tcPr>
            <w:tcW w:w="5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5</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10 mg</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qd</w:t>
            </w:r>
          </w:p>
        </w:tc>
        <w:tc>
          <w:tcPr>
            <w:tcW w:w="46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hint="eastAsia"/>
                <w:color w:val="000000" w:themeColor="text1"/>
                <w:sz w:val="21"/>
                <w:szCs w:val="21"/>
              </w:rPr>
              <w:t>本品应空腹服用或食用少量清淡饮食；高脂餐或碳水化合物，使</w:t>
            </w:r>
            <w:r>
              <w:rPr>
                <w:rStyle w:val="font41"/>
                <w:rFonts w:eastAsia="宋体"/>
                <w:color w:val="000000" w:themeColor="text1"/>
                <w:sz w:val="21"/>
                <w:szCs w:val="21"/>
              </w:rPr>
              <w:t>Cmax</w:t>
            </w:r>
            <w:r>
              <w:rPr>
                <w:rStyle w:val="font31"/>
                <w:rFonts w:ascii="Times New Roman" w:hAnsi="Times New Roman" w:cs="Times New Roman" w:hint="default"/>
                <w:color w:val="000000" w:themeColor="text1"/>
                <w:sz w:val="21"/>
                <w:szCs w:val="21"/>
              </w:rPr>
              <w:t>增加</w:t>
            </w:r>
            <w:r>
              <w:rPr>
                <w:rStyle w:val="font41"/>
                <w:rFonts w:eastAsia="宋体"/>
                <w:color w:val="000000" w:themeColor="text1"/>
                <w:sz w:val="21"/>
                <w:szCs w:val="21"/>
              </w:rPr>
              <w:t>60%</w:t>
            </w:r>
          </w:p>
        </w:tc>
        <w:tc>
          <w:tcPr>
            <w:tcW w:w="3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2.5</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5.0 h</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3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99%</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11~</w:t>
            </w:r>
          </w:p>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16 h</w:t>
            </w:r>
          </w:p>
        </w:tc>
        <w:tc>
          <w:tcPr>
            <w:tcW w:w="3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33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49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rPr>
                <w:rFonts w:ascii="Times New Roman" w:eastAsia="宋体" w:hAnsi="Times New Roman" w:cs="Times New Roman"/>
                <w:color w:val="000000" w:themeColor="text1"/>
                <w:szCs w:val="21"/>
              </w:rPr>
            </w:pPr>
            <w:r>
              <w:rPr>
                <w:rStyle w:val="font31"/>
                <w:rFonts w:ascii="Times New Roman" w:hAnsi="Times New Roman" w:cs="Times New Roman" w:hint="default"/>
                <w:color w:val="000000" w:themeColor="text1"/>
                <w:sz w:val="21"/>
                <w:szCs w:val="21"/>
              </w:rPr>
              <w:t>葡萄柚汁抑制</w:t>
            </w:r>
            <w:r>
              <w:rPr>
                <w:rStyle w:val="font31"/>
                <w:rFonts w:ascii="Times New Roman" w:hAnsi="Times New Roman" w:cs="Times New Roman" w:hint="default"/>
                <w:color w:val="000000" w:themeColor="text1"/>
                <w:sz w:val="21"/>
                <w:szCs w:val="21"/>
              </w:rPr>
              <w:t>CYP3A4</w:t>
            </w:r>
            <w:r>
              <w:rPr>
                <w:rStyle w:val="font31"/>
                <w:rFonts w:ascii="Times New Roman" w:hAnsi="Times New Roman" w:cs="Times New Roman" w:hint="default"/>
                <w:color w:val="000000" w:themeColor="text1"/>
                <w:sz w:val="21"/>
                <w:szCs w:val="21"/>
              </w:rPr>
              <w:t>，使其</w:t>
            </w:r>
            <w:r>
              <w:rPr>
                <w:rStyle w:val="font31"/>
                <w:rFonts w:ascii="Times New Roman" w:hAnsi="Times New Roman" w:cs="Times New Roman" w:hint="default"/>
                <w:color w:val="000000" w:themeColor="text1"/>
                <w:sz w:val="21"/>
                <w:szCs w:val="21"/>
              </w:rPr>
              <w:t>Cmax</w:t>
            </w:r>
            <w:r>
              <w:rPr>
                <w:rStyle w:val="font31"/>
                <w:rFonts w:ascii="Times New Roman" w:hAnsi="Times New Roman" w:cs="Times New Roman" w:hint="default"/>
                <w:color w:val="000000" w:themeColor="text1"/>
                <w:sz w:val="21"/>
                <w:szCs w:val="21"/>
              </w:rPr>
              <w:t>和</w:t>
            </w:r>
            <w:r>
              <w:rPr>
                <w:rStyle w:val="font31"/>
                <w:rFonts w:ascii="Times New Roman" w:hAnsi="Times New Roman" w:cs="Times New Roman" w:hint="default"/>
                <w:color w:val="000000" w:themeColor="text1"/>
                <w:sz w:val="21"/>
                <w:szCs w:val="21"/>
              </w:rPr>
              <w:t>AUC</w:t>
            </w:r>
            <w:r>
              <w:rPr>
                <w:rStyle w:val="font31"/>
                <w:rFonts w:ascii="Times New Roman" w:hAnsi="Times New Roman" w:cs="Times New Roman" w:hint="default"/>
                <w:color w:val="000000" w:themeColor="text1"/>
                <w:sz w:val="21"/>
                <w:szCs w:val="21"/>
              </w:rPr>
              <w:t>增加</w:t>
            </w:r>
            <w:r>
              <w:rPr>
                <w:rStyle w:val="font41"/>
                <w:rFonts w:eastAsia="宋体"/>
                <w:color w:val="000000" w:themeColor="text1"/>
                <w:sz w:val="21"/>
                <w:szCs w:val="21"/>
              </w:rPr>
              <w:t>2</w:t>
            </w:r>
            <w:r>
              <w:rPr>
                <w:rStyle w:val="font31"/>
                <w:rFonts w:ascii="Times New Roman" w:hAnsi="Times New Roman" w:cs="Times New Roman" w:hint="default"/>
                <w:color w:val="000000" w:themeColor="text1"/>
                <w:sz w:val="21"/>
                <w:szCs w:val="21"/>
              </w:rPr>
              <w:t>倍，避免合用；非洛地平可升高他克莫司血药浓度，合用时需监测血药浓度，对环孢素影响有限</w:t>
            </w:r>
          </w:p>
        </w:tc>
        <w:tc>
          <w:tcPr>
            <w:tcW w:w="55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r>
      <w:tr w:rsidR="002E5476">
        <w:trPr>
          <w:trHeight w:val="390"/>
          <w:jc w:val="center"/>
        </w:trPr>
        <w:tc>
          <w:tcPr>
            <w:tcW w:w="5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Style w:val="font41"/>
                <w:rFonts w:eastAsia="宋体"/>
                <w:color w:val="000000" w:themeColor="text1"/>
                <w:sz w:val="21"/>
                <w:szCs w:val="21"/>
              </w:rPr>
            </w:pPr>
            <w:r>
              <w:rPr>
                <w:rStyle w:val="font41"/>
                <w:rFonts w:eastAsia="宋体" w:hint="eastAsia"/>
                <w:color w:val="000000" w:themeColor="text1"/>
                <w:sz w:val="21"/>
                <w:szCs w:val="21"/>
              </w:rPr>
              <w:t>拉西地平</w:t>
            </w:r>
          </w:p>
        </w:tc>
        <w:tc>
          <w:tcPr>
            <w:tcW w:w="5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Style w:val="font41"/>
                <w:rFonts w:eastAsia="宋体"/>
                <w:color w:val="000000" w:themeColor="text1"/>
                <w:sz w:val="21"/>
                <w:szCs w:val="21"/>
              </w:rPr>
            </w:pPr>
            <w:r>
              <w:rPr>
                <w:rStyle w:val="font41"/>
                <w:rFonts w:eastAsia="宋体"/>
                <w:color w:val="000000" w:themeColor="text1"/>
                <w:sz w:val="21"/>
                <w:szCs w:val="21"/>
              </w:rPr>
              <w:t>2~6 mg</w:t>
            </w:r>
            <w:r>
              <w:rPr>
                <w:rStyle w:val="font41"/>
                <w:rFonts w:eastAsia="宋体" w:hint="eastAsia"/>
                <w:color w:val="000000" w:themeColor="text1"/>
                <w:sz w:val="21"/>
                <w:szCs w:val="21"/>
              </w:rPr>
              <w:t>，</w:t>
            </w:r>
            <w:r>
              <w:rPr>
                <w:rStyle w:val="font41"/>
                <w:rFonts w:eastAsia="宋体"/>
                <w:color w:val="000000" w:themeColor="text1"/>
                <w:sz w:val="21"/>
                <w:szCs w:val="21"/>
              </w:rPr>
              <w:t>qd</w:t>
            </w:r>
          </w:p>
        </w:tc>
        <w:tc>
          <w:tcPr>
            <w:tcW w:w="46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无影响</w:t>
            </w:r>
          </w:p>
        </w:tc>
        <w:tc>
          <w:tcPr>
            <w:tcW w:w="3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0.5</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1.5 h</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3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hint="eastAsia"/>
                <w:color w:val="000000" w:themeColor="text1"/>
                <w:sz w:val="21"/>
                <w:szCs w:val="21"/>
              </w:rPr>
              <w:t>＞</w:t>
            </w:r>
            <w:r>
              <w:rPr>
                <w:rStyle w:val="font41"/>
                <w:rFonts w:eastAsia="宋体"/>
                <w:color w:val="000000" w:themeColor="text1"/>
                <w:sz w:val="21"/>
                <w:szCs w:val="21"/>
              </w:rPr>
              <w:t>95%</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13~</w:t>
            </w:r>
          </w:p>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19 h</w:t>
            </w:r>
          </w:p>
        </w:tc>
        <w:tc>
          <w:tcPr>
            <w:tcW w:w="3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30%</w:t>
            </w:r>
            <w:r>
              <w:rPr>
                <w:rFonts w:ascii="Times New Roman" w:eastAsia="宋体" w:hAnsi="Times New Roman" w:cs="Times New Roman" w:hint="eastAsia"/>
                <w:color w:val="000000" w:themeColor="text1"/>
                <w:szCs w:val="21"/>
              </w:rPr>
              <w:t>代谢物</w:t>
            </w:r>
          </w:p>
        </w:tc>
        <w:tc>
          <w:tcPr>
            <w:tcW w:w="33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49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55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r>
      <w:tr w:rsidR="002E5476">
        <w:trPr>
          <w:trHeight w:val="435"/>
          <w:jc w:val="center"/>
        </w:trPr>
        <w:tc>
          <w:tcPr>
            <w:tcW w:w="5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尼卡地平</w:t>
            </w:r>
          </w:p>
        </w:tc>
        <w:tc>
          <w:tcPr>
            <w:tcW w:w="5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Style w:val="font41"/>
                <w:rFonts w:eastAsia="宋体"/>
                <w:color w:val="000000" w:themeColor="text1"/>
                <w:sz w:val="21"/>
                <w:szCs w:val="21"/>
              </w:rPr>
            </w:pPr>
            <w:r>
              <w:rPr>
                <w:rStyle w:val="font41"/>
                <w:rFonts w:eastAsia="宋体"/>
                <w:color w:val="000000" w:themeColor="text1"/>
                <w:sz w:val="21"/>
                <w:szCs w:val="21"/>
              </w:rPr>
              <w:t>20~40 mg</w:t>
            </w:r>
            <w:r>
              <w:rPr>
                <w:rStyle w:val="font41"/>
                <w:rFonts w:eastAsia="宋体" w:hint="eastAsia"/>
                <w:color w:val="000000" w:themeColor="text1"/>
                <w:sz w:val="21"/>
                <w:szCs w:val="21"/>
              </w:rPr>
              <w:t>，</w:t>
            </w:r>
            <w:r>
              <w:rPr>
                <w:rStyle w:val="font41"/>
                <w:rFonts w:eastAsia="宋体"/>
                <w:color w:val="000000" w:themeColor="text1"/>
                <w:sz w:val="21"/>
                <w:szCs w:val="21"/>
              </w:rPr>
              <w:t>tid</w:t>
            </w:r>
          </w:p>
        </w:tc>
        <w:tc>
          <w:tcPr>
            <w:tcW w:w="46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Style w:val="font41"/>
                <w:rFonts w:eastAsia="宋体"/>
                <w:color w:val="000000" w:themeColor="text1"/>
                <w:sz w:val="21"/>
                <w:szCs w:val="21"/>
              </w:rPr>
            </w:pPr>
            <w:r>
              <w:rPr>
                <w:rStyle w:val="font41"/>
                <w:rFonts w:eastAsia="宋体" w:hint="eastAsia"/>
                <w:color w:val="000000" w:themeColor="text1"/>
                <w:sz w:val="21"/>
                <w:szCs w:val="21"/>
              </w:rPr>
              <w:t>无影响</w:t>
            </w:r>
          </w:p>
        </w:tc>
        <w:tc>
          <w:tcPr>
            <w:tcW w:w="3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0.5</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2.0 h</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3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95%</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8.6 h</w:t>
            </w:r>
          </w:p>
        </w:tc>
        <w:tc>
          <w:tcPr>
            <w:tcW w:w="3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60%</w:t>
            </w:r>
            <w:r>
              <w:rPr>
                <w:rFonts w:ascii="Times New Roman" w:eastAsia="宋体" w:hAnsi="Times New Roman" w:cs="Times New Roman" w:hint="eastAsia"/>
                <w:color w:val="000000" w:themeColor="text1"/>
                <w:szCs w:val="21"/>
              </w:rPr>
              <w:t>代谢物，＜</w:t>
            </w:r>
            <w:r>
              <w:rPr>
                <w:rFonts w:ascii="Times New Roman" w:eastAsia="宋体" w:hAnsi="Times New Roman" w:cs="Times New Roman"/>
                <w:color w:val="000000" w:themeColor="text1"/>
                <w:szCs w:val="21"/>
              </w:rPr>
              <w:t>1%</w:t>
            </w:r>
            <w:r>
              <w:rPr>
                <w:rFonts w:ascii="Times New Roman" w:eastAsia="宋体" w:hAnsi="Times New Roman" w:cs="Times New Roman" w:hint="eastAsia"/>
                <w:color w:val="000000" w:themeColor="text1"/>
                <w:szCs w:val="21"/>
              </w:rPr>
              <w:t>原型</w:t>
            </w:r>
          </w:p>
        </w:tc>
        <w:tc>
          <w:tcPr>
            <w:tcW w:w="33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49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55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r>
      <w:tr w:rsidR="002E5476">
        <w:trPr>
          <w:trHeight w:val="435"/>
          <w:jc w:val="center"/>
        </w:trPr>
        <w:tc>
          <w:tcPr>
            <w:tcW w:w="5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尼群地平</w:t>
            </w:r>
          </w:p>
        </w:tc>
        <w:tc>
          <w:tcPr>
            <w:tcW w:w="5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20 mg</w:t>
            </w:r>
            <w:r>
              <w:rPr>
                <w:rStyle w:val="font41"/>
                <w:rFonts w:eastAsia="宋体" w:hint="eastAsia"/>
                <w:color w:val="000000" w:themeColor="text1"/>
                <w:sz w:val="21"/>
                <w:szCs w:val="21"/>
              </w:rPr>
              <w:t>，</w:t>
            </w:r>
            <w:r>
              <w:rPr>
                <w:rStyle w:val="font41"/>
                <w:rFonts w:eastAsia="宋体"/>
                <w:color w:val="000000" w:themeColor="text1"/>
                <w:sz w:val="21"/>
                <w:szCs w:val="21"/>
              </w:rPr>
              <w:t>bid</w:t>
            </w:r>
          </w:p>
        </w:tc>
        <w:tc>
          <w:tcPr>
            <w:tcW w:w="46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无影响</w:t>
            </w:r>
          </w:p>
        </w:tc>
        <w:tc>
          <w:tcPr>
            <w:tcW w:w="3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1</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2 h</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3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98%</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10~</w:t>
            </w:r>
          </w:p>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22 h</w:t>
            </w:r>
          </w:p>
        </w:tc>
        <w:tc>
          <w:tcPr>
            <w:tcW w:w="3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70%</w:t>
            </w:r>
            <w:r>
              <w:rPr>
                <w:rFonts w:ascii="Times New Roman" w:eastAsia="宋体" w:hAnsi="Times New Roman" w:cs="Times New Roman" w:hint="eastAsia"/>
                <w:color w:val="000000" w:themeColor="text1"/>
                <w:szCs w:val="21"/>
              </w:rPr>
              <w:t>代谢物</w:t>
            </w:r>
          </w:p>
        </w:tc>
        <w:tc>
          <w:tcPr>
            <w:tcW w:w="33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49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55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r>
      <w:tr w:rsidR="002E5476">
        <w:trPr>
          <w:trHeight w:val="810"/>
          <w:jc w:val="center"/>
        </w:trPr>
        <w:tc>
          <w:tcPr>
            <w:tcW w:w="5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尼莫地平</w:t>
            </w:r>
          </w:p>
        </w:tc>
        <w:tc>
          <w:tcPr>
            <w:tcW w:w="5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30 mg</w:t>
            </w:r>
            <w:r>
              <w:rPr>
                <w:rStyle w:val="font41"/>
                <w:rFonts w:eastAsia="宋体" w:hint="eastAsia"/>
                <w:color w:val="000000" w:themeColor="text1"/>
                <w:sz w:val="21"/>
                <w:szCs w:val="21"/>
              </w:rPr>
              <w:t>，</w:t>
            </w:r>
            <w:r>
              <w:rPr>
                <w:rStyle w:val="font41"/>
                <w:rFonts w:eastAsia="宋体"/>
                <w:color w:val="000000" w:themeColor="text1"/>
                <w:sz w:val="21"/>
                <w:szCs w:val="21"/>
              </w:rPr>
              <w:t>tid</w:t>
            </w:r>
          </w:p>
        </w:tc>
        <w:tc>
          <w:tcPr>
            <w:tcW w:w="46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无影响</w:t>
            </w:r>
          </w:p>
        </w:tc>
        <w:tc>
          <w:tcPr>
            <w:tcW w:w="3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1.0</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1.5 h</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3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97%~99%</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1.1~</w:t>
            </w:r>
          </w:p>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1.7 h</w:t>
            </w:r>
          </w:p>
        </w:tc>
        <w:tc>
          <w:tcPr>
            <w:tcW w:w="3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50%</w:t>
            </w:r>
            <w:r>
              <w:rPr>
                <w:rFonts w:ascii="Times New Roman" w:eastAsia="宋体" w:hAnsi="Times New Roman" w:cs="Times New Roman" w:hint="eastAsia"/>
                <w:color w:val="000000" w:themeColor="text1"/>
                <w:szCs w:val="21"/>
              </w:rPr>
              <w:t>代谢物</w:t>
            </w:r>
          </w:p>
        </w:tc>
        <w:tc>
          <w:tcPr>
            <w:tcW w:w="33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49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禁止合用利福平、苯巴比妥、苯妥英、卡马西平；避免合用西柚汁</w:t>
            </w:r>
          </w:p>
        </w:tc>
        <w:tc>
          <w:tcPr>
            <w:tcW w:w="55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r>
      <w:tr w:rsidR="002E5476">
        <w:trPr>
          <w:trHeight w:val="870"/>
          <w:jc w:val="center"/>
        </w:trPr>
        <w:tc>
          <w:tcPr>
            <w:tcW w:w="5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乐卡地平</w:t>
            </w:r>
          </w:p>
        </w:tc>
        <w:tc>
          <w:tcPr>
            <w:tcW w:w="5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10</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20 mg</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qd</w:t>
            </w:r>
          </w:p>
        </w:tc>
        <w:tc>
          <w:tcPr>
            <w:tcW w:w="46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hint="eastAsia"/>
                <w:color w:val="000000" w:themeColor="text1"/>
                <w:sz w:val="21"/>
                <w:szCs w:val="21"/>
              </w:rPr>
              <w:t>高脂餐后</w:t>
            </w:r>
            <w:r>
              <w:rPr>
                <w:rStyle w:val="font41"/>
                <w:rFonts w:eastAsia="宋体"/>
                <w:color w:val="000000" w:themeColor="text1"/>
                <w:sz w:val="21"/>
                <w:szCs w:val="21"/>
              </w:rPr>
              <w:t xml:space="preserve">2 </w:t>
            </w:r>
            <w:r>
              <w:rPr>
                <w:rStyle w:val="font31"/>
                <w:rFonts w:ascii="Times New Roman" w:hAnsi="Times New Roman" w:cs="Times New Roman" w:hint="default"/>
                <w:color w:val="000000" w:themeColor="text1"/>
                <w:sz w:val="21"/>
                <w:szCs w:val="21"/>
              </w:rPr>
              <w:t>h</w:t>
            </w:r>
            <w:r>
              <w:rPr>
                <w:rStyle w:val="font31"/>
                <w:rFonts w:ascii="Times New Roman" w:hAnsi="Times New Roman" w:cs="Times New Roman" w:hint="default"/>
                <w:color w:val="000000" w:themeColor="text1"/>
                <w:sz w:val="21"/>
                <w:szCs w:val="21"/>
              </w:rPr>
              <w:t>内口服乐卡西平，生物利用度增加</w:t>
            </w:r>
            <w:r>
              <w:rPr>
                <w:rStyle w:val="font41"/>
                <w:rFonts w:eastAsia="宋体"/>
                <w:color w:val="000000" w:themeColor="text1"/>
                <w:sz w:val="21"/>
                <w:szCs w:val="21"/>
              </w:rPr>
              <w:t>4</w:t>
            </w:r>
            <w:r>
              <w:rPr>
                <w:rStyle w:val="font31"/>
                <w:rFonts w:ascii="Times New Roman" w:hAnsi="Times New Roman" w:cs="Times New Roman" w:hint="default"/>
                <w:color w:val="000000" w:themeColor="text1"/>
                <w:sz w:val="21"/>
                <w:szCs w:val="21"/>
              </w:rPr>
              <w:t>倍；需进食前</w:t>
            </w:r>
            <w:r>
              <w:rPr>
                <w:rStyle w:val="font41"/>
                <w:rFonts w:eastAsia="宋体"/>
                <w:color w:val="000000" w:themeColor="text1"/>
                <w:sz w:val="21"/>
                <w:szCs w:val="21"/>
              </w:rPr>
              <w:t>15 min</w:t>
            </w:r>
            <w:r>
              <w:rPr>
                <w:rStyle w:val="font31"/>
                <w:rFonts w:ascii="Times New Roman" w:hAnsi="Times New Roman" w:cs="Times New Roman" w:hint="default"/>
                <w:color w:val="000000" w:themeColor="text1"/>
                <w:sz w:val="21"/>
                <w:szCs w:val="21"/>
              </w:rPr>
              <w:t>服药</w:t>
            </w:r>
          </w:p>
        </w:tc>
        <w:tc>
          <w:tcPr>
            <w:tcW w:w="3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1.5</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3.0 h</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3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hint="eastAsia"/>
                <w:color w:val="000000" w:themeColor="text1"/>
                <w:sz w:val="21"/>
                <w:szCs w:val="21"/>
              </w:rPr>
              <w:t>＞</w:t>
            </w:r>
            <w:r>
              <w:rPr>
                <w:rStyle w:val="font41"/>
                <w:rFonts w:eastAsia="宋体"/>
                <w:color w:val="000000" w:themeColor="text1"/>
                <w:sz w:val="21"/>
                <w:szCs w:val="21"/>
              </w:rPr>
              <w:t>98%</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8~10 h</w:t>
            </w:r>
          </w:p>
        </w:tc>
        <w:tc>
          <w:tcPr>
            <w:tcW w:w="3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50%</w:t>
            </w:r>
            <w:r>
              <w:rPr>
                <w:rFonts w:ascii="Times New Roman" w:eastAsia="宋体" w:hAnsi="Times New Roman" w:cs="Times New Roman" w:hint="eastAsia"/>
                <w:color w:val="000000" w:themeColor="text1"/>
                <w:szCs w:val="21"/>
              </w:rPr>
              <w:t>代谢物</w:t>
            </w:r>
          </w:p>
        </w:tc>
        <w:tc>
          <w:tcPr>
            <w:tcW w:w="33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49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禁止与环孢素合用</w:t>
            </w:r>
          </w:p>
        </w:tc>
        <w:tc>
          <w:tcPr>
            <w:tcW w:w="55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r>
      <w:tr w:rsidR="002E5476">
        <w:trPr>
          <w:trHeight w:val="390"/>
          <w:jc w:val="center"/>
        </w:trPr>
        <w:tc>
          <w:tcPr>
            <w:tcW w:w="5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贝尼地平</w:t>
            </w:r>
          </w:p>
        </w:tc>
        <w:tc>
          <w:tcPr>
            <w:tcW w:w="5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2~8 mg</w:t>
            </w:r>
            <w:r>
              <w:rPr>
                <w:rStyle w:val="font41"/>
                <w:rFonts w:eastAsia="宋体" w:hint="eastAsia"/>
                <w:color w:val="000000" w:themeColor="text1"/>
                <w:sz w:val="21"/>
                <w:szCs w:val="21"/>
              </w:rPr>
              <w:t>，</w:t>
            </w:r>
            <w:r>
              <w:rPr>
                <w:rStyle w:val="font41"/>
                <w:rFonts w:eastAsia="宋体"/>
                <w:color w:val="000000" w:themeColor="text1"/>
                <w:sz w:val="21"/>
                <w:szCs w:val="21"/>
              </w:rPr>
              <w:t>qd</w:t>
            </w:r>
          </w:p>
        </w:tc>
        <w:tc>
          <w:tcPr>
            <w:tcW w:w="46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早饭后服用</w:t>
            </w:r>
          </w:p>
        </w:tc>
        <w:tc>
          <w:tcPr>
            <w:tcW w:w="3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0.8</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1.1 h</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3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体外：</w:t>
            </w:r>
            <w:r>
              <w:rPr>
                <w:rFonts w:ascii="Times New Roman" w:eastAsia="宋体" w:hAnsi="Times New Roman" w:cs="Times New Roman"/>
                <w:color w:val="000000" w:themeColor="text1"/>
                <w:kern w:val="0"/>
                <w:szCs w:val="21"/>
              </w:rPr>
              <w:t>98%</w:t>
            </w:r>
            <w:r>
              <w:rPr>
                <w:rFonts w:ascii="Times New Roman" w:eastAsia="宋体" w:hAnsi="Times New Roman" w:cs="Times New Roman" w:hint="eastAsia"/>
                <w:color w:val="000000" w:themeColor="text1"/>
                <w:kern w:val="0"/>
                <w:szCs w:val="21"/>
              </w:rPr>
              <w:t>；体内（英国）：</w:t>
            </w:r>
            <w:r>
              <w:rPr>
                <w:rFonts w:ascii="Times New Roman" w:eastAsia="宋体" w:hAnsi="Times New Roman" w:cs="Times New Roman"/>
                <w:color w:val="000000" w:themeColor="text1"/>
                <w:kern w:val="0"/>
                <w:szCs w:val="21"/>
              </w:rPr>
              <w:t>75%~76%</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0.9~1.7 h</w:t>
            </w:r>
          </w:p>
        </w:tc>
        <w:tc>
          <w:tcPr>
            <w:tcW w:w="3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36%</w:t>
            </w:r>
            <w:r>
              <w:rPr>
                <w:rFonts w:ascii="Times New Roman" w:eastAsia="宋体" w:hAnsi="Times New Roman" w:cs="Times New Roman" w:hint="eastAsia"/>
                <w:color w:val="000000" w:themeColor="text1"/>
                <w:szCs w:val="21"/>
              </w:rPr>
              <w:t>原型药</w:t>
            </w:r>
          </w:p>
        </w:tc>
        <w:tc>
          <w:tcPr>
            <w:tcW w:w="33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49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55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r>
      <w:tr w:rsidR="002E5476">
        <w:trPr>
          <w:trHeight w:val="390"/>
          <w:jc w:val="center"/>
        </w:trPr>
        <w:tc>
          <w:tcPr>
            <w:tcW w:w="5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西尼地平</w:t>
            </w:r>
          </w:p>
        </w:tc>
        <w:tc>
          <w:tcPr>
            <w:tcW w:w="5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5</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10 mg</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qd</w:t>
            </w:r>
          </w:p>
        </w:tc>
        <w:tc>
          <w:tcPr>
            <w:tcW w:w="46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早饭后服用</w:t>
            </w:r>
          </w:p>
        </w:tc>
        <w:tc>
          <w:tcPr>
            <w:tcW w:w="3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2.8</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3.7 h</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3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99.3%</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5.2~8.1 h</w:t>
            </w:r>
          </w:p>
        </w:tc>
        <w:tc>
          <w:tcPr>
            <w:tcW w:w="3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33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10 mg</w:t>
            </w:r>
          </w:p>
        </w:tc>
        <w:tc>
          <w:tcPr>
            <w:tcW w:w="49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55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r>
      <w:tr w:rsidR="002E5476">
        <w:trPr>
          <w:trHeight w:val="435"/>
          <w:jc w:val="center"/>
        </w:trPr>
        <w:tc>
          <w:tcPr>
            <w:tcW w:w="5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马尼地平</w:t>
            </w:r>
          </w:p>
        </w:tc>
        <w:tc>
          <w:tcPr>
            <w:tcW w:w="5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10</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 xml:space="preserve">20 </w:t>
            </w:r>
            <w:r>
              <w:rPr>
                <w:rStyle w:val="font41"/>
                <w:rFonts w:eastAsia="宋体"/>
                <w:color w:val="000000" w:themeColor="text1"/>
                <w:sz w:val="21"/>
                <w:szCs w:val="21"/>
              </w:rPr>
              <w:lastRenderedPageBreak/>
              <w:t>mg</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qd</w:t>
            </w:r>
          </w:p>
        </w:tc>
        <w:tc>
          <w:tcPr>
            <w:tcW w:w="46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lastRenderedPageBreak/>
              <w:t>早饭后服用</w:t>
            </w:r>
          </w:p>
        </w:tc>
        <w:tc>
          <w:tcPr>
            <w:tcW w:w="3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1</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2 h</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3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97%</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5 h</w:t>
            </w:r>
          </w:p>
        </w:tc>
        <w:tc>
          <w:tcPr>
            <w:tcW w:w="3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33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49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55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r>
      <w:tr w:rsidR="002E5476">
        <w:trPr>
          <w:trHeight w:val="615"/>
          <w:jc w:val="center"/>
        </w:trPr>
        <w:tc>
          <w:tcPr>
            <w:tcW w:w="5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b/>
                <w:bCs/>
                <w:color w:val="000000" w:themeColor="text1"/>
                <w:kern w:val="0"/>
                <w:szCs w:val="21"/>
              </w:rPr>
              <w:lastRenderedPageBreak/>
              <w:t>非二氢吡啶类</w:t>
            </w:r>
            <w:r>
              <w:rPr>
                <w:rFonts w:ascii="Times New Roman" w:eastAsia="宋体" w:hAnsi="Times New Roman" w:cs="Times New Roman"/>
                <w:b/>
                <w:bCs/>
                <w:color w:val="000000" w:themeColor="text1"/>
                <w:kern w:val="0"/>
                <w:szCs w:val="21"/>
              </w:rPr>
              <w:t>CCB</w:t>
            </w:r>
          </w:p>
        </w:tc>
        <w:tc>
          <w:tcPr>
            <w:tcW w:w="5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c>
          <w:tcPr>
            <w:tcW w:w="46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c>
          <w:tcPr>
            <w:tcW w:w="3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Style w:val="font41"/>
                <w:rFonts w:eastAsia="宋体"/>
                <w:color w:val="000000" w:themeColor="text1"/>
                <w:sz w:val="21"/>
                <w:szCs w:val="21"/>
              </w:rPr>
            </w:pP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3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c>
          <w:tcPr>
            <w:tcW w:w="3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c>
          <w:tcPr>
            <w:tcW w:w="33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c>
          <w:tcPr>
            <w:tcW w:w="49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Style w:val="font41"/>
                <w:rFonts w:eastAsia="宋体"/>
                <w:color w:val="000000" w:themeColor="text1"/>
                <w:sz w:val="21"/>
                <w:szCs w:val="21"/>
              </w:rPr>
            </w:pPr>
          </w:p>
        </w:tc>
      </w:tr>
      <w:tr w:rsidR="002E5476">
        <w:trPr>
          <w:trHeight w:val="615"/>
          <w:jc w:val="center"/>
        </w:trPr>
        <w:tc>
          <w:tcPr>
            <w:tcW w:w="5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维拉帕米</w:t>
            </w:r>
          </w:p>
        </w:tc>
        <w:tc>
          <w:tcPr>
            <w:tcW w:w="5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80~120 mg</w:t>
            </w: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color w:val="000000" w:themeColor="text1"/>
                <w:kern w:val="0"/>
                <w:szCs w:val="21"/>
              </w:rPr>
              <w:t>tid</w:t>
            </w:r>
          </w:p>
        </w:tc>
        <w:tc>
          <w:tcPr>
            <w:tcW w:w="46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无影响</w:t>
            </w:r>
          </w:p>
        </w:tc>
        <w:tc>
          <w:tcPr>
            <w:tcW w:w="3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1</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2 h</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3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90%</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2.8~7.4 h</w:t>
            </w:r>
          </w:p>
        </w:tc>
        <w:tc>
          <w:tcPr>
            <w:tcW w:w="3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70%</w:t>
            </w:r>
            <w:r>
              <w:rPr>
                <w:rFonts w:ascii="Times New Roman" w:eastAsia="宋体" w:hAnsi="Times New Roman" w:cs="Times New Roman" w:hint="eastAsia"/>
                <w:color w:val="000000" w:themeColor="text1"/>
                <w:kern w:val="0"/>
                <w:szCs w:val="21"/>
              </w:rPr>
              <w:t>代谢物，</w:t>
            </w:r>
            <w:r>
              <w:rPr>
                <w:rFonts w:ascii="Times New Roman" w:eastAsia="宋体" w:hAnsi="Times New Roman" w:cs="Times New Roman"/>
                <w:color w:val="000000" w:themeColor="text1"/>
                <w:kern w:val="0"/>
                <w:szCs w:val="21"/>
              </w:rPr>
              <w:t>3%~4%</w:t>
            </w:r>
            <w:r>
              <w:rPr>
                <w:rFonts w:ascii="Times New Roman" w:eastAsia="宋体" w:hAnsi="Times New Roman" w:cs="Times New Roman" w:hint="eastAsia"/>
                <w:color w:val="000000" w:themeColor="text1"/>
                <w:kern w:val="0"/>
                <w:szCs w:val="21"/>
              </w:rPr>
              <w:t>原型药物</w:t>
            </w:r>
          </w:p>
        </w:tc>
        <w:tc>
          <w:tcPr>
            <w:tcW w:w="33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480 mg</w:t>
            </w:r>
          </w:p>
        </w:tc>
        <w:tc>
          <w:tcPr>
            <w:tcW w:w="49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555"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hint="eastAsia"/>
                <w:color w:val="000000" w:themeColor="text1"/>
                <w:sz w:val="21"/>
                <w:szCs w:val="21"/>
              </w:rPr>
              <w:t>房室传导阻滞、心功能抑制；禁用于严重心动过缓、病态窦房结综合征、窦房结阻滞及Ⅱ</w:t>
            </w:r>
            <w:r>
              <w:rPr>
                <w:rStyle w:val="font41"/>
                <w:rFonts w:eastAsia="宋体"/>
                <w:color w:val="000000" w:themeColor="text1"/>
                <w:sz w:val="21"/>
                <w:szCs w:val="21"/>
              </w:rPr>
              <w:t>-</w:t>
            </w:r>
            <w:r>
              <w:rPr>
                <w:rStyle w:val="font41"/>
                <w:rFonts w:eastAsia="宋体" w:hint="eastAsia"/>
                <w:color w:val="000000" w:themeColor="text1"/>
                <w:sz w:val="21"/>
                <w:szCs w:val="21"/>
              </w:rPr>
              <w:t>Ⅲ</w:t>
            </w:r>
            <w:r>
              <w:rPr>
                <w:rStyle w:val="font31"/>
                <w:rFonts w:ascii="Times New Roman" w:hAnsi="Times New Roman" w:cs="Times New Roman" w:hint="default"/>
                <w:color w:val="000000" w:themeColor="text1"/>
                <w:sz w:val="21"/>
                <w:szCs w:val="21"/>
              </w:rPr>
              <w:t>度房室传导阻滞者</w:t>
            </w:r>
          </w:p>
        </w:tc>
      </w:tr>
      <w:tr w:rsidR="002E5476">
        <w:trPr>
          <w:trHeight w:val="615"/>
          <w:jc w:val="center"/>
        </w:trPr>
        <w:tc>
          <w:tcPr>
            <w:tcW w:w="5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维拉帕米缓释片</w:t>
            </w:r>
          </w:p>
        </w:tc>
        <w:tc>
          <w:tcPr>
            <w:tcW w:w="5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1</w:t>
            </w:r>
            <w:r>
              <w:rPr>
                <w:rFonts w:ascii="Times New Roman" w:eastAsia="宋体" w:hAnsi="Times New Roman" w:cs="Times New Roman"/>
                <w:color w:val="000000" w:themeColor="text1"/>
                <w:kern w:val="0"/>
                <w:szCs w:val="21"/>
              </w:rPr>
              <w:t>80~360 mg</w:t>
            </w: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color w:val="000000" w:themeColor="text1"/>
                <w:kern w:val="0"/>
                <w:szCs w:val="21"/>
              </w:rPr>
              <w:t>qd</w:t>
            </w:r>
          </w:p>
        </w:tc>
        <w:tc>
          <w:tcPr>
            <w:tcW w:w="46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进食中或进食后，不可咀嚼</w:t>
            </w:r>
          </w:p>
        </w:tc>
        <w:tc>
          <w:tcPr>
            <w:tcW w:w="3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4</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5 h</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3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90%</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3~7 h</w:t>
            </w:r>
          </w:p>
        </w:tc>
        <w:tc>
          <w:tcPr>
            <w:tcW w:w="3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70%</w:t>
            </w:r>
            <w:r>
              <w:rPr>
                <w:rFonts w:ascii="Times New Roman" w:eastAsia="宋体" w:hAnsi="Times New Roman" w:cs="Times New Roman" w:hint="eastAsia"/>
                <w:color w:val="000000" w:themeColor="text1"/>
                <w:kern w:val="0"/>
                <w:szCs w:val="21"/>
              </w:rPr>
              <w:t>代谢物，</w:t>
            </w:r>
            <w:r>
              <w:rPr>
                <w:rFonts w:ascii="Times New Roman" w:eastAsia="宋体" w:hAnsi="Times New Roman" w:cs="Times New Roman"/>
                <w:color w:val="000000" w:themeColor="text1"/>
                <w:kern w:val="0"/>
                <w:szCs w:val="21"/>
              </w:rPr>
              <w:t>3%~4%</w:t>
            </w:r>
            <w:r>
              <w:rPr>
                <w:rFonts w:ascii="Times New Roman" w:eastAsia="宋体" w:hAnsi="Times New Roman" w:cs="Times New Roman" w:hint="eastAsia"/>
                <w:color w:val="000000" w:themeColor="text1"/>
                <w:kern w:val="0"/>
                <w:szCs w:val="21"/>
              </w:rPr>
              <w:t>原型药物</w:t>
            </w:r>
          </w:p>
        </w:tc>
        <w:tc>
          <w:tcPr>
            <w:tcW w:w="33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480 mg</w:t>
            </w:r>
          </w:p>
        </w:tc>
        <w:tc>
          <w:tcPr>
            <w:tcW w:w="49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55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r>
      <w:tr w:rsidR="002E5476">
        <w:trPr>
          <w:trHeight w:val="615"/>
          <w:jc w:val="center"/>
        </w:trPr>
        <w:tc>
          <w:tcPr>
            <w:tcW w:w="5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地尔硫卓</w:t>
            </w:r>
          </w:p>
        </w:tc>
        <w:tc>
          <w:tcPr>
            <w:tcW w:w="5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3</w:t>
            </w:r>
            <w:r>
              <w:rPr>
                <w:rFonts w:ascii="Times New Roman" w:eastAsia="宋体" w:hAnsi="Times New Roman" w:cs="Times New Roman"/>
                <w:color w:val="000000" w:themeColor="text1"/>
                <w:kern w:val="0"/>
                <w:szCs w:val="21"/>
              </w:rPr>
              <w:t>0~120 mg</w:t>
            </w: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color w:val="000000" w:themeColor="text1"/>
                <w:kern w:val="0"/>
                <w:szCs w:val="21"/>
              </w:rPr>
              <w:t xml:space="preserve"> tid</w:t>
            </w:r>
          </w:p>
        </w:tc>
        <w:tc>
          <w:tcPr>
            <w:tcW w:w="46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进食前或睡前</w:t>
            </w:r>
          </w:p>
        </w:tc>
        <w:tc>
          <w:tcPr>
            <w:tcW w:w="3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2~3 h</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3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70%~80%</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3.5 h</w:t>
            </w:r>
          </w:p>
        </w:tc>
        <w:tc>
          <w:tcPr>
            <w:tcW w:w="3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2%~4%</w:t>
            </w:r>
            <w:r>
              <w:rPr>
                <w:rFonts w:ascii="Times New Roman" w:eastAsia="宋体" w:hAnsi="Times New Roman" w:cs="Times New Roman" w:hint="eastAsia"/>
                <w:color w:val="000000" w:themeColor="text1"/>
                <w:kern w:val="0"/>
                <w:szCs w:val="21"/>
              </w:rPr>
              <w:t>原型药</w:t>
            </w:r>
          </w:p>
        </w:tc>
        <w:tc>
          <w:tcPr>
            <w:tcW w:w="33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49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55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r>
      <w:tr w:rsidR="002E5476">
        <w:trPr>
          <w:trHeight w:val="390"/>
          <w:jc w:val="center"/>
        </w:trPr>
        <w:tc>
          <w:tcPr>
            <w:tcW w:w="5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地尔硫卓缓释片</w:t>
            </w:r>
          </w:p>
        </w:tc>
        <w:tc>
          <w:tcPr>
            <w:tcW w:w="5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1</w:t>
            </w:r>
            <w:r>
              <w:rPr>
                <w:rFonts w:ascii="Times New Roman" w:eastAsia="宋体" w:hAnsi="Times New Roman" w:cs="Times New Roman"/>
                <w:color w:val="000000" w:themeColor="text1"/>
                <w:kern w:val="0"/>
                <w:szCs w:val="21"/>
              </w:rPr>
              <w:t>80~360 mg</w:t>
            </w: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color w:val="000000" w:themeColor="text1"/>
                <w:kern w:val="0"/>
                <w:szCs w:val="21"/>
              </w:rPr>
              <w:t>qd</w:t>
            </w:r>
          </w:p>
        </w:tc>
        <w:tc>
          <w:tcPr>
            <w:tcW w:w="46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无影响</w:t>
            </w:r>
          </w:p>
        </w:tc>
        <w:tc>
          <w:tcPr>
            <w:tcW w:w="3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6</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11 h</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3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70%~80%</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5~7 h</w:t>
            </w:r>
          </w:p>
        </w:tc>
        <w:tc>
          <w:tcPr>
            <w:tcW w:w="3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2%~4%</w:t>
            </w:r>
            <w:r>
              <w:rPr>
                <w:rFonts w:ascii="Times New Roman" w:eastAsia="宋体" w:hAnsi="Times New Roman" w:cs="Times New Roman" w:hint="eastAsia"/>
                <w:color w:val="000000" w:themeColor="text1"/>
                <w:kern w:val="0"/>
                <w:szCs w:val="21"/>
              </w:rPr>
              <w:t>原型药</w:t>
            </w:r>
          </w:p>
        </w:tc>
        <w:tc>
          <w:tcPr>
            <w:tcW w:w="33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49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55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r>
      <w:tr w:rsidR="002E5476">
        <w:trPr>
          <w:trHeight w:val="870"/>
          <w:jc w:val="center"/>
        </w:trPr>
        <w:tc>
          <w:tcPr>
            <w:tcW w:w="5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b/>
                <w:bCs/>
                <w:color w:val="000000" w:themeColor="text1"/>
                <w:kern w:val="0"/>
                <w:szCs w:val="21"/>
              </w:rPr>
              <w:t>袢利尿剂</w:t>
            </w:r>
          </w:p>
        </w:tc>
        <w:tc>
          <w:tcPr>
            <w:tcW w:w="5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Style w:val="font41"/>
                <w:rFonts w:eastAsia="宋体"/>
                <w:color w:val="000000" w:themeColor="text1"/>
                <w:sz w:val="21"/>
                <w:szCs w:val="21"/>
              </w:rPr>
            </w:pPr>
          </w:p>
        </w:tc>
        <w:tc>
          <w:tcPr>
            <w:tcW w:w="46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c>
          <w:tcPr>
            <w:tcW w:w="3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Style w:val="font41"/>
                <w:rFonts w:eastAsia="宋体"/>
                <w:color w:val="000000" w:themeColor="text1"/>
                <w:sz w:val="21"/>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Style w:val="font41"/>
                <w:rFonts w:eastAsia="宋体"/>
                <w:color w:val="000000" w:themeColor="text1"/>
                <w:sz w:val="21"/>
                <w:szCs w:val="21"/>
              </w:rPr>
            </w:pPr>
          </w:p>
        </w:tc>
        <w:tc>
          <w:tcPr>
            <w:tcW w:w="3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c>
          <w:tcPr>
            <w:tcW w:w="3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c>
          <w:tcPr>
            <w:tcW w:w="33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Style w:val="font41"/>
                <w:rFonts w:eastAsia="宋体"/>
                <w:color w:val="000000" w:themeColor="text1"/>
                <w:sz w:val="21"/>
                <w:szCs w:val="21"/>
              </w:rPr>
            </w:pPr>
          </w:p>
        </w:tc>
        <w:tc>
          <w:tcPr>
            <w:tcW w:w="49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Style w:val="font31"/>
                <w:rFonts w:ascii="Times New Roman" w:hAnsi="Times New Roman" w:cs="Times New Roman" w:hint="default"/>
                <w:color w:val="000000" w:themeColor="text1"/>
                <w:sz w:val="21"/>
                <w:szCs w:val="21"/>
              </w:rPr>
            </w:pPr>
          </w:p>
        </w:tc>
      </w:tr>
      <w:tr w:rsidR="002E5476">
        <w:trPr>
          <w:trHeight w:val="870"/>
          <w:jc w:val="center"/>
        </w:trPr>
        <w:tc>
          <w:tcPr>
            <w:tcW w:w="5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呋塞米</w:t>
            </w:r>
          </w:p>
        </w:tc>
        <w:tc>
          <w:tcPr>
            <w:tcW w:w="5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40</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80 mg</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bid</w:t>
            </w:r>
          </w:p>
        </w:tc>
        <w:tc>
          <w:tcPr>
            <w:tcW w:w="46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进食能减慢吸收，但不影响吸收率及其疗效</w:t>
            </w:r>
          </w:p>
        </w:tc>
        <w:tc>
          <w:tcPr>
            <w:tcW w:w="3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hint="eastAsia"/>
                <w:b/>
                <w:bCs/>
                <w:color w:val="000000" w:themeColor="text1"/>
                <w:sz w:val="21"/>
                <w:szCs w:val="21"/>
              </w:rPr>
              <w:t>口服</w:t>
            </w:r>
            <w:r>
              <w:rPr>
                <w:rStyle w:val="font41"/>
                <w:rFonts w:eastAsia="宋体" w:hint="eastAsia"/>
                <w:color w:val="000000" w:themeColor="text1"/>
                <w:sz w:val="21"/>
                <w:szCs w:val="21"/>
              </w:rPr>
              <w:t>：</w:t>
            </w:r>
            <w:r>
              <w:rPr>
                <w:rStyle w:val="font41"/>
                <w:rFonts w:eastAsia="宋体"/>
                <w:color w:val="000000" w:themeColor="text1"/>
                <w:sz w:val="21"/>
                <w:szCs w:val="21"/>
              </w:rPr>
              <w:t>30~60 min</w:t>
            </w:r>
            <w:r>
              <w:rPr>
                <w:rStyle w:val="font31"/>
                <w:rFonts w:ascii="Times New Roman" w:hAnsi="Times New Roman" w:cs="Times New Roman" w:hint="default"/>
                <w:color w:val="000000" w:themeColor="text1"/>
                <w:sz w:val="21"/>
                <w:szCs w:val="21"/>
              </w:rPr>
              <w:t>起效，</w:t>
            </w:r>
            <w:r>
              <w:rPr>
                <w:rStyle w:val="font41"/>
                <w:rFonts w:eastAsia="宋体"/>
                <w:color w:val="000000" w:themeColor="text1"/>
                <w:sz w:val="21"/>
                <w:szCs w:val="21"/>
              </w:rPr>
              <w:t>1~2 h</w:t>
            </w:r>
            <w:r>
              <w:rPr>
                <w:rStyle w:val="font31"/>
                <w:rFonts w:ascii="Times New Roman" w:hAnsi="Times New Roman" w:cs="Times New Roman" w:hint="default"/>
                <w:color w:val="000000" w:themeColor="text1"/>
                <w:sz w:val="21"/>
                <w:szCs w:val="21"/>
              </w:rPr>
              <w:t>达峰</w:t>
            </w:r>
            <w:r>
              <w:rPr>
                <w:rStyle w:val="font41"/>
                <w:rFonts w:eastAsia="宋体"/>
                <w:color w:val="000000" w:themeColor="text1"/>
                <w:sz w:val="21"/>
                <w:szCs w:val="21"/>
              </w:rPr>
              <w:br/>
            </w:r>
            <w:r>
              <w:rPr>
                <w:rStyle w:val="font31"/>
                <w:rFonts w:ascii="Times New Roman" w:hAnsi="Times New Roman" w:cs="Times New Roman" w:hint="default"/>
                <w:b/>
                <w:bCs/>
                <w:color w:val="000000" w:themeColor="text1"/>
                <w:sz w:val="21"/>
                <w:szCs w:val="21"/>
              </w:rPr>
              <w:t>静脉</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5 min</w:t>
            </w:r>
            <w:r>
              <w:rPr>
                <w:rStyle w:val="font31"/>
                <w:rFonts w:ascii="Times New Roman" w:hAnsi="Times New Roman" w:cs="Times New Roman" w:hint="default"/>
                <w:color w:val="000000" w:themeColor="text1"/>
                <w:sz w:val="21"/>
                <w:szCs w:val="21"/>
              </w:rPr>
              <w:t>起效，</w:t>
            </w:r>
            <w:r>
              <w:rPr>
                <w:rStyle w:val="font41"/>
                <w:rFonts w:eastAsia="宋体"/>
                <w:color w:val="000000" w:themeColor="text1"/>
                <w:sz w:val="21"/>
                <w:szCs w:val="21"/>
              </w:rPr>
              <w:t>0.33~1.0 h</w:t>
            </w:r>
            <w:r>
              <w:rPr>
                <w:rStyle w:val="font31"/>
                <w:rFonts w:ascii="Times New Roman" w:hAnsi="Times New Roman" w:cs="Times New Roman" w:hint="default"/>
                <w:color w:val="000000" w:themeColor="text1"/>
                <w:sz w:val="21"/>
                <w:szCs w:val="21"/>
              </w:rPr>
              <w:t>达峰</w:t>
            </w:r>
          </w:p>
        </w:tc>
        <w:tc>
          <w:tcPr>
            <w:tcW w:w="4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hint="eastAsia"/>
                <w:color w:val="000000" w:themeColor="text1"/>
                <w:sz w:val="21"/>
                <w:szCs w:val="21"/>
              </w:rPr>
              <w:t>口服：</w:t>
            </w:r>
            <w:r>
              <w:rPr>
                <w:rStyle w:val="font41"/>
                <w:rFonts w:eastAsia="宋体"/>
                <w:color w:val="000000" w:themeColor="text1"/>
                <w:sz w:val="21"/>
                <w:szCs w:val="21"/>
              </w:rPr>
              <w:t>6~8 h</w:t>
            </w:r>
            <w:r>
              <w:rPr>
                <w:rStyle w:val="font41"/>
                <w:rFonts w:eastAsia="宋体"/>
                <w:color w:val="000000" w:themeColor="text1"/>
                <w:sz w:val="21"/>
                <w:szCs w:val="21"/>
              </w:rPr>
              <w:br/>
            </w:r>
            <w:r>
              <w:rPr>
                <w:rStyle w:val="font31"/>
                <w:rFonts w:ascii="Times New Roman" w:hAnsi="Times New Roman" w:cs="Times New Roman" w:hint="default"/>
                <w:color w:val="000000" w:themeColor="text1"/>
                <w:sz w:val="21"/>
                <w:szCs w:val="21"/>
              </w:rPr>
              <w:t>静脉：</w:t>
            </w:r>
            <w:r>
              <w:rPr>
                <w:rStyle w:val="font41"/>
                <w:rFonts w:eastAsia="宋体"/>
                <w:color w:val="000000" w:themeColor="text1"/>
                <w:sz w:val="21"/>
                <w:szCs w:val="21"/>
              </w:rPr>
              <w:t>2 h</w:t>
            </w:r>
          </w:p>
        </w:tc>
        <w:tc>
          <w:tcPr>
            <w:tcW w:w="3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91%~97%</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0.5~1.0 h</w:t>
            </w:r>
          </w:p>
        </w:tc>
        <w:tc>
          <w:tcPr>
            <w:tcW w:w="3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88%</w:t>
            </w:r>
            <w:r>
              <w:rPr>
                <w:rFonts w:ascii="Times New Roman" w:eastAsia="宋体" w:hAnsi="Times New Roman" w:cs="Times New Roman" w:hint="eastAsia"/>
                <w:color w:val="000000" w:themeColor="text1"/>
                <w:kern w:val="0"/>
                <w:szCs w:val="21"/>
              </w:rPr>
              <w:t>原型药物</w:t>
            </w:r>
          </w:p>
        </w:tc>
        <w:tc>
          <w:tcPr>
            <w:tcW w:w="33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600 mg</w:t>
            </w:r>
            <w:r>
              <w:rPr>
                <w:rStyle w:val="font31"/>
                <w:rFonts w:ascii="Times New Roman" w:hAnsi="Times New Roman" w:cs="Times New Roman" w:hint="default"/>
                <w:color w:val="000000" w:themeColor="text1"/>
                <w:sz w:val="21"/>
                <w:szCs w:val="21"/>
              </w:rPr>
              <w:t>，一般应控制在</w:t>
            </w:r>
            <w:r>
              <w:rPr>
                <w:rStyle w:val="font41"/>
                <w:rFonts w:eastAsia="宋体"/>
                <w:color w:val="000000" w:themeColor="text1"/>
                <w:sz w:val="21"/>
                <w:szCs w:val="21"/>
              </w:rPr>
              <w:t>100 mg</w:t>
            </w:r>
          </w:p>
        </w:tc>
        <w:tc>
          <w:tcPr>
            <w:tcW w:w="49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555"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31"/>
                <w:rFonts w:ascii="Times New Roman" w:hAnsi="Times New Roman" w:cs="Times New Roman" w:hint="default"/>
                <w:color w:val="000000" w:themeColor="text1"/>
                <w:sz w:val="21"/>
                <w:szCs w:val="21"/>
              </w:rPr>
              <w:t>可能出现水电解质、酸碱平衡紊乱，如低钾、低氯、低钠、血糖升高、尿酸升高等</w:t>
            </w:r>
          </w:p>
        </w:tc>
      </w:tr>
      <w:tr w:rsidR="002E5476">
        <w:trPr>
          <w:trHeight w:val="390"/>
          <w:jc w:val="center"/>
        </w:trPr>
        <w:tc>
          <w:tcPr>
            <w:tcW w:w="5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托拉塞米</w:t>
            </w:r>
          </w:p>
        </w:tc>
        <w:tc>
          <w:tcPr>
            <w:tcW w:w="5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5</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10 mg</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bid</w:t>
            </w:r>
          </w:p>
        </w:tc>
        <w:tc>
          <w:tcPr>
            <w:tcW w:w="46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无影响</w:t>
            </w:r>
          </w:p>
        </w:tc>
        <w:tc>
          <w:tcPr>
            <w:tcW w:w="3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1</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2 h</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3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99%</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31"/>
                <w:rFonts w:ascii="Times New Roman" w:hAnsi="Times New Roman" w:cs="Times New Roman" w:hint="default"/>
                <w:color w:val="000000" w:themeColor="text1"/>
                <w:sz w:val="21"/>
                <w:szCs w:val="21"/>
              </w:rPr>
              <w:t>3.5 h</w:t>
            </w:r>
          </w:p>
        </w:tc>
        <w:tc>
          <w:tcPr>
            <w:tcW w:w="3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20%</w:t>
            </w:r>
            <w:r>
              <w:rPr>
                <w:rFonts w:ascii="Times New Roman" w:eastAsia="宋体" w:hAnsi="Times New Roman" w:cs="Times New Roman" w:hint="eastAsia"/>
                <w:color w:val="000000" w:themeColor="text1"/>
                <w:kern w:val="0"/>
                <w:szCs w:val="21"/>
              </w:rPr>
              <w:t>羧酸代谢物</w:t>
            </w:r>
          </w:p>
        </w:tc>
        <w:tc>
          <w:tcPr>
            <w:tcW w:w="33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hint="eastAsia"/>
                <w:color w:val="000000" w:themeColor="text1"/>
                <w:sz w:val="21"/>
                <w:szCs w:val="21"/>
              </w:rPr>
              <w:t>一般不超过</w:t>
            </w:r>
            <w:r>
              <w:rPr>
                <w:rStyle w:val="font41"/>
                <w:rFonts w:eastAsia="宋体"/>
                <w:color w:val="000000" w:themeColor="text1"/>
                <w:sz w:val="21"/>
                <w:szCs w:val="21"/>
              </w:rPr>
              <w:t>200 mg</w:t>
            </w:r>
          </w:p>
        </w:tc>
        <w:tc>
          <w:tcPr>
            <w:tcW w:w="49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55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r>
      <w:tr w:rsidR="002E5476">
        <w:trPr>
          <w:trHeight w:val="926"/>
          <w:jc w:val="center"/>
        </w:trPr>
        <w:tc>
          <w:tcPr>
            <w:tcW w:w="5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氢氯噻嗪</w:t>
            </w:r>
          </w:p>
        </w:tc>
        <w:tc>
          <w:tcPr>
            <w:tcW w:w="5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51"/>
                <w:rFonts w:eastAsia="宋体"/>
                <w:color w:val="000000" w:themeColor="text1"/>
                <w:sz w:val="21"/>
                <w:szCs w:val="21"/>
              </w:rPr>
              <w:t>25</w:t>
            </w:r>
            <w:r>
              <w:rPr>
                <w:rStyle w:val="font01"/>
                <w:rFonts w:ascii="Times New Roman" w:hAnsi="Times New Roman" w:cs="Times New Roman" w:hint="default"/>
                <w:color w:val="000000" w:themeColor="text1"/>
                <w:sz w:val="21"/>
                <w:szCs w:val="21"/>
              </w:rPr>
              <w:t>~</w:t>
            </w:r>
            <w:r>
              <w:rPr>
                <w:rStyle w:val="font51"/>
                <w:rFonts w:eastAsia="宋体"/>
                <w:color w:val="000000" w:themeColor="text1"/>
                <w:sz w:val="21"/>
                <w:szCs w:val="21"/>
              </w:rPr>
              <w:t>50 mg</w:t>
            </w:r>
            <w:r>
              <w:rPr>
                <w:rStyle w:val="font01"/>
                <w:rFonts w:ascii="Times New Roman" w:hAnsi="Times New Roman" w:cs="Times New Roman" w:hint="default"/>
                <w:color w:val="000000" w:themeColor="text1"/>
                <w:sz w:val="21"/>
                <w:szCs w:val="21"/>
              </w:rPr>
              <w:t>，</w:t>
            </w:r>
            <w:r>
              <w:rPr>
                <w:rStyle w:val="font51"/>
                <w:rFonts w:eastAsia="宋体"/>
                <w:color w:val="000000" w:themeColor="text1"/>
                <w:sz w:val="21"/>
                <w:szCs w:val="21"/>
              </w:rPr>
              <w:t>qd</w:t>
            </w:r>
          </w:p>
        </w:tc>
        <w:tc>
          <w:tcPr>
            <w:tcW w:w="46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无影响</w:t>
            </w:r>
          </w:p>
        </w:tc>
        <w:tc>
          <w:tcPr>
            <w:tcW w:w="3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2 h</w:t>
            </w:r>
          </w:p>
        </w:tc>
        <w:tc>
          <w:tcPr>
            <w:tcW w:w="4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4 h</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6~12 h</w:t>
            </w:r>
          </w:p>
        </w:tc>
        <w:tc>
          <w:tcPr>
            <w:tcW w:w="3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15 h</w:t>
            </w:r>
          </w:p>
        </w:tc>
        <w:tc>
          <w:tcPr>
            <w:tcW w:w="3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主要，原型</w:t>
            </w:r>
          </w:p>
        </w:tc>
        <w:tc>
          <w:tcPr>
            <w:tcW w:w="33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49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555"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31"/>
                <w:rFonts w:ascii="Times New Roman" w:hAnsi="Times New Roman" w:cs="Times New Roman" w:hint="default"/>
                <w:color w:val="000000" w:themeColor="text1"/>
                <w:sz w:val="21"/>
                <w:szCs w:val="21"/>
              </w:rPr>
              <w:t>低钾、低钠、血糖升高，血尿酸升高，可使痛风恶化</w:t>
            </w:r>
          </w:p>
        </w:tc>
      </w:tr>
      <w:tr w:rsidR="002E5476">
        <w:trPr>
          <w:trHeight w:val="1082"/>
          <w:jc w:val="center"/>
        </w:trPr>
        <w:tc>
          <w:tcPr>
            <w:tcW w:w="5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吲达帕胺</w:t>
            </w:r>
          </w:p>
        </w:tc>
        <w:tc>
          <w:tcPr>
            <w:tcW w:w="5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51"/>
                <w:rFonts w:eastAsia="宋体"/>
                <w:color w:val="000000" w:themeColor="text1"/>
                <w:sz w:val="21"/>
                <w:szCs w:val="21"/>
              </w:rPr>
              <w:t>1.25</w:t>
            </w:r>
            <w:r>
              <w:rPr>
                <w:rStyle w:val="font01"/>
                <w:rFonts w:ascii="Times New Roman" w:hAnsi="Times New Roman" w:cs="Times New Roman" w:hint="default"/>
                <w:color w:val="000000" w:themeColor="text1"/>
                <w:sz w:val="21"/>
                <w:szCs w:val="21"/>
              </w:rPr>
              <w:t>~</w:t>
            </w:r>
            <w:r>
              <w:rPr>
                <w:rStyle w:val="font51"/>
                <w:rFonts w:eastAsia="宋体"/>
                <w:color w:val="000000" w:themeColor="text1"/>
                <w:sz w:val="21"/>
                <w:szCs w:val="21"/>
              </w:rPr>
              <w:t>2.50 mg</w:t>
            </w:r>
            <w:r>
              <w:rPr>
                <w:rStyle w:val="font01"/>
                <w:rFonts w:ascii="Times New Roman" w:hAnsi="Times New Roman" w:cs="Times New Roman" w:hint="default"/>
                <w:color w:val="000000" w:themeColor="text1"/>
                <w:sz w:val="21"/>
                <w:szCs w:val="21"/>
              </w:rPr>
              <w:t>，</w:t>
            </w:r>
            <w:r>
              <w:rPr>
                <w:rStyle w:val="font51"/>
                <w:rFonts w:eastAsia="宋体"/>
                <w:color w:val="000000" w:themeColor="text1"/>
                <w:sz w:val="21"/>
                <w:szCs w:val="21"/>
              </w:rPr>
              <w:t>qd</w:t>
            </w:r>
          </w:p>
        </w:tc>
        <w:tc>
          <w:tcPr>
            <w:tcW w:w="46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无影响</w:t>
            </w:r>
          </w:p>
        </w:tc>
        <w:tc>
          <w:tcPr>
            <w:tcW w:w="3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1</w:t>
            </w:r>
            <w:r>
              <w:rPr>
                <w:rStyle w:val="font01"/>
                <w:rFonts w:ascii="Times New Roman" w:hAnsi="Times New Roman" w:cs="Times New Roman" w:hint="default"/>
                <w:color w:val="000000" w:themeColor="text1"/>
                <w:sz w:val="21"/>
                <w:szCs w:val="21"/>
              </w:rPr>
              <w:t>~</w:t>
            </w:r>
            <w:r>
              <w:rPr>
                <w:rStyle w:val="font51"/>
                <w:rFonts w:eastAsia="宋体"/>
                <w:color w:val="000000" w:themeColor="text1"/>
                <w:sz w:val="21"/>
                <w:szCs w:val="21"/>
              </w:rPr>
              <w:t>2 h</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3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color w:val="000000" w:themeColor="text1"/>
                <w:kern w:val="0"/>
                <w:szCs w:val="21"/>
              </w:rPr>
              <w:t>75%</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14</w:t>
            </w:r>
            <w:r>
              <w:rPr>
                <w:rStyle w:val="font01"/>
                <w:rFonts w:ascii="Times New Roman" w:hAnsi="Times New Roman" w:cs="Times New Roman" w:hint="default"/>
                <w:color w:val="000000" w:themeColor="text1"/>
                <w:sz w:val="21"/>
                <w:szCs w:val="21"/>
              </w:rPr>
              <w:t>~</w:t>
            </w:r>
            <w:r>
              <w:rPr>
                <w:rStyle w:val="font51"/>
                <w:rFonts w:eastAsia="宋体"/>
                <w:color w:val="000000" w:themeColor="text1"/>
                <w:sz w:val="21"/>
                <w:szCs w:val="21"/>
              </w:rPr>
              <w:t>24 h</w:t>
            </w:r>
          </w:p>
        </w:tc>
        <w:tc>
          <w:tcPr>
            <w:tcW w:w="3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60%~80%</w:t>
            </w:r>
            <w:r>
              <w:rPr>
                <w:rFonts w:ascii="Times New Roman" w:eastAsia="宋体" w:hAnsi="Times New Roman" w:cs="Times New Roman" w:hint="eastAsia"/>
                <w:color w:val="000000" w:themeColor="text1"/>
                <w:kern w:val="0"/>
                <w:szCs w:val="21"/>
              </w:rPr>
              <w:t>代谢产物，</w:t>
            </w:r>
            <w:r>
              <w:rPr>
                <w:rFonts w:ascii="Times New Roman" w:eastAsia="宋体" w:hAnsi="Times New Roman" w:cs="Times New Roman"/>
                <w:color w:val="000000" w:themeColor="text1"/>
                <w:kern w:val="0"/>
                <w:szCs w:val="21"/>
              </w:rPr>
              <w:t>5%</w:t>
            </w:r>
            <w:r>
              <w:rPr>
                <w:rFonts w:ascii="Times New Roman" w:eastAsia="宋体" w:hAnsi="Times New Roman" w:cs="Times New Roman" w:hint="eastAsia"/>
                <w:color w:val="000000" w:themeColor="text1"/>
                <w:kern w:val="0"/>
                <w:szCs w:val="21"/>
              </w:rPr>
              <w:t>原型药物</w:t>
            </w:r>
          </w:p>
        </w:tc>
        <w:tc>
          <w:tcPr>
            <w:tcW w:w="33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不应超过</w:t>
            </w:r>
            <w:r>
              <w:rPr>
                <w:rFonts w:ascii="Times New Roman" w:eastAsia="宋体" w:hAnsi="Times New Roman" w:cs="Times New Roman"/>
                <w:color w:val="000000" w:themeColor="text1"/>
                <w:szCs w:val="21"/>
              </w:rPr>
              <w:t>2.5  mg</w:t>
            </w:r>
            <w:r>
              <w:rPr>
                <w:rFonts w:ascii="Times New Roman" w:eastAsia="宋体" w:hAnsi="Times New Roman" w:cs="Times New Roman" w:hint="eastAsia"/>
                <w:color w:val="000000" w:themeColor="text1"/>
                <w:szCs w:val="21"/>
              </w:rPr>
              <w:t>，增加剂量不会提高疗效</w:t>
            </w:r>
          </w:p>
        </w:tc>
        <w:tc>
          <w:tcPr>
            <w:tcW w:w="49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55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r>
      <w:tr w:rsidR="002E5476">
        <w:trPr>
          <w:trHeight w:val="615"/>
          <w:jc w:val="center"/>
        </w:trPr>
        <w:tc>
          <w:tcPr>
            <w:tcW w:w="5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b/>
                <w:bCs/>
                <w:color w:val="000000" w:themeColor="text1"/>
                <w:kern w:val="0"/>
                <w:szCs w:val="21"/>
              </w:rPr>
              <w:lastRenderedPageBreak/>
              <w:t>醛固酮受体拮抗剂</w:t>
            </w:r>
          </w:p>
        </w:tc>
        <w:tc>
          <w:tcPr>
            <w:tcW w:w="5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Style w:val="font51"/>
                <w:rFonts w:eastAsia="宋体"/>
                <w:color w:val="000000" w:themeColor="text1"/>
                <w:sz w:val="21"/>
                <w:szCs w:val="21"/>
              </w:rPr>
            </w:pPr>
          </w:p>
        </w:tc>
        <w:tc>
          <w:tcPr>
            <w:tcW w:w="46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c>
          <w:tcPr>
            <w:tcW w:w="3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Style w:val="font51"/>
                <w:rFonts w:eastAsia="宋体"/>
                <w:color w:val="000000" w:themeColor="text1"/>
                <w:sz w:val="21"/>
                <w:szCs w:val="21"/>
              </w:rPr>
            </w:pP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c>
          <w:tcPr>
            <w:tcW w:w="3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Style w:val="font51"/>
                <w:rFonts w:eastAsia="宋体"/>
                <w:color w:val="000000" w:themeColor="text1"/>
                <w:sz w:val="21"/>
                <w:szCs w:val="21"/>
              </w:rPr>
            </w:pPr>
          </w:p>
        </w:tc>
        <w:tc>
          <w:tcPr>
            <w:tcW w:w="3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c>
          <w:tcPr>
            <w:tcW w:w="33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c>
          <w:tcPr>
            <w:tcW w:w="49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r>
      <w:tr w:rsidR="002E5476">
        <w:trPr>
          <w:trHeight w:val="615"/>
          <w:jc w:val="center"/>
        </w:trPr>
        <w:tc>
          <w:tcPr>
            <w:tcW w:w="5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螺内酯</w:t>
            </w:r>
          </w:p>
        </w:tc>
        <w:tc>
          <w:tcPr>
            <w:tcW w:w="5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51"/>
                <w:rFonts w:eastAsia="宋体"/>
                <w:color w:val="000000" w:themeColor="text1"/>
                <w:sz w:val="21"/>
                <w:szCs w:val="21"/>
              </w:rPr>
              <w:t>5</w:t>
            </w:r>
            <w:r>
              <w:rPr>
                <w:rStyle w:val="font01"/>
                <w:rFonts w:ascii="Times New Roman" w:hAnsi="Times New Roman" w:cs="Times New Roman" w:hint="default"/>
                <w:color w:val="000000" w:themeColor="text1"/>
                <w:sz w:val="21"/>
                <w:szCs w:val="21"/>
              </w:rPr>
              <w:t>0~100 mg</w:t>
            </w:r>
            <w:r>
              <w:rPr>
                <w:rStyle w:val="font01"/>
                <w:rFonts w:ascii="Times New Roman" w:hAnsi="Times New Roman" w:cs="Times New Roman" w:hint="default"/>
                <w:color w:val="000000" w:themeColor="text1"/>
                <w:sz w:val="21"/>
                <w:szCs w:val="21"/>
              </w:rPr>
              <w:t>，</w:t>
            </w:r>
            <w:r>
              <w:rPr>
                <w:rStyle w:val="font51"/>
                <w:rFonts w:eastAsia="宋体"/>
                <w:color w:val="000000" w:themeColor="text1"/>
                <w:sz w:val="21"/>
                <w:szCs w:val="21"/>
              </w:rPr>
              <w:t>qd</w:t>
            </w:r>
            <w:r>
              <w:rPr>
                <w:rStyle w:val="font01"/>
                <w:rFonts w:ascii="Times New Roman" w:hAnsi="Times New Roman" w:cs="Times New Roman" w:hint="default"/>
                <w:color w:val="000000" w:themeColor="text1"/>
                <w:sz w:val="21"/>
                <w:szCs w:val="21"/>
              </w:rPr>
              <w:t>至</w:t>
            </w:r>
            <w:r>
              <w:rPr>
                <w:rStyle w:val="font51"/>
                <w:rFonts w:eastAsia="宋体"/>
                <w:color w:val="000000" w:themeColor="text1"/>
                <w:sz w:val="21"/>
                <w:szCs w:val="21"/>
              </w:rPr>
              <w:t>bid</w:t>
            </w:r>
          </w:p>
        </w:tc>
        <w:tc>
          <w:tcPr>
            <w:tcW w:w="46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进食中或进食后服药，减少胃肠道反应，并可能提高本药生物利用度</w:t>
            </w:r>
          </w:p>
        </w:tc>
        <w:tc>
          <w:tcPr>
            <w:tcW w:w="3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24 h</w:t>
            </w:r>
          </w:p>
        </w:tc>
        <w:tc>
          <w:tcPr>
            <w:tcW w:w="4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51"/>
                <w:rFonts w:eastAsia="宋体"/>
                <w:color w:val="000000" w:themeColor="text1"/>
                <w:sz w:val="21"/>
                <w:szCs w:val="21"/>
              </w:rPr>
              <w:t>48</w:t>
            </w:r>
            <w:r>
              <w:rPr>
                <w:rStyle w:val="font01"/>
                <w:rFonts w:ascii="Times New Roman" w:hAnsi="Times New Roman" w:cs="Times New Roman" w:hint="default"/>
                <w:color w:val="000000" w:themeColor="text1"/>
                <w:sz w:val="21"/>
                <w:szCs w:val="21"/>
              </w:rPr>
              <w:t>~</w:t>
            </w:r>
            <w:r>
              <w:rPr>
                <w:rStyle w:val="font51"/>
                <w:rFonts w:eastAsia="宋体"/>
                <w:color w:val="000000" w:themeColor="text1"/>
                <w:sz w:val="21"/>
                <w:szCs w:val="21"/>
              </w:rPr>
              <w:t>72 h</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48~72 h</w:t>
            </w:r>
          </w:p>
        </w:tc>
        <w:tc>
          <w:tcPr>
            <w:tcW w:w="3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90%</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51"/>
                <w:rFonts w:eastAsia="宋体"/>
                <w:color w:val="000000" w:themeColor="text1"/>
                <w:sz w:val="21"/>
                <w:szCs w:val="21"/>
              </w:rPr>
              <w:t>13</w:t>
            </w:r>
            <w:r>
              <w:rPr>
                <w:rStyle w:val="font01"/>
                <w:rFonts w:ascii="Times New Roman" w:hAnsi="Times New Roman" w:cs="Times New Roman" w:hint="default"/>
                <w:color w:val="000000" w:themeColor="text1"/>
                <w:sz w:val="21"/>
                <w:szCs w:val="21"/>
              </w:rPr>
              <w:t>~</w:t>
            </w:r>
            <w:r>
              <w:rPr>
                <w:rStyle w:val="font51"/>
                <w:rFonts w:eastAsia="宋体"/>
                <w:color w:val="000000" w:themeColor="text1"/>
                <w:sz w:val="21"/>
                <w:szCs w:val="21"/>
              </w:rPr>
              <w:t>24 h</w:t>
            </w:r>
          </w:p>
        </w:tc>
        <w:tc>
          <w:tcPr>
            <w:tcW w:w="3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无活性代谢产物，</w:t>
            </w:r>
            <w:r>
              <w:rPr>
                <w:rFonts w:ascii="Times New Roman" w:eastAsia="宋体" w:hAnsi="Times New Roman" w:cs="Times New Roman"/>
                <w:color w:val="000000" w:themeColor="text1"/>
                <w:kern w:val="0"/>
                <w:szCs w:val="21"/>
              </w:rPr>
              <w:t>10%</w:t>
            </w:r>
            <w:r>
              <w:rPr>
                <w:rFonts w:ascii="Times New Roman" w:eastAsia="宋体" w:hAnsi="Times New Roman" w:cs="Times New Roman" w:hint="eastAsia"/>
                <w:color w:val="000000" w:themeColor="text1"/>
                <w:kern w:val="0"/>
                <w:szCs w:val="21"/>
              </w:rPr>
              <w:t>原型药物</w:t>
            </w:r>
          </w:p>
        </w:tc>
        <w:tc>
          <w:tcPr>
            <w:tcW w:w="33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400 mg</w:t>
            </w:r>
          </w:p>
        </w:tc>
        <w:tc>
          <w:tcPr>
            <w:tcW w:w="49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555"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血钾增高、男性乳房发育、血钾增高</w:t>
            </w:r>
          </w:p>
        </w:tc>
      </w:tr>
      <w:tr w:rsidR="002E5476">
        <w:trPr>
          <w:trHeight w:val="390"/>
          <w:jc w:val="center"/>
        </w:trPr>
        <w:tc>
          <w:tcPr>
            <w:tcW w:w="5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依普利酮</w:t>
            </w:r>
          </w:p>
        </w:tc>
        <w:tc>
          <w:tcPr>
            <w:tcW w:w="5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50 mg</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qd</w:t>
            </w:r>
            <w:r>
              <w:rPr>
                <w:rStyle w:val="font31"/>
                <w:rFonts w:ascii="Times New Roman" w:hAnsi="Times New Roman" w:cs="Times New Roman" w:hint="default"/>
                <w:color w:val="000000" w:themeColor="text1"/>
                <w:sz w:val="21"/>
                <w:szCs w:val="21"/>
              </w:rPr>
              <w:t>至</w:t>
            </w:r>
            <w:r>
              <w:rPr>
                <w:rStyle w:val="font41"/>
                <w:rFonts w:eastAsia="宋体"/>
                <w:color w:val="000000" w:themeColor="text1"/>
                <w:sz w:val="21"/>
                <w:szCs w:val="21"/>
              </w:rPr>
              <w:t>bid</w:t>
            </w:r>
          </w:p>
        </w:tc>
        <w:tc>
          <w:tcPr>
            <w:tcW w:w="46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无影响</w:t>
            </w:r>
          </w:p>
        </w:tc>
        <w:tc>
          <w:tcPr>
            <w:tcW w:w="3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1.5</w:t>
            </w:r>
            <w:r>
              <w:rPr>
                <w:rStyle w:val="font01"/>
                <w:rFonts w:ascii="Times New Roman" w:hAnsi="Times New Roman" w:cs="Times New Roman" w:hint="default"/>
                <w:color w:val="000000" w:themeColor="text1"/>
                <w:sz w:val="21"/>
                <w:szCs w:val="21"/>
              </w:rPr>
              <w:t>~</w:t>
            </w:r>
            <w:r>
              <w:rPr>
                <w:rFonts w:ascii="Times New Roman" w:eastAsia="宋体" w:hAnsi="Times New Roman" w:cs="Times New Roman"/>
                <w:color w:val="000000" w:themeColor="text1"/>
                <w:szCs w:val="21"/>
              </w:rPr>
              <w:t>2.0 h</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3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50%</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3~6 h</w:t>
            </w:r>
          </w:p>
        </w:tc>
        <w:tc>
          <w:tcPr>
            <w:tcW w:w="3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67%</w:t>
            </w:r>
            <w:r>
              <w:rPr>
                <w:rFonts w:ascii="Times New Roman" w:eastAsia="宋体" w:hAnsi="Times New Roman" w:cs="Times New Roman" w:hint="eastAsia"/>
                <w:color w:val="000000" w:themeColor="text1"/>
                <w:szCs w:val="21"/>
              </w:rPr>
              <w:t>代谢产物，原型药物＜</w:t>
            </w:r>
            <w:r>
              <w:rPr>
                <w:rFonts w:ascii="Times New Roman" w:eastAsia="宋体" w:hAnsi="Times New Roman" w:cs="Times New Roman"/>
                <w:color w:val="000000" w:themeColor="text1"/>
                <w:szCs w:val="21"/>
              </w:rPr>
              <w:t>5%</w:t>
            </w:r>
            <w:r>
              <w:rPr>
                <w:rFonts w:ascii="Times New Roman" w:eastAsia="宋体" w:hAnsi="Times New Roman" w:cs="Times New Roman" w:hint="eastAsia"/>
                <w:color w:val="000000" w:themeColor="text1"/>
                <w:szCs w:val="21"/>
              </w:rPr>
              <w:t>经粪便及尿液排泄</w:t>
            </w:r>
          </w:p>
        </w:tc>
        <w:tc>
          <w:tcPr>
            <w:tcW w:w="33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color w:val="000000" w:themeColor="text1"/>
                <w:kern w:val="0"/>
                <w:szCs w:val="21"/>
              </w:rPr>
              <w:t>100 mg</w:t>
            </w:r>
            <w:r>
              <w:rPr>
                <w:rFonts w:ascii="Times New Roman" w:eastAsia="宋体" w:hAnsi="Times New Roman" w:cs="Times New Roman" w:hint="eastAsia"/>
                <w:color w:val="000000" w:themeColor="text1"/>
                <w:kern w:val="0"/>
                <w:szCs w:val="21"/>
              </w:rPr>
              <w:t>可能发生高钾血症</w:t>
            </w:r>
          </w:p>
        </w:tc>
        <w:tc>
          <w:tcPr>
            <w:tcW w:w="49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55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r>
      <w:tr w:rsidR="002E5476">
        <w:trPr>
          <w:trHeight w:val="390"/>
          <w:jc w:val="center"/>
        </w:trPr>
        <w:tc>
          <w:tcPr>
            <w:tcW w:w="5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b/>
                <w:bCs/>
                <w:color w:val="000000" w:themeColor="text1"/>
                <w:kern w:val="0"/>
                <w:szCs w:val="21"/>
              </w:rPr>
              <w:t>其他利尿剂</w:t>
            </w:r>
          </w:p>
        </w:tc>
        <w:tc>
          <w:tcPr>
            <w:tcW w:w="5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Style w:val="font41"/>
                <w:rFonts w:eastAsia="宋体"/>
                <w:color w:val="000000" w:themeColor="text1"/>
                <w:sz w:val="21"/>
                <w:szCs w:val="21"/>
              </w:rPr>
            </w:pPr>
          </w:p>
        </w:tc>
        <w:tc>
          <w:tcPr>
            <w:tcW w:w="46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c>
          <w:tcPr>
            <w:tcW w:w="3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Style w:val="font41"/>
                <w:rFonts w:eastAsia="宋体"/>
                <w:color w:val="000000" w:themeColor="text1"/>
                <w:sz w:val="21"/>
                <w:szCs w:val="21"/>
              </w:rPr>
            </w:pP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c>
          <w:tcPr>
            <w:tcW w:w="3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Style w:val="font41"/>
                <w:rFonts w:eastAsia="宋体"/>
                <w:color w:val="000000" w:themeColor="text1"/>
                <w:sz w:val="21"/>
                <w:szCs w:val="21"/>
              </w:rPr>
            </w:pPr>
          </w:p>
        </w:tc>
        <w:tc>
          <w:tcPr>
            <w:tcW w:w="3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c>
          <w:tcPr>
            <w:tcW w:w="33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49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r>
      <w:tr w:rsidR="002E5476">
        <w:trPr>
          <w:trHeight w:val="390"/>
          <w:jc w:val="center"/>
        </w:trPr>
        <w:tc>
          <w:tcPr>
            <w:tcW w:w="5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阿米洛利</w:t>
            </w:r>
          </w:p>
        </w:tc>
        <w:tc>
          <w:tcPr>
            <w:tcW w:w="5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5</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10 mg</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qd</w:t>
            </w:r>
          </w:p>
        </w:tc>
        <w:tc>
          <w:tcPr>
            <w:tcW w:w="46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进食时或餐后</w:t>
            </w:r>
          </w:p>
        </w:tc>
        <w:tc>
          <w:tcPr>
            <w:tcW w:w="3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2 h</w:t>
            </w:r>
          </w:p>
        </w:tc>
        <w:tc>
          <w:tcPr>
            <w:tcW w:w="4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3</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4 h</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6~10 h</w:t>
            </w:r>
          </w:p>
        </w:tc>
        <w:tc>
          <w:tcPr>
            <w:tcW w:w="3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6</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9 h</w:t>
            </w:r>
          </w:p>
        </w:tc>
        <w:tc>
          <w:tcPr>
            <w:tcW w:w="3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50%</w:t>
            </w:r>
            <w:r>
              <w:rPr>
                <w:rFonts w:ascii="Times New Roman" w:eastAsia="宋体" w:hAnsi="Times New Roman" w:cs="Times New Roman" w:hint="eastAsia"/>
                <w:color w:val="000000" w:themeColor="text1"/>
                <w:kern w:val="0"/>
                <w:szCs w:val="21"/>
              </w:rPr>
              <w:t>原型药物</w:t>
            </w:r>
          </w:p>
        </w:tc>
        <w:tc>
          <w:tcPr>
            <w:tcW w:w="33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49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555"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血钾增高</w:t>
            </w:r>
          </w:p>
        </w:tc>
      </w:tr>
      <w:tr w:rsidR="002E5476">
        <w:trPr>
          <w:trHeight w:val="495"/>
          <w:jc w:val="center"/>
        </w:trPr>
        <w:tc>
          <w:tcPr>
            <w:tcW w:w="5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氨苯蝶啶</w:t>
            </w:r>
          </w:p>
        </w:tc>
        <w:tc>
          <w:tcPr>
            <w:tcW w:w="5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50 mg</w:t>
            </w:r>
            <w:r>
              <w:rPr>
                <w:rFonts w:ascii="Times New Roman" w:eastAsia="宋体" w:hAnsi="Times New Roman" w:cs="Times New Roman" w:hint="eastAsia"/>
                <w:color w:val="000000" w:themeColor="text1"/>
                <w:szCs w:val="21"/>
              </w:rPr>
              <w:t>，</w:t>
            </w:r>
            <w:r>
              <w:rPr>
                <w:rFonts w:ascii="Times New Roman" w:eastAsia="宋体" w:hAnsi="Times New Roman" w:cs="Times New Roman"/>
                <w:color w:val="000000" w:themeColor="text1"/>
                <w:szCs w:val="21"/>
              </w:rPr>
              <w:t>qd</w:t>
            </w:r>
            <w:r>
              <w:rPr>
                <w:rFonts w:ascii="Times New Roman" w:eastAsia="宋体" w:hAnsi="Times New Roman" w:cs="Times New Roman" w:hint="eastAsia"/>
                <w:color w:val="000000" w:themeColor="text1"/>
                <w:szCs w:val="21"/>
              </w:rPr>
              <w:t>至</w:t>
            </w:r>
            <w:r>
              <w:rPr>
                <w:rFonts w:ascii="Times New Roman" w:eastAsia="宋体" w:hAnsi="Times New Roman" w:cs="Times New Roman"/>
                <w:color w:val="000000" w:themeColor="text1"/>
                <w:szCs w:val="21"/>
              </w:rPr>
              <w:t>bid</w:t>
            </w:r>
          </w:p>
        </w:tc>
        <w:tc>
          <w:tcPr>
            <w:tcW w:w="46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进食中或餐后服药，减少胃肠道反应，并可能提高本药生物利用度</w:t>
            </w:r>
          </w:p>
        </w:tc>
        <w:tc>
          <w:tcPr>
            <w:tcW w:w="3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2</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4 h</w:t>
            </w:r>
          </w:p>
        </w:tc>
        <w:tc>
          <w:tcPr>
            <w:tcW w:w="4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6 h</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7~9 h</w:t>
            </w:r>
          </w:p>
        </w:tc>
        <w:tc>
          <w:tcPr>
            <w:tcW w:w="3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40%~70%</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1.5~2.0 h</w:t>
            </w:r>
          </w:p>
        </w:tc>
        <w:tc>
          <w:tcPr>
            <w:tcW w:w="3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代谢产物主要经肾排泄</w:t>
            </w:r>
          </w:p>
        </w:tc>
        <w:tc>
          <w:tcPr>
            <w:tcW w:w="33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shd w:val="clear" w:color="auto" w:fill="FFFFFF"/>
              </w:rPr>
              <w:t>300 mg</w:t>
            </w:r>
          </w:p>
        </w:tc>
        <w:tc>
          <w:tcPr>
            <w:tcW w:w="49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55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r>
      <w:tr w:rsidR="002E5476">
        <w:trPr>
          <w:trHeight w:val="600"/>
          <w:jc w:val="center"/>
        </w:trPr>
        <w:tc>
          <w:tcPr>
            <w:tcW w:w="5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b/>
                <w:bCs/>
                <w:color w:val="000000" w:themeColor="text1"/>
                <w:kern w:val="0"/>
                <w:szCs w:val="21"/>
              </w:rPr>
              <w:t>β受体阻滞剂</w:t>
            </w:r>
          </w:p>
        </w:tc>
        <w:tc>
          <w:tcPr>
            <w:tcW w:w="5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Style w:val="font41"/>
                <w:rFonts w:eastAsia="宋体"/>
                <w:color w:val="000000" w:themeColor="text1"/>
                <w:sz w:val="21"/>
                <w:szCs w:val="21"/>
              </w:rPr>
            </w:pPr>
          </w:p>
        </w:tc>
        <w:tc>
          <w:tcPr>
            <w:tcW w:w="46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Style w:val="font41"/>
                <w:rFonts w:eastAsia="宋体"/>
                <w:color w:val="000000" w:themeColor="text1"/>
                <w:sz w:val="21"/>
                <w:szCs w:val="21"/>
              </w:rPr>
            </w:pPr>
          </w:p>
        </w:tc>
        <w:tc>
          <w:tcPr>
            <w:tcW w:w="3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3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c>
          <w:tcPr>
            <w:tcW w:w="3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c>
          <w:tcPr>
            <w:tcW w:w="33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c>
          <w:tcPr>
            <w:tcW w:w="49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Style w:val="font31"/>
                <w:rFonts w:ascii="Times New Roman" w:hAnsi="Times New Roman" w:cs="Times New Roman" w:hint="default"/>
                <w:color w:val="000000" w:themeColor="text1"/>
                <w:sz w:val="21"/>
                <w:szCs w:val="21"/>
              </w:rPr>
            </w:pPr>
          </w:p>
        </w:tc>
      </w:tr>
      <w:tr w:rsidR="002E5476">
        <w:trPr>
          <w:trHeight w:val="600"/>
          <w:jc w:val="center"/>
        </w:trPr>
        <w:tc>
          <w:tcPr>
            <w:tcW w:w="5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酒石酸美托洛尔</w:t>
            </w:r>
          </w:p>
        </w:tc>
        <w:tc>
          <w:tcPr>
            <w:tcW w:w="5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50</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100 mg</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bid</w:t>
            </w:r>
          </w:p>
        </w:tc>
        <w:tc>
          <w:tcPr>
            <w:tcW w:w="46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hint="eastAsia"/>
                <w:color w:val="000000" w:themeColor="text1"/>
                <w:sz w:val="21"/>
                <w:szCs w:val="21"/>
              </w:rPr>
              <w:t>进食时服药可使美托洛尔生物利用度增加</w:t>
            </w:r>
            <w:r>
              <w:rPr>
                <w:rStyle w:val="font41"/>
                <w:rFonts w:eastAsia="宋体"/>
                <w:color w:val="000000" w:themeColor="text1"/>
                <w:sz w:val="21"/>
                <w:szCs w:val="21"/>
              </w:rPr>
              <w:t>40%</w:t>
            </w:r>
            <w:r>
              <w:rPr>
                <w:rStyle w:val="font31"/>
                <w:rFonts w:ascii="Times New Roman" w:hAnsi="Times New Roman" w:cs="Times New Roman" w:hint="default"/>
                <w:color w:val="000000" w:themeColor="text1"/>
                <w:sz w:val="21"/>
                <w:szCs w:val="21"/>
              </w:rPr>
              <w:t>，应空腹服药</w:t>
            </w:r>
          </w:p>
        </w:tc>
        <w:tc>
          <w:tcPr>
            <w:tcW w:w="3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1</w:t>
            </w:r>
            <w:r>
              <w:rPr>
                <w:rStyle w:val="font31"/>
                <w:rFonts w:ascii="Times New Roman" w:hAnsi="Times New Roman" w:cs="Times New Roman" w:hint="default"/>
                <w:color w:val="000000" w:themeColor="text1"/>
                <w:sz w:val="21"/>
                <w:szCs w:val="21"/>
              </w:rPr>
              <w:t>~</w:t>
            </w:r>
            <w:r>
              <w:rPr>
                <w:rFonts w:ascii="Times New Roman" w:eastAsia="宋体" w:hAnsi="Times New Roman" w:cs="Times New Roman"/>
                <w:color w:val="000000" w:themeColor="text1"/>
                <w:kern w:val="0"/>
                <w:szCs w:val="21"/>
              </w:rPr>
              <w:t>2 h</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3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3~5 h</w:t>
            </w:r>
          </w:p>
        </w:tc>
        <w:tc>
          <w:tcPr>
            <w:tcW w:w="3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5%</w:t>
            </w:r>
            <w:r>
              <w:rPr>
                <w:rFonts w:ascii="Times New Roman" w:eastAsia="宋体" w:hAnsi="Times New Roman" w:cs="Times New Roman" w:hint="eastAsia"/>
                <w:color w:val="000000" w:themeColor="text1"/>
                <w:kern w:val="0"/>
                <w:szCs w:val="21"/>
              </w:rPr>
              <w:t>原型药物</w:t>
            </w:r>
          </w:p>
        </w:tc>
        <w:tc>
          <w:tcPr>
            <w:tcW w:w="33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300~400 mg</w:t>
            </w:r>
          </w:p>
        </w:tc>
        <w:tc>
          <w:tcPr>
            <w:tcW w:w="49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555"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31"/>
                <w:rFonts w:ascii="Times New Roman" w:hAnsi="Times New Roman" w:cs="Times New Roman" w:hint="default"/>
                <w:color w:val="000000" w:themeColor="text1"/>
                <w:sz w:val="21"/>
                <w:szCs w:val="21"/>
              </w:rPr>
              <w:t>支气管痉挛、心功能抑制、严重心动过缓者禁用；可能掩盖低血糖和甲亢的表现；长期使用者应避免突然停药，在</w:t>
            </w:r>
            <w:r>
              <w:rPr>
                <w:rStyle w:val="font41"/>
                <w:rFonts w:eastAsia="宋体"/>
                <w:color w:val="000000" w:themeColor="text1"/>
                <w:sz w:val="21"/>
                <w:szCs w:val="21"/>
              </w:rPr>
              <w:t>1~2</w:t>
            </w:r>
            <w:r>
              <w:rPr>
                <w:rStyle w:val="font31"/>
                <w:rFonts w:ascii="Times New Roman" w:hAnsi="Times New Roman" w:cs="Times New Roman" w:hint="default"/>
                <w:color w:val="000000" w:themeColor="text1"/>
                <w:sz w:val="21"/>
                <w:szCs w:val="21"/>
              </w:rPr>
              <w:t>周内逐渐减停</w:t>
            </w:r>
          </w:p>
        </w:tc>
      </w:tr>
      <w:tr w:rsidR="002E5476">
        <w:trPr>
          <w:trHeight w:val="435"/>
          <w:jc w:val="center"/>
        </w:trPr>
        <w:tc>
          <w:tcPr>
            <w:tcW w:w="5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琥珀酸美托洛尔（缓释剂）</w:t>
            </w:r>
          </w:p>
        </w:tc>
        <w:tc>
          <w:tcPr>
            <w:tcW w:w="5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47.5</w:t>
            </w:r>
            <w:r>
              <w:rPr>
                <w:rStyle w:val="font31"/>
                <w:rFonts w:ascii="Times New Roman" w:hAnsi="Times New Roman" w:cs="Times New Roman" w:hint="default"/>
                <w:color w:val="000000" w:themeColor="text1"/>
                <w:sz w:val="21"/>
                <w:szCs w:val="21"/>
              </w:rPr>
              <w:t>~1</w:t>
            </w:r>
            <w:r>
              <w:rPr>
                <w:rStyle w:val="font41"/>
                <w:rFonts w:eastAsia="宋体"/>
                <w:color w:val="000000" w:themeColor="text1"/>
                <w:sz w:val="21"/>
                <w:szCs w:val="21"/>
              </w:rPr>
              <w:t>90.0 mg</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qd</w:t>
            </w:r>
          </w:p>
        </w:tc>
        <w:tc>
          <w:tcPr>
            <w:tcW w:w="46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无影响</w:t>
            </w:r>
          </w:p>
        </w:tc>
        <w:tc>
          <w:tcPr>
            <w:tcW w:w="3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24 h</w:t>
            </w:r>
          </w:p>
        </w:tc>
        <w:tc>
          <w:tcPr>
            <w:tcW w:w="3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3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5%</w:t>
            </w:r>
            <w:r>
              <w:rPr>
                <w:rFonts w:ascii="Times New Roman" w:eastAsia="宋体" w:hAnsi="Times New Roman" w:cs="Times New Roman" w:hint="eastAsia"/>
                <w:color w:val="000000" w:themeColor="text1"/>
                <w:kern w:val="0"/>
                <w:szCs w:val="21"/>
              </w:rPr>
              <w:t>原型药物</w:t>
            </w:r>
          </w:p>
        </w:tc>
        <w:tc>
          <w:tcPr>
            <w:tcW w:w="33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190 mg</w:t>
            </w:r>
          </w:p>
        </w:tc>
        <w:tc>
          <w:tcPr>
            <w:tcW w:w="49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55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r>
      <w:tr w:rsidR="002E5476">
        <w:trPr>
          <w:trHeight w:val="435"/>
          <w:jc w:val="center"/>
        </w:trPr>
        <w:tc>
          <w:tcPr>
            <w:tcW w:w="5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比索洛尔</w:t>
            </w:r>
          </w:p>
        </w:tc>
        <w:tc>
          <w:tcPr>
            <w:tcW w:w="5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2.5</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10.0 mg</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qd</w:t>
            </w:r>
          </w:p>
        </w:tc>
        <w:tc>
          <w:tcPr>
            <w:tcW w:w="46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进食中服用，勿嚼碎</w:t>
            </w:r>
          </w:p>
        </w:tc>
        <w:tc>
          <w:tcPr>
            <w:tcW w:w="3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3</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4 h</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24 h</w:t>
            </w:r>
          </w:p>
        </w:tc>
        <w:tc>
          <w:tcPr>
            <w:tcW w:w="3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30%</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10~12 h</w:t>
            </w:r>
          </w:p>
        </w:tc>
        <w:tc>
          <w:tcPr>
            <w:tcW w:w="3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50%</w:t>
            </w:r>
            <w:r>
              <w:rPr>
                <w:rFonts w:ascii="Times New Roman" w:eastAsia="宋体" w:hAnsi="Times New Roman" w:cs="Times New Roman" w:hint="eastAsia"/>
                <w:color w:val="000000" w:themeColor="text1"/>
                <w:kern w:val="0"/>
                <w:szCs w:val="21"/>
              </w:rPr>
              <w:t>代谢产物，</w:t>
            </w:r>
            <w:r>
              <w:rPr>
                <w:rFonts w:ascii="Times New Roman" w:eastAsia="宋体" w:hAnsi="Times New Roman" w:cs="Times New Roman"/>
                <w:color w:val="000000" w:themeColor="text1"/>
                <w:kern w:val="0"/>
                <w:szCs w:val="21"/>
              </w:rPr>
              <w:t>50%</w:t>
            </w:r>
            <w:r>
              <w:rPr>
                <w:rFonts w:ascii="Times New Roman" w:eastAsia="宋体" w:hAnsi="Times New Roman" w:cs="Times New Roman" w:hint="eastAsia"/>
                <w:color w:val="000000" w:themeColor="text1"/>
                <w:kern w:val="0"/>
                <w:szCs w:val="21"/>
              </w:rPr>
              <w:t>原型药物</w:t>
            </w:r>
          </w:p>
        </w:tc>
        <w:tc>
          <w:tcPr>
            <w:tcW w:w="33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10 mg</w:t>
            </w:r>
          </w:p>
        </w:tc>
        <w:tc>
          <w:tcPr>
            <w:tcW w:w="49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55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r>
      <w:tr w:rsidR="002E5476">
        <w:trPr>
          <w:trHeight w:val="615"/>
          <w:jc w:val="center"/>
        </w:trPr>
        <w:tc>
          <w:tcPr>
            <w:tcW w:w="5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普萘洛尔</w:t>
            </w:r>
          </w:p>
        </w:tc>
        <w:tc>
          <w:tcPr>
            <w:tcW w:w="5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10 mg</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tid</w:t>
            </w:r>
            <w:r>
              <w:rPr>
                <w:rStyle w:val="font31"/>
                <w:rFonts w:ascii="Times New Roman" w:hAnsi="Times New Roman" w:cs="Times New Roman" w:hint="default"/>
                <w:color w:val="000000" w:themeColor="text1"/>
                <w:sz w:val="21"/>
                <w:szCs w:val="21"/>
              </w:rPr>
              <w:t>至</w:t>
            </w:r>
            <w:r>
              <w:rPr>
                <w:rStyle w:val="font41"/>
                <w:rFonts w:eastAsia="宋体"/>
                <w:color w:val="000000" w:themeColor="text1"/>
                <w:sz w:val="21"/>
                <w:szCs w:val="21"/>
              </w:rPr>
              <w:t>qid</w:t>
            </w:r>
          </w:p>
        </w:tc>
        <w:tc>
          <w:tcPr>
            <w:tcW w:w="46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空腹或随餐，后者可延缓肝内代谢，提高生</w:t>
            </w:r>
            <w:r>
              <w:rPr>
                <w:rFonts w:ascii="Times New Roman" w:eastAsia="宋体" w:hAnsi="Times New Roman" w:cs="Times New Roman" w:hint="eastAsia"/>
                <w:color w:val="000000" w:themeColor="text1"/>
                <w:kern w:val="0"/>
                <w:szCs w:val="21"/>
              </w:rPr>
              <w:lastRenderedPageBreak/>
              <w:t>物利用度</w:t>
            </w:r>
          </w:p>
        </w:tc>
        <w:tc>
          <w:tcPr>
            <w:tcW w:w="3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1.0~1.5 h</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3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90%~95%</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2~3 h</w:t>
            </w:r>
          </w:p>
        </w:tc>
        <w:tc>
          <w:tcPr>
            <w:tcW w:w="3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代谢产物，＜</w:t>
            </w:r>
            <w:r>
              <w:rPr>
                <w:rFonts w:ascii="Times New Roman" w:eastAsia="宋体" w:hAnsi="Times New Roman" w:cs="Times New Roman"/>
                <w:color w:val="000000" w:themeColor="text1"/>
                <w:szCs w:val="21"/>
              </w:rPr>
              <w:t>1%</w:t>
            </w:r>
            <w:r>
              <w:rPr>
                <w:rFonts w:ascii="Times New Roman" w:eastAsia="宋体" w:hAnsi="Times New Roman" w:cs="Times New Roman" w:hint="eastAsia"/>
                <w:color w:val="000000" w:themeColor="text1"/>
                <w:szCs w:val="21"/>
              </w:rPr>
              <w:t>为原型药物</w:t>
            </w:r>
          </w:p>
        </w:tc>
        <w:tc>
          <w:tcPr>
            <w:tcW w:w="33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200 mg</w:t>
            </w:r>
          </w:p>
        </w:tc>
        <w:tc>
          <w:tcPr>
            <w:tcW w:w="49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55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r>
      <w:tr w:rsidR="002E5476">
        <w:trPr>
          <w:trHeight w:val="615"/>
          <w:jc w:val="center"/>
        </w:trPr>
        <w:tc>
          <w:tcPr>
            <w:tcW w:w="5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lastRenderedPageBreak/>
              <w:t>阿替洛尔</w:t>
            </w:r>
          </w:p>
        </w:tc>
        <w:tc>
          <w:tcPr>
            <w:tcW w:w="5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6.25</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12.50 mg</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bid</w:t>
            </w:r>
          </w:p>
        </w:tc>
        <w:tc>
          <w:tcPr>
            <w:tcW w:w="46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3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2~4 h</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24 h</w:t>
            </w:r>
          </w:p>
        </w:tc>
        <w:tc>
          <w:tcPr>
            <w:tcW w:w="3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6%~16%</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6~7 h</w:t>
            </w:r>
          </w:p>
        </w:tc>
        <w:tc>
          <w:tcPr>
            <w:tcW w:w="3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主要，原型药物</w:t>
            </w:r>
          </w:p>
        </w:tc>
        <w:tc>
          <w:tcPr>
            <w:tcW w:w="33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200 mg</w:t>
            </w:r>
          </w:p>
        </w:tc>
        <w:tc>
          <w:tcPr>
            <w:tcW w:w="49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55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r>
      <w:tr w:rsidR="002E5476">
        <w:trPr>
          <w:trHeight w:val="825"/>
          <w:jc w:val="center"/>
        </w:trPr>
        <w:tc>
          <w:tcPr>
            <w:tcW w:w="5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b/>
                <w:bCs/>
                <w:color w:val="000000" w:themeColor="text1"/>
                <w:kern w:val="0"/>
                <w:szCs w:val="21"/>
              </w:rPr>
              <w:t>α</w:t>
            </w:r>
            <w:r>
              <w:rPr>
                <w:rFonts w:ascii="Times New Roman" w:eastAsia="宋体" w:hAnsi="Times New Roman" w:cs="Times New Roman"/>
                <w:b/>
                <w:bCs/>
                <w:color w:val="000000" w:themeColor="text1"/>
                <w:kern w:val="0"/>
                <w:szCs w:val="21"/>
              </w:rPr>
              <w:t>/</w:t>
            </w:r>
            <w:r>
              <w:rPr>
                <w:rFonts w:ascii="Times New Roman" w:eastAsia="宋体" w:hAnsi="Times New Roman" w:cs="Times New Roman" w:hint="eastAsia"/>
                <w:b/>
                <w:bCs/>
                <w:color w:val="000000" w:themeColor="text1"/>
                <w:kern w:val="0"/>
                <w:szCs w:val="21"/>
              </w:rPr>
              <w:t>β受体阻滞剂</w:t>
            </w:r>
          </w:p>
        </w:tc>
        <w:tc>
          <w:tcPr>
            <w:tcW w:w="5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Style w:val="font41"/>
                <w:rFonts w:eastAsia="宋体"/>
                <w:color w:val="000000" w:themeColor="text1"/>
                <w:sz w:val="21"/>
                <w:szCs w:val="21"/>
              </w:rPr>
            </w:pPr>
          </w:p>
        </w:tc>
        <w:tc>
          <w:tcPr>
            <w:tcW w:w="46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c>
          <w:tcPr>
            <w:tcW w:w="3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Style w:val="font41"/>
                <w:rFonts w:eastAsia="宋体"/>
                <w:color w:val="000000" w:themeColor="text1"/>
                <w:sz w:val="21"/>
                <w:szCs w:val="21"/>
              </w:rPr>
            </w:pP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c>
          <w:tcPr>
            <w:tcW w:w="3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Style w:val="font41"/>
                <w:rFonts w:eastAsia="宋体"/>
                <w:color w:val="000000" w:themeColor="text1"/>
                <w:sz w:val="21"/>
                <w:szCs w:val="21"/>
              </w:rPr>
            </w:pPr>
          </w:p>
        </w:tc>
        <w:tc>
          <w:tcPr>
            <w:tcW w:w="3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c>
          <w:tcPr>
            <w:tcW w:w="33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c>
          <w:tcPr>
            <w:tcW w:w="49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Style w:val="font31"/>
                <w:rFonts w:ascii="Times New Roman" w:hAnsi="Times New Roman" w:cs="Times New Roman" w:hint="default"/>
                <w:color w:val="000000" w:themeColor="text1"/>
                <w:sz w:val="21"/>
                <w:szCs w:val="21"/>
              </w:rPr>
            </w:pPr>
          </w:p>
        </w:tc>
      </w:tr>
      <w:tr w:rsidR="002E5476">
        <w:trPr>
          <w:trHeight w:val="825"/>
          <w:jc w:val="center"/>
        </w:trPr>
        <w:tc>
          <w:tcPr>
            <w:tcW w:w="5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拉贝洛尔</w:t>
            </w:r>
          </w:p>
        </w:tc>
        <w:tc>
          <w:tcPr>
            <w:tcW w:w="5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100~400 mg</w:t>
            </w:r>
            <w:r>
              <w:rPr>
                <w:rStyle w:val="font41"/>
                <w:rFonts w:eastAsia="宋体" w:hint="eastAsia"/>
                <w:color w:val="000000" w:themeColor="text1"/>
                <w:sz w:val="21"/>
                <w:szCs w:val="21"/>
              </w:rPr>
              <w:t>，</w:t>
            </w:r>
            <w:r>
              <w:rPr>
                <w:rStyle w:val="font41"/>
                <w:rFonts w:eastAsia="宋体"/>
                <w:color w:val="000000" w:themeColor="text1"/>
                <w:sz w:val="21"/>
                <w:szCs w:val="21"/>
              </w:rPr>
              <w:t>bid</w:t>
            </w:r>
          </w:p>
        </w:tc>
        <w:tc>
          <w:tcPr>
            <w:tcW w:w="46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饭后服</w:t>
            </w:r>
          </w:p>
        </w:tc>
        <w:tc>
          <w:tcPr>
            <w:tcW w:w="3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1</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2 h</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8~12 h</w:t>
            </w:r>
          </w:p>
        </w:tc>
        <w:tc>
          <w:tcPr>
            <w:tcW w:w="3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6</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8 h</w:t>
            </w:r>
          </w:p>
        </w:tc>
        <w:tc>
          <w:tcPr>
            <w:tcW w:w="3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55~60%</w:t>
            </w:r>
            <w:r>
              <w:rPr>
                <w:rFonts w:ascii="Times New Roman" w:eastAsia="宋体" w:hAnsi="Times New Roman" w:cs="Times New Roman" w:hint="eastAsia"/>
                <w:color w:val="000000" w:themeColor="text1"/>
                <w:kern w:val="0"/>
                <w:szCs w:val="21"/>
              </w:rPr>
              <w:t>原型药物和代谢产物</w:t>
            </w:r>
          </w:p>
        </w:tc>
        <w:tc>
          <w:tcPr>
            <w:tcW w:w="33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2 400 mg</w:t>
            </w:r>
          </w:p>
        </w:tc>
        <w:tc>
          <w:tcPr>
            <w:tcW w:w="49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555"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31"/>
                <w:rFonts w:ascii="Times New Roman" w:hAnsi="Times New Roman" w:cs="Times New Roman" w:hint="default"/>
                <w:color w:val="000000" w:themeColor="text1"/>
                <w:sz w:val="21"/>
                <w:szCs w:val="21"/>
              </w:rPr>
              <w:t>体位性低血压、支气管痉挛</w:t>
            </w:r>
          </w:p>
        </w:tc>
      </w:tr>
      <w:tr w:rsidR="002E5476">
        <w:trPr>
          <w:trHeight w:val="975"/>
          <w:jc w:val="center"/>
        </w:trPr>
        <w:tc>
          <w:tcPr>
            <w:tcW w:w="5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卡维地洛</w:t>
            </w:r>
          </w:p>
        </w:tc>
        <w:tc>
          <w:tcPr>
            <w:tcW w:w="5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25 mg</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bid</w:t>
            </w:r>
          </w:p>
        </w:tc>
        <w:tc>
          <w:tcPr>
            <w:tcW w:w="46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与食物同服，其吸收减慢，但对生物利用度无影响，服药时间与用餐无关。充血性心力衰竭患者须饭中服用，以减缓吸收，降低体位性低血压发生</w:t>
            </w:r>
          </w:p>
        </w:tc>
        <w:tc>
          <w:tcPr>
            <w:tcW w:w="3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1 h</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3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color w:val="000000" w:themeColor="text1"/>
                <w:kern w:val="0"/>
                <w:szCs w:val="21"/>
              </w:rPr>
              <w:t>98%</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7</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10 h</w:t>
            </w:r>
          </w:p>
        </w:tc>
        <w:tc>
          <w:tcPr>
            <w:tcW w:w="3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color w:val="000000" w:themeColor="text1"/>
                <w:kern w:val="0"/>
                <w:szCs w:val="21"/>
              </w:rPr>
              <w:t>2%</w:t>
            </w:r>
            <w:r>
              <w:rPr>
                <w:rFonts w:ascii="Times New Roman" w:eastAsia="宋体" w:hAnsi="Times New Roman" w:cs="Times New Roman" w:hint="eastAsia"/>
                <w:color w:val="000000" w:themeColor="text1"/>
                <w:kern w:val="0"/>
                <w:szCs w:val="21"/>
              </w:rPr>
              <w:t>原型药物</w:t>
            </w:r>
          </w:p>
        </w:tc>
        <w:tc>
          <w:tcPr>
            <w:tcW w:w="33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40 mg</w:t>
            </w:r>
          </w:p>
        </w:tc>
        <w:tc>
          <w:tcPr>
            <w:tcW w:w="49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55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r>
      <w:tr w:rsidR="002E5476">
        <w:trPr>
          <w:trHeight w:val="435"/>
          <w:jc w:val="center"/>
        </w:trPr>
        <w:tc>
          <w:tcPr>
            <w:tcW w:w="5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阿罗洛尔</w:t>
            </w:r>
          </w:p>
        </w:tc>
        <w:tc>
          <w:tcPr>
            <w:tcW w:w="5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10</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15 mg</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bid</w:t>
            </w:r>
          </w:p>
        </w:tc>
        <w:tc>
          <w:tcPr>
            <w:tcW w:w="46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3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2 h</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3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91%</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10 h</w:t>
            </w:r>
          </w:p>
        </w:tc>
        <w:tc>
          <w:tcPr>
            <w:tcW w:w="3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4%~6%</w:t>
            </w:r>
            <w:r>
              <w:rPr>
                <w:rFonts w:ascii="Times New Roman" w:eastAsia="宋体" w:hAnsi="Times New Roman" w:cs="Times New Roman" w:hint="eastAsia"/>
                <w:color w:val="000000" w:themeColor="text1"/>
                <w:kern w:val="0"/>
                <w:szCs w:val="21"/>
              </w:rPr>
              <w:t>原型药物</w:t>
            </w:r>
          </w:p>
        </w:tc>
        <w:tc>
          <w:tcPr>
            <w:tcW w:w="33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30 mg</w:t>
            </w:r>
          </w:p>
        </w:tc>
        <w:tc>
          <w:tcPr>
            <w:tcW w:w="49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55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r>
      <w:tr w:rsidR="002E5476">
        <w:trPr>
          <w:trHeight w:val="435"/>
          <w:jc w:val="center"/>
        </w:trPr>
        <w:tc>
          <w:tcPr>
            <w:tcW w:w="5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b/>
                <w:bCs/>
                <w:color w:val="000000" w:themeColor="text1"/>
                <w:kern w:val="0"/>
                <w:szCs w:val="21"/>
              </w:rPr>
              <w:t>α受体阻滞剂</w:t>
            </w:r>
          </w:p>
        </w:tc>
        <w:tc>
          <w:tcPr>
            <w:tcW w:w="5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c>
          <w:tcPr>
            <w:tcW w:w="46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c>
          <w:tcPr>
            <w:tcW w:w="3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3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c>
          <w:tcPr>
            <w:tcW w:w="3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szCs w:val="21"/>
              </w:rPr>
            </w:pPr>
          </w:p>
        </w:tc>
        <w:tc>
          <w:tcPr>
            <w:tcW w:w="33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c>
          <w:tcPr>
            <w:tcW w:w="49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r>
      <w:tr w:rsidR="002E5476">
        <w:trPr>
          <w:trHeight w:val="435"/>
          <w:jc w:val="center"/>
        </w:trPr>
        <w:tc>
          <w:tcPr>
            <w:tcW w:w="5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多沙唑嗪</w:t>
            </w:r>
          </w:p>
        </w:tc>
        <w:tc>
          <w:tcPr>
            <w:tcW w:w="5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1~16 mg</w:t>
            </w: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color w:val="000000" w:themeColor="text1"/>
                <w:kern w:val="0"/>
                <w:szCs w:val="21"/>
              </w:rPr>
              <w:t>qd</w:t>
            </w:r>
          </w:p>
        </w:tc>
        <w:tc>
          <w:tcPr>
            <w:tcW w:w="46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无影响</w:t>
            </w:r>
          </w:p>
        </w:tc>
        <w:tc>
          <w:tcPr>
            <w:tcW w:w="3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2~3 h</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3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98%</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22 h</w:t>
            </w:r>
          </w:p>
        </w:tc>
        <w:tc>
          <w:tcPr>
            <w:tcW w:w="3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szCs w:val="21"/>
              </w:rPr>
            </w:pPr>
          </w:p>
        </w:tc>
        <w:tc>
          <w:tcPr>
            <w:tcW w:w="33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8 mg</w:t>
            </w:r>
          </w:p>
        </w:tc>
        <w:tc>
          <w:tcPr>
            <w:tcW w:w="49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555"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首次服药可能出现体位性低血压，宜从小剂量开始，最好晚上服用</w:t>
            </w:r>
          </w:p>
        </w:tc>
      </w:tr>
      <w:tr w:rsidR="002E5476">
        <w:trPr>
          <w:trHeight w:val="390"/>
          <w:jc w:val="center"/>
        </w:trPr>
        <w:tc>
          <w:tcPr>
            <w:tcW w:w="5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多沙唑嗪缓释片</w:t>
            </w:r>
          </w:p>
        </w:tc>
        <w:tc>
          <w:tcPr>
            <w:tcW w:w="5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4</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8 mg</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qd</w:t>
            </w:r>
          </w:p>
        </w:tc>
        <w:tc>
          <w:tcPr>
            <w:tcW w:w="46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不受食物影响，但需整片吞服，不得咀嚼、掰开或碾碎</w:t>
            </w:r>
          </w:p>
        </w:tc>
        <w:tc>
          <w:tcPr>
            <w:tcW w:w="3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8~9 h</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24 h</w:t>
            </w:r>
          </w:p>
        </w:tc>
        <w:tc>
          <w:tcPr>
            <w:tcW w:w="3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98%</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22 h</w:t>
            </w:r>
          </w:p>
        </w:tc>
        <w:tc>
          <w:tcPr>
            <w:tcW w:w="3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szCs w:val="21"/>
              </w:rPr>
            </w:pPr>
          </w:p>
        </w:tc>
        <w:tc>
          <w:tcPr>
            <w:tcW w:w="33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8 mg</w:t>
            </w:r>
          </w:p>
        </w:tc>
        <w:tc>
          <w:tcPr>
            <w:tcW w:w="49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55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r>
      <w:tr w:rsidR="002E5476">
        <w:trPr>
          <w:trHeight w:val="435"/>
          <w:jc w:val="center"/>
        </w:trPr>
        <w:tc>
          <w:tcPr>
            <w:tcW w:w="5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特拉唑嗪</w:t>
            </w:r>
          </w:p>
        </w:tc>
        <w:tc>
          <w:tcPr>
            <w:tcW w:w="5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1~20 mg</w:t>
            </w: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color w:val="000000" w:themeColor="text1"/>
                <w:kern w:val="0"/>
                <w:szCs w:val="21"/>
              </w:rPr>
              <w:t>qd</w:t>
            </w:r>
          </w:p>
        </w:tc>
        <w:tc>
          <w:tcPr>
            <w:tcW w:w="46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很少或无影响</w:t>
            </w:r>
          </w:p>
        </w:tc>
        <w:tc>
          <w:tcPr>
            <w:tcW w:w="3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1 h</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3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shd w:val="clear" w:color="auto" w:fill="FFFFFF"/>
              </w:rPr>
              <w:t>90%~94%</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12 h</w:t>
            </w:r>
          </w:p>
        </w:tc>
        <w:tc>
          <w:tcPr>
            <w:tcW w:w="3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40%</w:t>
            </w:r>
            <w:r>
              <w:rPr>
                <w:rFonts w:ascii="Times New Roman" w:eastAsia="宋体" w:hAnsi="Times New Roman" w:cs="Times New Roman" w:hint="eastAsia"/>
                <w:color w:val="000000" w:themeColor="text1"/>
                <w:kern w:val="0"/>
                <w:szCs w:val="21"/>
              </w:rPr>
              <w:t>代谢产物，</w:t>
            </w:r>
            <w:r>
              <w:rPr>
                <w:rFonts w:ascii="Times New Roman" w:eastAsia="宋体" w:hAnsi="Times New Roman" w:cs="Times New Roman"/>
                <w:color w:val="000000" w:themeColor="text1"/>
                <w:kern w:val="0"/>
                <w:szCs w:val="21"/>
              </w:rPr>
              <w:t>10%</w:t>
            </w:r>
            <w:r>
              <w:rPr>
                <w:rFonts w:ascii="Times New Roman" w:eastAsia="宋体" w:hAnsi="Times New Roman" w:cs="Times New Roman" w:hint="eastAsia"/>
                <w:color w:val="000000" w:themeColor="text1"/>
                <w:kern w:val="0"/>
                <w:szCs w:val="21"/>
              </w:rPr>
              <w:t>原型药物</w:t>
            </w:r>
          </w:p>
        </w:tc>
        <w:tc>
          <w:tcPr>
            <w:tcW w:w="33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hint="eastAsia"/>
                <w:color w:val="000000" w:themeColor="text1"/>
                <w:sz w:val="21"/>
                <w:szCs w:val="21"/>
              </w:rPr>
              <w:t>剂量超过</w:t>
            </w:r>
            <w:r>
              <w:rPr>
                <w:rStyle w:val="font41"/>
                <w:rFonts w:eastAsia="宋体"/>
                <w:color w:val="000000" w:themeColor="text1"/>
                <w:sz w:val="21"/>
                <w:szCs w:val="21"/>
              </w:rPr>
              <w:t>20 mg</w:t>
            </w:r>
            <w:r>
              <w:rPr>
                <w:rStyle w:val="font31"/>
                <w:rFonts w:ascii="Times New Roman" w:hAnsi="Times New Roman" w:cs="Times New Roman" w:hint="default"/>
                <w:color w:val="000000" w:themeColor="text1"/>
                <w:sz w:val="21"/>
                <w:szCs w:val="21"/>
              </w:rPr>
              <w:t>未见效能增加，</w:t>
            </w:r>
            <w:r>
              <w:rPr>
                <w:rStyle w:val="font31"/>
                <w:rFonts w:ascii="Times New Roman" w:hAnsi="Times New Roman" w:cs="Times New Roman" w:hint="default"/>
                <w:color w:val="000000" w:themeColor="text1"/>
                <w:sz w:val="21"/>
                <w:szCs w:val="21"/>
              </w:rPr>
              <w:t>40 mg</w:t>
            </w:r>
            <w:r>
              <w:rPr>
                <w:rStyle w:val="font31"/>
                <w:rFonts w:ascii="Times New Roman" w:hAnsi="Times New Roman" w:cs="Times New Roman" w:hint="default"/>
                <w:color w:val="000000" w:themeColor="text1"/>
                <w:sz w:val="21"/>
                <w:szCs w:val="21"/>
              </w:rPr>
              <w:t>以上无研究</w:t>
            </w:r>
          </w:p>
        </w:tc>
        <w:tc>
          <w:tcPr>
            <w:tcW w:w="49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55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r>
      <w:tr w:rsidR="002E5476">
        <w:trPr>
          <w:trHeight w:val="435"/>
          <w:jc w:val="center"/>
        </w:trPr>
        <w:tc>
          <w:tcPr>
            <w:tcW w:w="5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哌唑嗪</w:t>
            </w:r>
          </w:p>
        </w:tc>
        <w:tc>
          <w:tcPr>
            <w:tcW w:w="5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1~15 mg</w:t>
            </w:r>
            <w:r>
              <w:rPr>
                <w:rStyle w:val="font41"/>
                <w:rFonts w:eastAsia="宋体" w:hint="eastAsia"/>
                <w:color w:val="000000" w:themeColor="text1"/>
                <w:sz w:val="21"/>
                <w:szCs w:val="21"/>
              </w:rPr>
              <w:t>，</w:t>
            </w:r>
            <w:r>
              <w:rPr>
                <w:rStyle w:val="font41"/>
                <w:rFonts w:eastAsia="宋体"/>
                <w:color w:val="000000" w:themeColor="text1"/>
                <w:sz w:val="21"/>
                <w:szCs w:val="21"/>
              </w:rPr>
              <w:t>bid</w:t>
            </w:r>
          </w:p>
        </w:tc>
        <w:tc>
          <w:tcPr>
            <w:tcW w:w="46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3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1~3 h</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10 h</w:t>
            </w:r>
          </w:p>
        </w:tc>
        <w:tc>
          <w:tcPr>
            <w:tcW w:w="3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97%</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2~3 h</w:t>
            </w:r>
          </w:p>
        </w:tc>
        <w:tc>
          <w:tcPr>
            <w:tcW w:w="3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6%~10%</w:t>
            </w:r>
            <w:r>
              <w:rPr>
                <w:rFonts w:ascii="Times New Roman" w:eastAsia="宋体" w:hAnsi="Times New Roman" w:cs="Times New Roman" w:hint="eastAsia"/>
                <w:color w:val="000000" w:themeColor="text1"/>
                <w:kern w:val="0"/>
                <w:szCs w:val="21"/>
              </w:rPr>
              <w:t>代谢产</w:t>
            </w:r>
            <w:r>
              <w:rPr>
                <w:rFonts w:ascii="Times New Roman" w:eastAsia="宋体" w:hAnsi="Times New Roman" w:cs="Times New Roman" w:hint="eastAsia"/>
                <w:color w:val="000000" w:themeColor="text1"/>
                <w:kern w:val="0"/>
                <w:szCs w:val="21"/>
              </w:rPr>
              <w:lastRenderedPageBreak/>
              <w:t>物，</w:t>
            </w:r>
            <w:r>
              <w:rPr>
                <w:rFonts w:ascii="Times New Roman" w:eastAsia="宋体" w:hAnsi="Times New Roman" w:cs="Times New Roman"/>
                <w:color w:val="000000" w:themeColor="text1"/>
                <w:kern w:val="0"/>
                <w:szCs w:val="21"/>
              </w:rPr>
              <w:t xml:space="preserve"> 5%~11%</w:t>
            </w:r>
            <w:r>
              <w:rPr>
                <w:rFonts w:ascii="Times New Roman" w:eastAsia="宋体" w:hAnsi="Times New Roman" w:cs="Times New Roman" w:hint="eastAsia"/>
                <w:color w:val="000000" w:themeColor="text1"/>
                <w:kern w:val="0"/>
                <w:szCs w:val="21"/>
              </w:rPr>
              <w:t>原型药物</w:t>
            </w:r>
          </w:p>
        </w:tc>
        <w:tc>
          <w:tcPr>
            <w:tcW w:w="33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Style w:val="font41"/>
                <w:rFonts w:eastAsia="宋体" w:hint="eastAsia"/>
                <w:color w:val="000000" w:themeColor="text1"/>
                <w:sz w:val="21"/>
                <w:szCs w:val="21"/>
              </w:rPr>
              <w:lastRenderedPageBreak/>
              <w:t>剂量超过</w:t>
            </w:r>
            <w:r>
              <w:rPr>
                <w:rStyle w:val="font41"/>
                <w:rFonts w:eastAsia="宋体"/>
                <w:color w:val="000000" w:themeColor="text1"/>
                <w:sz w:val="21"/>
                <w:szCs w:val="21"/>
              </w:rPr>
              <w:t xml:space="preserve">20 </w:t>
            </w:r>
            <w:r>
              <w:rPr>
                <w:rStyle w:val="font41"/>
                <w:rFonts w:eastAsia="宋体"/>
                <w:color w:val="000000" w:themeColor="text1"/>
                <w:sz w:val="21"/>
                <w:szCs w:val="21"/>
              </w:rPr>
              <w:lastRenderedPageBreak/>
              <w:t>mg</w:t>
            </w:r>
            <w:r>
              <w:rPr>
                <w:rStyle w:val="font41"/>
                <w:rFonts w:eastAsia="宋体" w:hint="eastAsia"/>
                <w:color w:val="000000" w:themeColor="text1"/>
                <w:sz w:val="21"/>
                <w:szCs w:val="21"/>
              </w:rPr>
              <w:t>未见效能增加</w:t>
            </w:r>
          </w:p>
        </w:tc>
        <w:tc>
          <w:tcPr>
            <w:tcW w:w="49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55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r>
      <w:tr w:rsidR="002E5476">
        <w:trPr>
          <w:trHeight w:val="435"/>
          <w:jc w:val="center"/>
        </w:trPr>
        <w:tc>
          <w:tcPr>
            <w:tcW w:w="5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b/>
                <w:bCs/>
                <w:color w:val="000000" w:themeColor="text1"/>
                <w:kern w:val="0"/>
                <w:szCs w:val="21"/>
              </w:rPr>
              <w:lastRenderedPageBreak/>
              <w:t>中枢作用药物</w:t>
            </w:r>
          </w:p>
        </w:tc>
        <w:tc>
          <w:tcPr>
            <w:tcW w:w="5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Style w:val="font41"/>
                <w:rFonts w:eastAsia="宋体"/>
                <w:color w:val="000000" w:themeColor="text1"/>
                <w:sz w:val="21"/>
                <w:szCs w:val="21"/>
              </w:rPr>
            </w:pPr>
          </w:p>
        </w:tc>
        <w:tc>
          <w:tcPr>
            <w:tcW w:w="46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3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c>
          <w:tcPr>
            <w:tcW w:w="3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c>
          <w:tcPr>
            <w:tcW w:w="3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Style w:val="font41"/>
                <w:rFonts w:eastAsia="宋体"/>
                <w:color w:val="000000" w:themeColor="text1"/>
                <w:sz w:val="21"/>
                <w:szCs w:val="21"/>
              </w:rPr>
            </w:pPr>
          </w:p>
        </w:tc>
        <w:tc>
          <w:tcPr>
            <w:tcW w:w="33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49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r>
      <w:tr w:rsidR="002E5476">
        <w:trPr>
          <w:trHeight w:val="435"/>
          <w:jc w:val="center"/>
        </w:trPr>
        <w:tc>
          <w:tcPr>
            <w:tcW w:w="5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利血平</w:t>
            </w:r>
          </w:p>
        </w:tc>
        <w:tc>
          <w:tcPr>
            <w:tcW w:w="5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0.05</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0.25 mg</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qd</w:t>
            </w:r>
          </w:p>
        </w:tc>
        <w:tc>
          <w:tcPr>
            <w:tcW w:w="46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3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数天</w:t>
            </w:r>
            <w:r>
              <w:rPr>
                <w:rStyle w:val="font31"/>
                <w:rFonts w:ascii="Times New Roman" w:hAnsi="Times New Roman" w:cs="Times New Roman" w:hint="default"/>
                <w:color w:val="000000" w:themeColor="text1"/>
                <w:sz w:val="21"/>
                <w:szCs w:val="21"/>
              </w:rPr>
              <w:t>至</w:t>
            </w:r>
            <w:r>
              <w:rPr>
                <w:rStyle w:val="font31"/>
                <w:rFonts w:ascii="Times New Roman" w:hAnsi="Times New Roman" w:cs="Times New Roman" w:hint="default"/>
                <w:color w:val="000000" w:themeColor="text1"/>
                <w:sz w:val="21"/>
                <w:szCs w:val="21"/>
              </w:rPr>
              <w:t>3</w:t>
            </w:r>
            <w:r>
              <w:rPr>
                <w:rStyle w:val="font31"/>
                <w:rFonts w:ascii="Times New Roman" w:hAnsi="Times New Roman" w:cs="Times New Roman" w:hint="default"/>
                <w:color w:val="000000" w:themeColor="text1"/>
                <w:sz w:val="21"/>
                <w:szCs w:val="21"/>
              </w:rPr>
              <w:t>周</w:t>
            </w:r>
          </w:p>
        </w:tc>
        <w:tc>
          <w:tcPr>
            <w:tcW w:w="4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3~6</w:t>
            </w:r>
            <w:r>
              <w:rPr>
                <w:rFonts w:ascii="Times New Roman" w:eastAsia="宋体" w:hAnsi="Times New Roman" w:cs="Times New Roman" w:hint="eastAsia"/>
                <w:color w:val="000000" w:themeColor="text1"/>
                <w:kern w:val="0"/>
                <w:szCs w:val="21"/>
              </w:rPr>
              <w:t>周</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1~6</w:t>
            </w:r>
            <w:r>
              <w:rPr>
                <w:rFonts w:ascii="Times New Roman" w:eastAsia="宋体" w:hAnsi="Times New Roman" w:cs="Times New Roman" w:hint="eastAsia"/>
                <w:color w:val="000000" w:themeColor="text1"/>
                <w:kern w:val="0"/>
                <w:szCs w:val="21"/>
              </w:rPr>
              <w:t>周</w:t>
            </w:r>
          </w:p>
        </w:tc>
        <w:tc>
          <w:tcPr>
            <w:tcW w:w="3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96%</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45~168 h</w:t>
            </w:r>
          </w:p>
        </w:tc>
        <w:tc>
          <w:tcPr>
            <w:tcW w:w="3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8%</w:t>
            </w:r>
            <w:r>
              <w:rPr>
                <w:rStyle w:val="font31"/>
                <w:rFonts w:ascii="Times New Roman" w:hAnsi="Times New Roman" w:cs="Times New Roman" w:hint="default"/>
                <w:color w:val="000000" w:themeColor="text1"/>
                <w:sz w:val="21"/>
                <w:szCs w:val="21"/>
              </w:rPr>
              <w:t>以代谢物形式</w:t>
            </w:r>
          </w:p>
        </w:tc>
        <w:tc>
          <w:tcPr>
            <w:tcW w:w="33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0.5 mg</w:t>
            </w:r>
          </w:p>
        </w:tc>
        <w:tc>
          <w:tcPr>
            <w:tcW w:w="49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鼻充血、抑郁、心动过缓、消化性溃疡</w:t>
            </w:r>
          </w:p>
        </w:tc>
      </w:tr>
      <w:tr w:rsidR="002E5476">
        <w:trPr>
          <w:trHeight w:val="435"/>
          <w:jc w:val="center"/>
        </w:trPr>
        <w:tc>
          <w:tcPr>
            <w:tcW w:w="5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可乐定</w:t>
            </w:r>
          </w:p>
        </w:tc>
        <w:tc>
          <w:tcPr>
            <w:tcW w:w="5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0.1</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0.3 mg bid</w:t>
            </w:r>
            <w:r>
              <w:rPr>
                <w:rStyle w:val="font41"/>
                <w:rFonts w:eastAsia="宋体" w:hint="eastAsia"/>
                <w:color w:val="000000" w:themeColor="text1"/>
                <w:sz w:val="21"/>
                <w:szCs w:val="21"/>
              </w:rPr>
              <w:t>至</w:t>
            </w:r>
            <w:r>
              <w:rPr>
                <w:rStyle w:val="font41"/>
                <w:rFonts w:eastAsia="宋体"/>
                <w:color w:val="000000" w:themeColor="text1"/>
                <w:sz w:val="21"/>
                <w:szCs w:val="21"/>
              </w:rPr>
              <w:t>tid</w:t>
            </w:r>
          </w:p>
        </w:tc>
        <w:tc>
          <w:tcPr>
            <w:tcW w:w="46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3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0.5~1.0 h</w:t>
            </w:r>
          </w:p>
        </w:tc>
        <w:tc>
          <w:tcPr>
            <w:tcW w:w="4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3~5 h</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6~8 h</w:t>
            </w:r>
          </w:p>
        </w:tc>
        <w:tc>
          <w:tcPr>
            <w:tcW w:w="3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20%~40%</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12.7</w:t>
            </w:r>
            <w:r>
              <w:rPr>
                <w:rFonts w:ascii="Times New Roman" w:eastAsia="宋体" w:hAnsi="Times New Roman" w:cs="Times New Roman" w:hint="eastAsia"/>
                <w:color w:val="000000" w:themeColor="text1"/>
                <w:szCs w:val="21"/>
              </w:rPr>
              <w:t>（</w:t>
            </w:r>
            <w:r>
              <w:rPr>
                <w:rFonts w:ascii="Times New Roman" w:eastAsia="宋体" w:hAnsi="Times New Roman" w:cs="Times New Roman"/>
                <w:color w:val="000000" w:themeColor="text1"/>
                <w:szCs w:val="21"/>
              </w:rPr>
              <w:t>6~23</w:t>
            </w:r>
            <w:r>
              <w:rPr>
                <w:rFonts w:ascii="Times New Roman" w:eastAsia="宋体" w:hAnsi="Times New Roman" w:cs="Times New Roman" w:hint="eastAsia"/>
                <w:color w:val="000000" w:themeColor="text1"/>
                <w:szCs w:val="21"/>
              </w:rPr>
              <w:t>）</w:t>
            </w:r>
            <w:r>
              <w:rPr>
                <w:rFonts w:ascii="Times New Roman" w:eastAsia="宋体" w:hAnsi="Times New Roman" w:cs="Times New Roman"/>
                <w:color w:val="000000" w:themeColor="text1"/>
                <w:szCs w:val="21"/>
              </w:rPr>
              <w:t>h</w:t>
            </w:r>
          </w:p>
        </w:tc>
        <w:tc>
          <w:tcPr>
            <w:tcW w:w="3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40%~60%</w:t>
            </w:r>
            <w:r>
              <w:rPr>
                <w:rFonts w:ascii="Times New Roman" w:eastAsia="宋体" w:hAnsi="Times New Roman" w:cs="Times New Roman" w:hint="eastAsia"/>
                <w:color w:val="000000" w:themeColor="text1"/>
                <w:kern w:val="0"/>
                <w:szCs w:val="21"/>
              </w:rPr>
              <w:t>原型药物</w:t>
            </w:r>
          </w:p>
        </w:tc>
        <w:tc>
          <w:tcPr>
            <w:tcW w:w="33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一次</w:t>
            </w:r>
            <w:r>
              <w:rPr>
                <w:rFonts w:ascii="Times New Roman" w:eastAsia="宋体" w:hAnsi="Times New Roman" w:cs="Times New Roman"/>
                <w:color w:val="000000" w:themeColor="text1"/>
                <w:kern w:val="0"/>
                <w:szCs w:val="21"/>
              </w:rPr>
              <w:t>0.6 mg</w:t>
            </w:r>
            <w:r>
              <w:rPr>
                <w:rFonts w:ascii="Times New Roman" w:eastAsia="宋体" w:hAnsi="Times New Roman" w:cs="Times New Roman" w:hint="eastAsia"/>
                <w:color w:val="000000" w:themeColor="text1"/>
                <w:kern w:val="0"/>
                <w:szCs w:val="21"/>
              </w:rPr>
              <w:t>，一日</w:t>
            </w:r>
            <w:r>
              <w:rPr>
                <w:rFonts w:ascii="Times New Roman" w:eastAsia="宋体" w:hAnsi="Times New Roman" w:cs="Times New Roman"/>
                <w:color w:val="000000" w:themeColor="text1"/>
                <w:kern w:val="0"/>
                <w:szCs w:val="21"/>
              </w:rPr>
              <w:t>2.4 mg</w:t>
            </w:r>
          </w:p>
        </w:tc>
        <w:tc>
          <w:tcPr>
            <w:tcW w:w="49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低血压、口干、嗜睡</w:t>
            </w:r>
          </w:p>
        </w:tc>
      </w:tr>
      <w:tr w:rsidR="002E5476">
        <w:trPr>
          <w:trHeight w:val="285"/>
          <w:jc w:val="center"/>
        </w:trPr>
        <w:tc>
          <w:tcPr>
            <w:tcW w:w="5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可乐定透皮贴片</w:t>
            </w:r>
          </w:p>
        </w:tc>
        <w:tc>
          <w:tcPr>
            <w:tcW w:w="5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2.5 mg/</w:t>
            </w:r>
            <w:r>
              <w:rPr>
                <w:rStyle w:val="font41"/>
                <w:rFonts w:eastAsia="宋体" w:hint="eastAsia"/>
                <w:color w:val="000000" w:themeColor="text1"/>
                <w:sz w:val="21"/>
                <w:szCs w:val="21"/>
              </w:rPr>
              <w:t>贴</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q7d</w:t>
            </w:r>
          </w:p>
        </w:tc>
        <w:tc>
          <w:tcPr>
            <w:tcW w:w="46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3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szCs w:val="21"/>
              </w:rPr>
            </w:pP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7 d</w:t>
            </w:r>
          </w:p>
        </w:tc>
        <w:tc>
          <w:tcPr>
            <w:tcW w:w="3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20%~40%</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12.7</w:t>
            </w:r>
            <w:r>
              <w:rPr>
                <w:rFonts w:ascii="Times New Roman" w:eastAsia="宋体" w:hAnsi="Times New Roman" w:cs="Times New Roman" w:hint="eastAsia"/>
                <w:color w:val="000000" w:themeColor="text1"/>
                <w:szCs w:val="21"/>
              </w:rPr>
              <w:t>（</w:t>
            </w:r>
            <w:r>
              <w:rPr>
                <w:rFonts w:ascii="Times New Roman" w:eastAsia="宋体" w:hAnsi="Times New Roman" w:cs="Times New Roman"/>
                <w:color w:val="000000" w:themeColor="text1"/>
                <w:szCs w:val="21"/>
              </w:rPr>
              <w:t>6~23</w:t>
            </w:r>
            <w:r>
              <w:rPr>
                <w:rFonts w:ascii="Times New Roman" w:eastAsia="宋体" w:hAnsi="Times New Roman" w:cs="Times New Roman" w:hint="eastAsia"/>
                <w:color w:val="000000" w:themeColor="text1"/>
                <w:szCs w:val="21"/>
              </w:rPr>
              <w:t>）</w:t>
            </w:r>
            <w:r>
              <w:rPr>
                <w:rFonts w:ascii="Times New Roman" w:eastAsia="宋体" w:hAnsi="Times New Roman" w:cs="Times New Roman"/>
                <w:color w:val="000000" w:themeColor="text1"/>
                <w:szCs w:val="21"/>
              </w:rPr>
              <w:t>h</w:t>
            </w:r>
          </w:p>
        </w:tc>
        <w:tc>
          <w:tcPr>
            <w:tcW w:w="3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40%~60%</w:t>
            </w:r>
            <w:r>
              <w:rPr>
                <w:rFonts w:ascii="Times New Roman" w:eastAsia="宋体" w:hAnsi="Times New Roman" w:cs="Times New Roman" w:hint="eastAsia"/>
                <w:color w:val="000000" w:themeColor="text1"/>
                <w:kern w:val="0"/>
                <w:szCs w:val="21"/>
              </w:rPr>
              <w:t>原型药物</w:t>
            </w:r>
          </w:p>
        </w:tc>
        <w:tc>
          <w:tcPr>
            <w:tcW w:w="33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3</w:t>
            </w:r>
            <w:r>
              <w:rPr>
                <w:rStyle w:val="font31"/>
                <w:rFonts w:ascii="Times New Roman" w:hAnsi="Times New Roman" w:cs="Times New Roman" w:hint="default"/>
                <w:color w:val="000000" w:themeColor="text1"/>
                <w:sz w:val="21"/>
                <w:szCs w:val="21"/>
              </w:rPr>
              <w:t>贴</w:t>
            </w:r>
          </w:p>
        </w:tc>
        <w:tc>
          <w:tcPr>
            <w:tcW w:w="49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低血压、口干、嗜睡、皮肤过敏</w:t>
            </w:r>
          </w:p>
        </w:tc>
      </w:tr>
      <w:tr w:rsidR="002E5476">
        <w:trPr>
          <w:trHeight w:val="285"/>
          <w:jc w:val="center"/>
        </w:trPr>
        <w:tc>
          <w:tcPr>
            <w:tcW w:w="5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甲基多巴</w:t>
            </w:r>
          </w:p>
        </w:tc>
        <w:tc>
          <w:tcPr>
            <w:tcW w:w="5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250~500 mg</w:t>
            </w:r>
            <w:r>
              <w:rPr>
                <w:rStyle w:val="font31"/>
                <w:rFonts w:ascii="Times New Roman" w:hAnsi="Times New Roman" w:cs="Times New Roman" w:hint="default"/>
                <w:color w:val="000000" w:themeColor="text1"/>
                <w:sz w:val="21"/>
                <w:szCs w:val="21"/>
              </w:rPr>
              <w:t>，</w:t>
            </w:r>
            <w:r>
              <w:rPr>
                <w:rStyle w:val="font31"/>
                <w:rFonts w:ascii="Times New Roman" w:hAnsi="Times New Roman" w:cs="Times New Roman" w:hint="default"/>
                <w:color w:val="000000" w:themeColor="text1"/>
                <w:sz w:val="21"/>
                <w:szCs w:val="21"/>
              </w:rPr>
              <w:t>bid</w:t>
            </w:r>
            <w:r>
              <w:rPr>
                <w:rStyle w:val="font31"/>
                <w:rFonts w:ascii="Times New Roman" w:hAnsi="Times New Roman" w:cs="Times New Roman" w:hint="default"/>
                <w:color w:val="000000" w:themeColor="text1"/>
                <w:sz w:val="21"/>
                <w:szCs w:val="21"/>
              </w:rPr>
              <w:t>至</w:t>
            </w:r>
            <w:r>
              <w:rPr>
                <w:rStyle w:val="font41"/>
                <w:rFonts w:eastAsia="宋体"/>
                <w:color w:val="000000" w:themeColor="text1"/>
                <w:sz w:val="21"/>
                <w:szCs w:val="21"/>
              </w:rPr>
              <w:t>tid</w:t>
            </w:r>
          </w:p>
        </w:tc>
        <w:tc>
          <w:tcPr>
            <w:tcW w:w="46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3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4~6 h</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12~24 h</w:t>
            </w:r>
          </w:p>
        </w:tc>
        <w:tc>
          <w:tcPr>
            <w:tcW w:w="3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hint="eastAsia"/>
                <w:color w:val="000000" w:themeColor="text1"/>
                <w:sz w:val="21"/>
                <w:szCs w:val="21"/>
              </w:rPr>
              <w:t>＜</w:t>
            </w:r>
            <w:r>
              <w:rPr>
                <w:rStyle w:val="font41"/>
                <w:rFonts w:eastAsia="宋体"/>
                <w:color w:val="000000" w:themeColor="text1"/>
                <w:sz w:val="21"/>
                <w:szCs w:val="21"/>
              </w:rPr>
              <w:t>20%</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1.7 h</w:t>
            </w:r>
          </w:p>
        </w:tc>
        <w:tc>
          <w:tcPr>
            <w:tcW w:w="3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近</w:t>
            </w:r>
            <w:r>
              <w:rPr>
                <w:rFonts w:ascii="Times New Roman" w:eastAsia="宋体" w:hAnsi="Times New Roman" w:cs="Times New Roman"/>
                <w:color w:val="000000" w:themeColor="text1"/>
                <w:kern w:val="0"/>
                <w:szCs w:val="21"/>
              </w:rPr>
              <w:t>70%</w:t>
            </w:r>
            <w:r>
              <w:rPr>
                <w:rFonts w:ascii="Times New Roman" w:eastAsia="宋体" w:hAnsi="Times New Roman" w:cs="Times New Roman" w:hint="eastAsia"/>
                <w:color w:val="000000" w:themeColor="text1"/>
                <w:kern w:val="0"/>
                <w:szCs w:val="21"/>
              </w:rPr>
              <w:t>以原型和少量代谢物的形式经尿排泄</w:t>
            </w:r>
          </w:p>
        </w:tc>
        <w:tc>
          <w:tcPr>
            <w:tcW w:w="33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3 000 mg</w:t>
            </w:r>
          </w:p>
        </w:tc>
        <w:tc>
          <w:tcPr>
            <w:tcW w:w="49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肝功能损害、免疫失调</w:t>
            </w:r>
          </w:p>
        </w:tc>
      </w:tr>
      <w:tr w:rsidR="002E5476">
        <w:trPr>
          <w:trHeight w:val="285"/>
          <w:jc w:val="center"/>
        </w:trPr>
        <w:tc>
          <w:tcPr>
            <w:tcW w:w="5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利美尼定</w:t>
            </w:r>
          </w:p>
        </w:tc>
        <w:tc>
          <w:tcPr>
            <w:tcW w:w="5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Style w:val="font41"/>
                <w:rFonts w:eastAsia="宋体"/>
                <w:color w:val="000000" w:themeColor="text1"/>
                <w:sz w:val="21"/>
                <w:szCs w:val="21"/>
              </w:rPr>
            </w:pPr>
            <w:r>
              <w:rPr>
                <w:rStyle w:val="font41"/>
                <w:rFonts w:eastAsia="宋体"/>
                <w:color w:val="000000" w:themeColor="text1"/>
                <w:sz w:val="21"/>
                <w:szCs w:val="21"/>
              </w:rPr>
              <w:t>1 mg</w:t>
            </w:r>
            <w:r>
              <w:rPr>
                <w:rStyle w:val="font41"/>
                <w:rFonts w:eastAsia="宋体" w:hint="eastAsia"/>
                <w:color w:val="000000" w:themeColor="text1"/>
                <w:sz w:val="21"/>
                <w:szCs w:val="21"/>
              </w:rPr>
              <w:t>，</w:t>
            </w:r>
            <w:r>
              <w:rPr>
                <w:rStyle w:val="font41"/>
                <w:rFonts w:eastAsia="宋体"/>
                <w:color w:val="000000" w:themeColor="text1"/>
                <w:sz w:val="21"/>
                <w:szCs w:val="21"/>
              </w:rPr>
              <w:t>qd</w:t>
            </w:r>
            <w:r>
              <w:rPr>
                <w:rStyle w:val="font31"/>
                <w:rFonts w:ascii="Times New Roman" w:hAnsi="Times New Roman" w:cs="Times New Roman" w:hint="default"/>
                <w:color w:val="000000" w:themeColor="text1"/>
                <w:sz w:val="21"/>
                <w:szCs w:val="21"/>
              </w:rPr>
              <w:t>至</w:t>
            </w:r>
            <w:r>
              <w:rPr>
                <w:rStyle w:val="font41"/>
                <w:rFonts w:eastAsia="宋体"/>
                <w:color w:val="000000" w:themeColor="text1"/>
                <w:sz w:val="21"/>
                <w:szCs w:val="21"/>
              </w:rPr>
              <w:t>bid</w:t>
            </w:r>
          </w:p>
        </w:tc>
        <w:tc>
          <w:tcPr>
            <w:tcW w:w="46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3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1.5</w:t>
            </w:r>
            <w:r>
              <w:rPr>
                <w:rStyle w:val="font31"/>
                <w:rFonts w:ascii="Times New Roman" w:hAnsi="Times New Roman" w:cs="Times New Roman" w:hint="default"/>
                <w:color w:val="000000" w:themeColor="text1"/>
                <w:sz w:val="21"/>
                <w:szCs w:val="21"/>
              </w:rPr>
              <w:t>~2.0 h</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c>
          <w:tcPr>
            <w:tcW w:w="3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Style w:val="font41"/>
                <w:rFonts w:eastAsia="宋体"/>
                <w:color w:val="000000" w:themeColor="text1"/>
                <w:sz w:val="21"/>
                <w:szCs w:val="21"/>
              </w:rPr>
            </w:pP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8 h</w:t>
            </w:r>
          </w:p>
        </w:tc>
        <w:tc>
          <w:tcPr>
            <w:tcW w:w="3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c>
          <w:tcPr>
            <w:tcW w:w="33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c>
          <w:tcPr>
            <w:tcW w:w="49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体位性低血压、便秘及胃肠道不适</w:t>
            </w:r>
          </w:p>
        </w:tc>
      </w:tr>
      <w:tr w:rsidR="002E5476">
        <w:trPr>
          <w:trHeight w:val="285"/>
          <w:jc w:val="center"/>
        </w:trPr>
        <w:tc>
          <w:tcPr>
            <w:tcW w:w="5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莫索尼定</w:t>
            </w:r>
          </w:p>
        </w:tc>
        <w:tc>
          <w:tcPr>
            <w:tcW w:w="5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Style w:val="font41"/>
                <w:rFonts w:eastAsia="宋体"/>
                <w:color w:val="000000" w:themeColor="text1"/>
                <w:sz w:val="21"/>
                <w:szCs w:val="21"/>
              </w:rPr>
            </w:pPr>
            <w:r>
              <w:rPr>
                <w:rStyle w:val="font41"/>
                <w:rFonts w:eastAsia="宋体"/>
                <w:color w:val="000000" w:themeColor="text1"/>
                <w:sz w:val="21"/>
                <w:szCs w:val="21"/>
              </w:rPr>
              <w:t>0.2 mg, qd</w:t>
            </w:r>
            <w:r>
              <w:rPr>
                <w:rStyle w:val="font31"/>
                <w:rFonts w:ascii="Times New Roman" w:hAnsi="Times New Roman" w:cs="Times New Roman" w:hint="default"/>
                <w:color w:val="000000" w:themeColor="text1"/>
                <w:sz w:val="21"/>
                <w:szCs w:val="21"/>
              </w:rPr>
              <w:t>至</w:t>
            </w:r>
            <w:r>
              <w:rPr>
                <w:rStyle w:val="font41"/>
                <w:rFonts w:eastAsia="宋体"/>
                <w:color w:val="000000" w:themeColor="text1"/>
                <w:sz w:val="21"/>
                <w:szCs w:val="21"/>
              </w:rPr>
              <w:t>bid</w:t>
            </w:r>
          </w:p>
        </w:tc>
        <w:tc>
          <w:tcPr>
            <w:tcW w:w="46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无影响</w:t>
            </w:r>
          </w:p>
        </w:tc>
        <w:tc>
          <w:tcPr>
            <w:tcW w:w="3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0.3</w:t>
            </w:r>
            <w:r>
              <w:rPr>
                <w:rStyle w:val="font31"/>
                <w:rFonts w:ascii="Times New Roman" w:hAnsi="Times New Roman" w:cs="Times New Roman" w:hint="default"/>
                <w:color w:val="000000" w:themeColor="text1"/>
                <w:sz w:val="21"/>
                <w:szCs w:val="21"/>
              </w:rPr>
              <w:t>~</w:t>
            </w:r>
            <w:r>
              <w:rPr>
                <w:rFonts w:ascii="Times New Roman" w:eastAsia="宋体" w:hAnsi="Times New Roman" w:cs="Times New Roman"/>
                <w:color w:val="000000" w:themeColor="text1"/>
                <w:kern w:val="0"/>
                <w:szCs w:val="21"/>
              </w:rPr>
              <w:t>1.0 h</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c>
          <w:tcPr>
            <w:tcW w:w="3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Style w:val="font41"/>
                <w:rFonts w:eastAsia="宋体"/>
                <w:color w:val="000000" w:themeColor="text1"/>
                <w:sz w:val="21"/>
                <w:szCs w:val="21"/>
              </w:rPr>
            </w:pP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2 h</w:t>
            </w:r>
          </w:p>
        </w:tc>
        <w:tc>
          <w:tcPr>
            <w:tcW w:w="3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58%~60%</w:t>
            </w:r>
            <w:r>
              <w:rPr>
                <w:rFonts w:ascii="Times New Roman" w:eastAsia="宋体" w:hAnsi="Times New Roman" w:cs="Times New Roman" w:hint="eastAsia"/>
                <w:color w:val="000000" w:themeColor="text1"/>
                <w:kern w:val="0"/>
                <w:szCs w:val="21"/>
              </w:rPr>
              <w:t>原型药物</w:t>
            </w:r>
          </w:p>
        </w:tc>
        <w:tc>
          <w:tcPr>
            <w:tcW w:w="33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单次剂量不超过</w:t>
            </w:r>
            <w:r>
              <w:rPr>
                <w:rFonts w:ascii="Times New Roman" w:eastAsia="宋体" w:hAnsi="Times New Roman" w:cs="Times New Roman"/>
                <w:color w:val="000000" w:themeColor="text1"/>
                <w:kern w:val="0"/>
                <w:szCs w:val="21"/>
              </w:rPr>
              <w:t>0.4 mg</w:t>
            </w:r>
            <w:r>
              <w:rPr>
                <w:rFonts w:ascii="Times New Roman" w:eastAsia="宋体" w:hAnsi="Times New Roman" w:cs="Times New Roman" w:hint="eastAsia"/>
                <w:color w:val="000000" w:themeColor="text1"/>
                <w:kern w:val="0"/>
                <w:szCs w:val="21"/>
              </w:rPr>
              <w:t>，日剂量不超过</w:t>
            </w:r>
            <w:r>
              <w:rPr>
                <w:rFonts w:ascii="Times New Roman" w:eastAsia="宋体" w:hAnsi="Times New Roman" w:cs="Times New Roman"/>
                <w:color w:val="000000" w:themeColor="text1"/>
                <w:kern w:val="0"/>
                <w:szCs w:val="21"/>
              </w:rPr>
              <w:t>0.6 mg</w:t>
            </w:r>
          </w:p>
        </w:tc>
        <w:tc>
          <w:tcPr>
            <w:tcW w:w="49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口干、疲乏、头痛，极少胃肠道不适</w:t>
            </w:r>
          </w:p>
        </w:tc>
      </w:tr>
      <w:tr w:rsidR="002E5476">
        <w:trPr>
          <w:trHeight w:val="390"/>
          <w:jc w:val="center"/>
        </w:trPr>
        <w:tc>
          <w:tcPr>
            <w:tcW w:w="5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b/>
                <w:bCs/>
                <w:color w:val="000000" w:themeColor="text1"/>
                <w:kern w:val="0"/>
                <w:szCs w:val="21"/>
              </w:rPr>
              <w:t>直接血管扩张药</w:t>
            </w:r>
          </w:p>
        </w:tc>
        <w:tc>
          <w:tcPr>
            <w:tcW w:w="5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Style w:val="font41"/>
                <w:rFonts w:eastAsia="宋体"/>
                <w:color w:val="000000" w:themeColor="text1"/>
                <w:sz w:val="21"/>
                <w:szCs w:val="21"/>
              </w:rPr>
            </w:pPr>
          </w:p>
        </w:tc>
        <w:tc>
          <w:tcPr>
            <w:tcW w:w="46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3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c>
          <w:tcPr>
            <w:tcW w:w="3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c>
          <w:tcPr>
            <w:tcW w:w="3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33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c>
          <w:tcPr>
            <w:tcW w:w="49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r>
      <w:tr w:rsidR="002E5476">
        <w:trPr>
          <w:trHeight w:val="390"/>
          <w:jc w:val="center"/>
        </w:trPr>
        <w:tc>
          <w:tcPr>
            <w:tcW w:w="5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米诺地尔</w:t>
            </w:r>
          </w:p>
        </w:tc>
        <w:tc>
          <w:tcPr>
            <w:tcW w:w="5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hint="eastAsia"/>
                <w:color w:val="000000" w:themeColor="text1"/>
                <w:sz w:val="21"/>
                <w:szCs w:val="21"/>
              </w:rPr>
              <w:t>开始</w:t>
            </w:r>
            <w:r>
              <w:rPr>
                <w:rStyle w:val="font41"/>
                <w:rFonts w:eastAsia="宋体"/>
                <w:color w:val="000000" w:themeColor="text1"/>
                <w:sz w:val="21"/>
                <w:szCs w:val="21"/>
              </w:rPr>
              <w:t>2.5 mg</w:t>
            </w:r>
            <w:r>
              <w:rPr>
                <w:rStyle w:val="font41"/>
                <w:rFonts w:eastAsia="宋体" w:hint="eastAsia"/>
                <w:color w:val="000000" w:themeColor="text1"/>
                <w:sz w:val="21"/>
                <w:szCs w:val="21"/>
              </w:rPr>
              <w:t>，</w:t>
            </w:r>
            <w:r>
              <w:rPr>
                <w:rStyle w:val="font41"/>
                <w:rFonts w:eastAsia="宋体"/>
                <w:color w:val="000000" w:themeColor="text1"/>
                <w:sz w:val="21"/>
                <w:szCs w:val="21"/>
              </w:rPr>
              <w:t>bid</w:t>
            </w:r>
            <w:r>
              <w:rPr>
                <w:rStyle w:val="font41"/>
                <w:rFonts w:eastAsia="宋体" w:hint="eastAsia"/>
                <w:color w:val="000000" w:themeColor="text1"/>
                <w:sz w:val="21"/>
                <w:szCs w:val="21"/>
              </w:rPr>
              <w:t>，每</w:t>
            </w:r>
            <w:r>
              <w:rPr>
                <w:rStyle w:val="font41"/>
                <w:rFonts w:eastAsia="宋体"/>
                <w:color w:val="000000" w:themeColor="text1"/>
                <w:sz w:val="21"/>
                <w:szCs w:val="21"/>
              </w:rPr>
              <w:t>3</w:t>
            </w:r>
            <w:r>
              <w:rPr>
                <w:rStyle w:val="font41"/>
                <w:rFonts w:eastAsia="宋体" w:hint="eastAsia"/>
                <w:color w:val="000000" w:themeColor="text1"/>
                <w:sz w:val="21"/>
                <w:szCs w:val="21"/>
              </w:rPr>
              <w:t>日将剂量加倍，维持量</w:t>
            </w:r>
            <w:r>
              <w:rPr>
                <w:rStyle w:val="font41"/>
                <w:rFonts w:eastAsia="宋体"/>
                <w:color w:val="000000" w:themeColor="text1"/>
                <w:sz w:val="21"/>
                <w:szCs w:val="21"/>
              </w:rPr>
              <w:t>10~40 mg/d</w:t>
            </w:r>
            <w:r>
              <w:rPr>
                <w:rStyle w:val="font41"/>
                <w:rFonts w:eastAsia="宋体" w:hint="eastAsia"/>
                <w:color w:val="000000" w:themeColor="text1"/>
                <w:sz w:val="21"/>
                <w:szCs w:val="21"/>
              </w:rPr>
              <w:t>，单</w:t>
            </w:r>
            <w:r>
              <w:rPr>
                <w:rStyle w:val="font41"/>
                <w:rFonts w:eastAsia="宋体" w:hint="eastAsia"/>
                <w:color w:val="000000" w:themeColor="text1"/>
                <w:sz w:val="21"/>
                <w:szCs w:val="21"/>
              </w:rPr>
              <w:lastRenderedPageBreak/>
              <w:t>次或分次服用</w:t>
            </w:r>
          </w:p>
        </w:tc>
        <w:tc>
          <w:tcPr>
            <w:tcW w:w="46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3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1.5 h</w:t>
            </w:r>
          </w:p>
        </w:tc>
        <w:tc>
          <w:tcPr>
            <w:tcW w:w="4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2-3 h</w:t>
            </w:r>
            <w:r>
              <w:rPr>
                <w:rFonts w:ascii="Times New Roman" w:eastAsia="宋体" w:hAnsi="Times New Roman" w:cs="Times New Roman" w:hint="eastAsia"/>
                <w:color w:val="000000" w:themeColor="text1"/>
                <w:kern w:val="0"/>
                <w:szCs w:val="21"/>
              </w:rPr>
              <w:t>（与文不符）</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24~75 h</w:t>
            </w:r>
          </w:p>
        </w:tc>
        <w:tc>
          <w:tcPr>
            <w:tcW w:w="3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不与血浆蛋白结合</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2.8~4.2 h</w:t>
            </w:r>
          </w:p>
        </w:tc>
        <w:tc>
          <w:tcPr>
            <w:tcW w:w="3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其余代谢物随尿排出</w:t>
            </w:r>
          </w:p>
        </w:tc>
        <w:tc>
          <w:tcPr>
            <w:tcW w:w="33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100 mg</w:t>
            </w:r>
          </w:p>
        </w:tc>
        <w:tc>
          <w:tcPr>
            <w:tcW w:w="49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多毛症</w:t>
            </w:r>
          </w:p>
        </w:tc>
      </w:tr>
      <w:tr w:rsidR="002E5476">
        <w:trPr>
          <w:trHeight w:val="390"/>
          <w:jc w:val="center"/>
        </w:trPr>
        <w:tc>
          <w:tcPr>
            <w:tcW w:w="5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lastRenderedPageBreak/>
              <w:t>肼屈嗪</w:t>
            </w:r>
          </w:p>
        </w:tc>
        <w:tc>
          <w:tcPr>
            <w:tcW w:w="5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10</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50 mg</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qid</w:t>
            </w:r>
          </w:p>
        </w:tc>
        <w:tc>
          <w:tcPr>
            <w:tcW w:w="46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进食后服用</w:t>
            </w:r>
          </w:p>
        </w:tc>
        <w:tc>
          <w:tcPr>
            <w:tcW w:w="3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45 min</w:t>
            </w:r>
          </w:p>
        </w:tc>
        <w:tc>
          <w:tcPr>
            <w:tcW w:w="4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1</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2 h</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3~8 h</w:t>
            </w:r>
          </w:p>
        </w:tc>
        <w:tc>
          <w:tcPr>
            <w:tcW w:w="3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87%</w:t>
            </w:r>
          </w:p>
        </w:tc>
        <w:tc>
          <w:tcPr>
            <w:tcW w:w="2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3~7 h</w:t>
            </w:r>
          </w:p>
        </w:tc>
        <w:tc>
          <w:tcPr>
            <w:tcW w:w="3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2%~4%</w:t>
            </w:r>
            <w:r>
              <w:rPr>
                <w:rFonts w:ascii="Times New Roman" w:eastAsia="宋体" w:hAnsi="Times New Roman" w:cs="Times New Roman" w:hint="eastAsia"/>
                <w:color w:val="000000" w:themeColor="text1"/>
                <w:kern w:val="0"/>
                <w:szCs w:val="21"/>
              </w:rPr>
              <w:t>原型药物</w:t>
            </w:r>
          </w:p>
        </w:tc>
        <w:tc>
          <w:tcPr>
            <w:tcW w:w="33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300 mg</w:t>
            </w:r>
          </w:p>
        </w:tc>
        <w:tc>
          <w:tcPr>
            <w:tcW w:w="499"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rPr>
                <w:rFonts w:ascii="Times New Roman" w:eastAsia="宋体" w:hAnsi="Times New Roman" w:cs="Times New Roman"/>
                <w:color w:val="000000" w:themeColor="text1"/>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keepNext/>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狼疮综合征</w:t>
            </w:r>
          </w:p>
        </w:tc>
      </w:tr>
    </w:tbl>
    <w:p w:rsidR="002E5476" w:rsidRDefault="00423E71">
      <w:pPr>
        <w:pStyle w:val="10"/>
        <w:spacing w:line="360" w:lineRule="auto"/>
        <w:ind w:firstLineChars="0" w:firstLine="0"/>
        <w:jc w:val="left"/>
        <w:rPr>
          <w:rFonts w:ascii="Times New Roman" w:eastAsia="宋体" w:hAnsi="Times New Roman" w:cs="Times New Roman"/>
          <w:color w:val="000000" w:themeColor="text1"/>
          <w:kern w:val="0"/>
          <w:sz w:val="18"/>
          <w:szCs w:val="18"/>
        </w:rPr>
      </w:pPr>
      <w:r>
        <w:rPr>
          <w:rFonts w:ascii="Times New Roman" w:eastAsia="宋体" w:hAnsi="Times New Roman" w:cs="Times New Roman" w:hint="eastAsia"/>
          <w:color w:val="000000" w:themeColor="text1"/>
          <w:kern w:val="0"/>
          <w:sz w:val="18"/>
          <w:szCs w:val="18"/>
        </w:rPr>
        <w:t>注：</w:t>
      </w:r>
      <w:r>
        <w:rPr>
          <w:rFonts w:ascii="Times New Roman" w:eastAsia="宋体" w:hAnsi="Times New Roman" w:cs="Times New Roman"/>
          <w:color w:val="000000" w:themeColor="text1"/>
          <w:sz w:val="18"/>
          <w:szCs w:val="18"/>
        </w:rPr>
        <w:t>ACEI</w:t>
      </w:r>
      <w:r>
        <w:rPr>
          <w:rFonts w:ascii="Times New Roman" w:eastAsia="宋体" w:hAnsi="Times New Roman" w:cs="Times New Roman" w:hint="eastAsia"/>
          <w:color w:val="000000" w:themeColor="text1"/>
          <w:sz w:val="18"/>
          <w:szCs w:val="18"/>
        </w:rPr>
        <w:t>：血管紧张素转化酶抑制剂（</w:t>
      </w:r>
      <w:r>
        <w:rPr>
          <w:rFonts w:ascii="Times New Roman" w:eastAsia="宋体" w:hAnsi="Times New Roman" w:cs="Times New Roman"/>
          <w:color w:val="000000" w:themeColor="text1"/>
          <w:sz w:val="18"/>
          <w:szCs w:val="18"/>
        </w:rPr>
        <w:t>angiotensin converting enzyme inhibitor</w:t>
      </w:r>
      <w:r>
        <w:rPr>
          <w:rFonts w:ascii="Times New Roman" w:eastAsia="宋体" w:hAnsi="Times New Roman" w:cs="Times New Roman" w:hint="eastAsia"/>
          <w:color w:val="000000" w:themeColor="text1"/>
          <w:sz w:val="18"/>
          <w:szCs w:val="18"/>
        </w:rPr>
        <w:t>）；</w:t>
      </w:r>
      <w:r>
        <w:rPr>
          <w:rFonts w:ascii="Times New Roman" w:eastAsia="宋体" w:hAnsi="Times New Roman" w:cs="Times New Roman"/>
          <w:color w:val="000000" w:themeColor="text1"/>
          <w:sz w:val="18"/>
          <w:szCs w:val="18"/>
        </w:rPr>
        <w:t>ARB</w:t>
      </w:r>
      <w:r>
        <w:rPr>
          <w:rFonts w:ascii="Times New Roman" w:eastAsia="宋体" w:hAnsi="Times New Roman" w:cs="Times New Roman" w:hint="eastAsia"/>
          <w:color w:val="000000" w:themeColor="text1"/>
          <w:sz w:val="18"/>
          <w:szCs w:val="18"/>
        </w:rPr>
        <w:t>：血管紧张素Ⅱ受体阻滞剂（</w:t>
      </w:r>
      <w:r>
        <w:rPr>
          <w:rFonts w:ascii="Times New Roman" w:eastAsia="宋体" w:hAnsi="Times New Roman" w:cs="Times New Roman"/>
          <w:color w:val="000000" w:themeColor="text1"/>
          <w:sz w:val="18"/>
          <w:szCs w:val="18"/>
        </w:rPr>
        <w:t>angiotensin</w:t>
      </w:r>
      <w:r>
        <w:rPr>
          <w:rFonts w:ascii="Times New Roman" w:eastAsia="宋体" w:hAnsi="Times New Roman" w:cs="Times New Roman" w:hint="eastAsia"/>
          <w:color w:val="000000" w:themeColor="text1"/>
          <w:sz w:val="18"/>
          <w:szCs w:val="18"/>
        </w:rPr>
        <w:t>Ⅱ</w:t>
      </w:r>
      <w:r>
        <w:rPr>
          <w:rFonts w:ascii="Times New Roman" w:eastAsia="宋体" w:hAnsi="Times New Roman" w:cs="Times New Roman"/>
          <w:color w:val="000000" w:themeColor="text1"/>
          <w:sz w:val="18"/>
          <w:szCs w:val="18"/>
        </w:rPr>
        <w:t>receptor blocker</w:t>
      </w:r>
      <w:r>
        <w:rPr>
          <w:rFonts w:ascii="Times New Roman" w:eastAsia="宋体" w:hAnsi="Times New Roman" w:cs="Times New Roman" w:hint="eastAsia"/>
          <w:color w:val="000000" w:themeColor="text1"/>
          <w:sz w:val="18"/>
          <w:szCs w:val="18"/>
        </w:rPr>
        <w:t>）；</w:t>
      </w:r>
      <w:r>
        <w:rPr>
          <w:rFonts w:ascii="Times New Roman" w:eastAsia="宋体" w:hAnsi="Times New Roman" w:cs="Times New Roman"/>
          <w:color w:val="000000" w:themeColor="text1"/>
          <w:sz w:val="18"/>
          <w:szCs w:val="18"/>
        </w:rPr>
        <w:t>CCB</w:t>
      </w:r>
      <w:r>
        <w:rPr>
          <w:rFonts w:ascii="Times New Roman" w:eastAsia="宋体" w:hAnsi="Times New Roman" w:cs="Times New Roman" w:hint="eastAsia"/>
          <w:color w:val="000000" w:themeColor="text1"/>
          <w:sz w:val="18"/>
          <w:szCs w:val="18"/>
        </w:rPr>
        <w:t>：钙通道阻滞剂（</w:t>
      </w:r>
      <w:r>
        <w:rPr>
          <w:rFonts w:ascii="Times New Roman" w:eastAsia="宋体" w:hAnsi="Times New Roman" w:cs="Times New Roman"/>
          <w:color w:val="000000" w:themeColor="text1"/>
          <w:sz w:val="18"/>
          <w:szCs w:val="18"/>
        </w:rPr>
        <w:t>calcium channel blocker</w:t>
      </w:r>
      <w:r>
        <w:rPr>
          <w:rFonts w:ascii="Times New Roman" w:eastAsia="宋体" w:hAnsi="Times New Roman" w:cs="Times New Roman" w:hint="eastAsia"/>
          <w:color w:val="000000" w:themeColor="text1"/>
          <w:sz w:val="18"/>
          <w:szCs w:val="18"/>
        </w:rPr>
        <w:t>）；</w:t>
      </w:r>
      <w:r>
        <w:rPr>
          <w:rFonts w:ascii="Times New Roman" w:eastAsia="宋体" w:hAnsi="Times New Roman" w:cs="Times New Roman"/>
          <w:color w:val="000000" w:themeColor="text1"/>
          <w:kern w:val="0"/>
          <w:sz w:val="18"/>
          <w:szCs w:val="18"/>
        </w:rPr>
        <w:t>AUC</w:t>
      </w:r>
      <w:r>
        <w:rPr>
          <w:rFonts w:ascii="Times New Roman" w:eastAsia="宋体" w:hAnsi="Times New Roman" w:cs="Times New Roman" w:hint="eastAsia"/>
          <w:color w:val="000000" w:themeColor="text1"/>
          <w:kern w:val="0"/>
          <w:sz w:val="18"/>
          <w:szCs w:val="18"/>
        </w:rPr>
        <w:t>：血药浓度</w:t>
      </w:r>
      <w:r>
        <w:rPr>
          <w:rFonts w:ascii="Times New Roman" w:eastAsia="宋体" w:hAnsi="Times New Roman" w:cs="Times New Roman"/>
          <w:color w:val="000000" w:themeColor="text1"/>
          <w:kern w:val="0"/>
          <w:sz w:val="18"/>
          <w:szCs w:val="18"/>
        </w:rPr>
        <w:t>-</w:t>
      </w:r>
      <w:r>
        <w:rPr>
          <w:rFonts w:ascii="Times New Roman" w:eastAsia="宋体" w:hAnsi="Times New Roman" w:cs="Times New Roman" w:hint="eastAsia"/>
          <w:color w:val="000000" w:themeColor="text1"/>
          <w:kern w:val="0"/>
          <w:sz w:val="18"/>
          <w:szCs w:val="18"/>
        </w:rPr>
        <w:t>时间曲线下面积；</w:t>
      </w:r>
      <w:r>
        <w:rPr>
          <w:rFonts w:ascii="Times New Roman" w:eastAsia="宋体" w:hAnsi="Times New Roman" w:cs="Times New Roman"/>
          <w:color w:val="000000" w:themeColor="text1"/>
          <w:kern w:val="0"/>
          <w:sz w:val="18"/>
          <w:szCs w:val="18"/>
        </w:rPr>
        <w:t>Tmax</w:t>
      </w:r>
      <w:r>
        <w:rPr>
          <w:rFonts w:ascii="Times New Roman" w:eastAsia="宋体" w:hAnsi="Times New Roman" w:cs="Times New Roman" w:hint="eastAsia"/>
          <w:color w:val="000000" w:themeColor="text1"/>
          <w:kern w:val="0"/>
          <w:sz w:val="18"/>
          <w:szCs w:val="18"/>
        </w:rPr>
        <w:t>：药峰时间；</w:t>
      </w:r>
      <w:r>
        <w:rPr>
          <w:rFonts w:ascii="Times New Roman" w:eastAsia="宋体" w:hAnsi="Times New Roman" w:cs="Times New Roman"/>
          <w:color w:val="000000" w:themeColor="text1"/>
          <w:kern w:val="0"/>
          <w:sz w:val="18"/>
          <w:szCs w:val="18"/>
        </w:rPr>
        <w:t>Cmax</w:t>
      </w:r>
      <w:r>
        <w:rPr>
          <w:rFonts w:ascii="Times New Roman" w:eastAsia="宋体" w:hAnsi="Times New Roman" w:cs="Times New Roman" w:hint="eastAsia"/>
          <w:color w:val="000000" w:themeColor="text1"/>
          <w:kern w:val="0"/>
          <w:sz w:val="18"/>
          <w:szCs w:val="18"/>
        </w:rPr>
        <w:t>：药峰浓度；参考资料：药品说明书、</w:t>
      </w:r>
      <w:r>
        <w:rPr>
          <w:rFonts w:ascii="Times New Roman" w:eastAsia="宋体" w:hAnsi="Times New Roman" w:cs="Times New Roman"/>
          <w:color w:val="000000" w:themeColor="text1"/>
          <w:sz w:val="18"/>
          <w:szCs w:val="18"/>
          <w:vertAlign w:val="superscript"/>
        </w:rPr>
        <w:t>[101]</w:t>
      </w:r>
      <w:r>
        <w:rPr>
          <w:rFonts w:ascii="Times New Roman" w:eastAsia="宋体" w:hAnsi="Times New Roman" w:cs="Times New Roman" w:hint="eastAsia"/>
          <w:color w:val="000000" w:themeColor="text1"/>
          <w:kern w:val="0"/>
          <w:sz w:val="18"/>
          <w:szCs w:val="18"/>
        </w:rPr>
        <w:t>、</w:t>
      </w:r>
      <w:r>
        <w:rPr>
          <w:rFonts w:ascii="Times New Roman" w:eastAsia="宋体" w:hAnsi="Times New Roman" w:cs="Times New Roman"/>
          <w:color w:val="000000" w:themeColor="text1"/>
          <w:sz w:val="18"/>
          <w:szCs w:val="18"/>
          <w:vertAlign w:val="superscript"/>
        </w:rPr>
        <w:t>[11]</w:t>
      </w:r>
    </w:p>
    <w:p w:rsidR="002E5476" w:rsidRDefault="002E5476">
      <w:pPr>
        <w:pStyle w:val="10"/>
        <w:spacing w:line="360" w:lineRule="auto"/>
        <w:ind w:firstLineChars="0" w:firstLine="0"/>
        <w:jc w:val="center"/>
        <w:rPr>
          <w:rFonts w:ascii="Times New Roman" w:eastAsia="宋体" w:hAnsi="Times New Roman" w:cs="Times New Roman"/>
          <w:b/>
          <w:color w:val="000000" w:themeColor="text1"/>
          <w:szCs w:val="21"/>
        </w:rPr>
      </w:pPr>
    </w:p>
    <w:p w:rsidR="002E5476" w:rsidRDefault="00423E71">
      <w:pPr>
        <w:pStyle w:val="10"/>
        <w:spacing w:line="360" w:lineRule="auto"/>
        <w:ind w:firstLineChars="0" w:firstLine="0"/>
        <w:jc w:val="center"/>
        <w:rPr>
          <w:rFonts w:ascii="Times New Roman" w:eastAsia="宋体" w:hAnsi="Times New Roman" w:cs="Times New Roman"/>
          <w:b/>
          <w:color w:val="000000" w:themeColor="text1"/>
          <w:sz w:val="24"/>
          <w:szCs w:val="24"/>
        </w:rPr>
      </w:pPr>
      <w:bookmarkStart w:id="36" w:name="_Toc1162387218_WPSOffice_Level1"/>
      <w:r>
        <w:rPr>
          <w:rFonts w:ascii="Times New Roman" w:eastAsia="宋体" w:hAnsi="Times New Roman" w:cs="Times New Roman" w:hint="eastAsia"/>
          <w:b/>
          <w:color w:val="000000" w:themeColor="text1"/>
          <w:sz w:val="24"/>
          <w:szCs w:val="24"/>
        </w:rPr>
        <w:t>表</w:t>
      </w:r>
      <w:r>
        <w:rPr>
          <w:rFonts w:ascii="Times New Roman" w:eastAsia="宋体" w:hAnsi="Times New Roman" w:cs="Times New Roman"/>
          <w:b/>
          <w:color w:val="000000" w:themeColor="text1"/>
          <w:sz w:val="24"/>
          <w:szCs w:val="24"/>
        </w:rPr>
        <w:t>4</w:t>
      </w:r>
      <w:r>
        <w:rPr>
          <w:rFonts w:ascii="Times New Roman" w:eastAsia="宋体" w:hAnsi="Times New Roman" w:cs="Times New Roman" w:hint="eastAsia"/>
          <w:b/>
          <w:color w:val="000000" w:themeColor="text1"/>
          <w:sz w:val="24"/>
          <w:szCs w:val="24"/>
        </w:rPr>
        <w:t>常用降压药物单片复方制</w:t>
      </w:r>
      <w:bookmarkEnd w:id="36"/>
      <w:r>
        <w:rPr>
          <w:rFonts w:ascii="Times New Roman" w:eastAsia="宋体" w:hAnsi="Times New Roman" w:cs="Times New Roman" w:hint="eastAsia"/>
          <w:b/>
          <w:color w:val="000000" w:themeColor="text1"/>
          <w:sz w:val="24"/>
          <w:szCs w:val="24"/>
        </w:rPr>
        <w:t>剂</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700"/>
        <w:gridCol w:w="2753"/>
        <w:gridCol w:w="943"/>
        <w:gridCol w:w="1693"/>
        <w:gridCol w:w="3388"/>
      </w:tblGrid>
      <w:tr w:rsidR="002E5476">
        <w:trPr>
          <w:trHeight w:val="502"/>
          <w:tblHeader/>
          <w:jc w:val="center"/>
        </w:trPr>
        <w:tc>
          <w:tcPr>
            <w:tcW w:w="811" w:type="pct"/>
            <w:shd w:val="clear" w:color="auto" w:fill="D9D9D9" w:themeFill="background1" w:themeFillShade="D9"/>
            <w:vAlign w:val="center"/>
          </w:tcPr>
          <w:p w:rsidR="002E5476" w:rsidRDefault="00423E71">
            <w:pPr>
              <w:pStyle w:val="10"/>
              <w:ind w:firstLineChars="0" w:firstLine="0"/>
              <w:jc w:val="center"/>
              <w:rPr>
                <w:rFonts w:ascii="Times New Roman" w:eastAsia="宋体" w:hAnsi="Times New Roman" w:cs="Times New Roman"/>
                <w:b/>
                <w:bCs/>
                <w:color w:val="000000" w:themeColor="text1"/>
                <w:szCs w:val="21"/>
              </w:rPr>
            </w:pPr>
            <w:r>
              <w:rPr>
                <w:rFonts w:ascii="Times New Roman" w:eastAsia="宋体" w:hAnsi="Times New Roman" w:cs="Times New Roman" w:hint="eastAsia"/>
                <w:b/>
                <w:bCs/>
                <w:color w:val="000000" w:themeColor="text1"/>
                <w:szCs w:val="21"/>
              </w:rPr>
              <w:t>通用名</w:t>
            </w:r>
          </w:p>
        </w:tc>
        <w:tc>
          <w:tcPr>
            <w:tcW w:w="1314" w:type="pct"/>
            <w:shd w:val="clear" w:color="auto" w:fill="D9D9D9" w:themeFill="background1" w:themeFillShade="D9"/>
            <w:vAlign w:val="center"/>
          </w:tcPr>
          <w:p w:rsidR="002E5476" w:rsidRDefault="00423E71">
            <w:pPr>
              <w:pStyle w:val="10"/>
              <w:ind w:firstLineChars="0" w:firstLine="0"/>
              <w:jc w:val="center"/>
              <w:rPr>
                <w:rFonts w:ascii="Times New Roman" w:eastAsia="宋体" w:hAnsi="Times New Roman" w:cs="Times New Roman"/>
                <w:b/>
                <w:bCs/>
                <w:color w:val="000000" w:themeColor="text1"/>
                <w:szCs w:val="21"/>
              </w:rPr>
            </w:pPr>
            <w:r>
              <w:rPr>
                <w:rFonts w:ascii="Times New Roman" w:eastAsia="宋体" w:hAnsi="Times New Roman" w:cs="Times New Roman" w:hint="eastAsia"/>
                <w:b/>
                <w:bCs/>
                <w:color w:val="000000" w:themeColor="text1"/>
                <w:szCs w:val="21"/>
              </w:rPr>
              <w:t>主要组分与每片剂量</w:t>
            </w:r>
          </w:p>
        </w:tc>
        <w:tc>
          <w:tcPr>
            <w:tcW w:w="450" w:type="pct"/>
            <w:shd w:val="clear" w:color="auto" w:fill="D9D9D9" w:themeFill="background1" w:themeFillShade="D9"/>
            <w:vAlign w:val="center"/>
          </w:tcPr>
          <w:p w:rsidR="002E5476" w:rsidRDefault="00423E71">
            <w:pPr>
              <w:pStyle w:val="10"/>
              <w:ind w:firstLineChars="0" w:firstLine="0"/>
              <w:jc w:val="center"/>
              <w:rPr>
                <w:rFonts w:ascii="Times New Roman" w:eastAsia="宋体" w:hAnsi="Times New Roman" w:cs="Times New Roman"/>
                <w:b/>
                <w:bCs/>
                <w:color w:val="000000" w:themeColor="text1"/>
                <w:szCs w:val="21"/>
              </w:rPr>
            </w:pPr>
            <w:r>
              <w:rPr>
                <w:rFonts w:ascii="Times New Roman" w:eastAsia="宋体" w:hAnsi="Times New Roman" w:cs="Times New Roman" w:hint="eastAsia"/>
                <w:b/>
                <w:bCs/>
                <w:color w:val="000000" w:themeColor="text1"/>
                <w:szCs w:val="21"/>
              </w:rPr>
              <w:t>辅助成分</w:t>
            </w:r>
          </w:p>
        </w:tc>
        <w:tc>
          <w:tcPr>
            <w:tcW w:w="808" w:type="pct"/>
            <w:shd w:val="clear" w:color="auto" w:fill="D9D9D9" w:themeFill="background1" w:themeFillShade="D9"/>
            <w:vAlign w:val="center"/>
          </w:tcPr>
          <w:p w:rsidR="002E5476" w:rsidRDefault="00423E71">
            <w:pPr>
              <w:pStyle w:val="10"/>
              <w:ind w:firstLineChars="0" w:firstLine="0"/>
              <w:jc w:val="center"/>
              <w:rPr>
                <w:rFonts w:ascii="Times New Roman" w:eastAsia="宋体" w:hAnsi="Times New Roman" w:cs="Times New Roman"/>
                <w:b/>
                <w:bCs/>
                <w:color w:val="000000" w:themeColor="text1"/>
                <w:szCs w:val="21"/>
              </w:rPr>
            </w:pPr>
            <w:r>
              <w:rPr>
                <w:rFonts w:ascii="Times New Roman" w:eastAsia="宋体" w:hAnsi="Times New Roman" w:cs="Times New Roman" w:hint="eastAsia"/>
                <w:b/>
                <w:bCs/>
                <w:color w:val="000000" w:themeColor="text1"/>
                <w:szCs w:val="21"/>
              </w:rPr>
              <w:t>用药方法及剂量</w:t>
            </w:r>
          </w:p>
        </w:tc>
        <w:tc>
          <w:tcPr>
            <w:tcW w:w="1617" w:type="pct"/>
            <w:shd w:val="clear" w:color="auto" w:fill="D9D9D9" w:themeFill="background1" w:themeFillShade="D9"/>
            <w:vAlign w:val="center"/>
          </w:tcPr>
          <w:p w:rsidR="002E5476" w:rsidRDefault="00423E71">
            <w:pPr>
              <w:pStyle w:val="10"/>
              <w:ind w:firstLineChars="0" w:firstLine="0"/>
              <w:jc w:val="center"/>
              <w:rPr>
                <w:rFonts w:ascii="Times New Roman" w:eastAsia="宋体" w:hAnsi="Times New Roman" w:cs="Times New Roman"/>
                <w:b/>
                <w:bCs/>
                <w:color w:val="000000" w:themeColor="text1"/>
                <w:szCs w:val="21"/>
              </w:rPr>
            </w:pPr>
            <w:r>
              <w:rPr>
                <w:rFonts w:ascii="Times New Roman" w:eastAsia="宋体" w:hAnsi="Times New Roman" w:cs="Times New Roman" w:hint="eastAsia"/>
                <w:b/>
                <w:bCs/>
                <w:color w:val="000000" w:themeColor="text1"/>
                <w:szCs w:val="21"/>
              </w:rPr>
              <w:t>主要不良反应</w:t>
            </w:r>
          </w:p>
        </w:tc>
      </w:tr>
      <w:tr w:rsidR="002E5476">
        <w:trPr>
          <w:trHeight w:val="502"/>
          <w:tblHeader/>
          <w:jc w:val="center"/>
        </w:trPr>
        <w:tc>
          <w:tcPr>
            <w:tcW w:w="811" w:type="pct"/>
            <w:vMerge w:val="restar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氯沙坦钾</w:t>
            </w:r>
            <w:r>
              <w:rPr>
                <w:rFonts w:ascii="Times New Roman" w:eastAsia="宋体" w:hAnsi="Times New Roman" w:cs="Times New Roman"/>
                <w:color w:val="000000" w:themeColor="text1"/>
                <w:szCs w:val="21"/>
              </w:rPr>
              <w:t>/</w:t>
            </w:r>
            <w:r>
              <w:rPr>
                <w:rFonts w:ascii="Times New Roman" w:eastAsia="宋体" w:hAnsi="Times New Roman" w:cs="Times New Roman" w:hint="eastAsia"/>
                <w:color w:val="000000" w:themeColor="text1"/>
                <w:szCs w:val="21"/>
              </w:rPr>
              <w:t>氢氯噻嗪</w:t>
            </w:r>
          </w:p>
        </w:tc>
        <w:tc>
          <w:tcPr>
            <w:tcW w:w="1314"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氯沙坦钾</w:t>
            </w:r>
            <w:r>
              <w:rPr>
                <w:rFonts w:ascii="Times New Roman" w:eastAsia="宋体" w:hAnsi="Times New Roman" w:cs="Times New Roman"/>
                <w:color w:val="000000" w:themeColor="text1"/>
                <w:szCs w:val="21"/>
              </w:rPr>
              <w:t>50 mg/</w:t>
            </w:r>
            <w:r>
              <w:rPr>
                <w:rFonts w:ascii="Times New Roman" w:eastAsia="宋体" w:hAnsi="Times New Roman" w:cs="Times New Roman" w:hint="eastAsia"/>
                <w:color w:val="000000" w:themeColor="text1"/>
                <w:szCs w:val="21"/>
              </w:rPr>
              <w:t>氢氯噻嗪</w:t>
            </w:r>
            <w:r>
              <w:rPr>
                <w:rFonts w:ascii="Times New Roman" w:eastAsia="宋体" w:hAnsi="Times New Roman" w:cs="Times New Roman"/>
                <w:color w:val="000000" w:themeColor="text1"/>
                <w:szCs w:val="21"/>
              </w:rPr>
              <w:t>12.5 mg</w:t>
            </w:r>
          </w:p>
        </w:tc>
        <w:tc>
          <w:tcPr>
            <w:tcW w:w="450" w:type="pct"/>
            <w:vAlign w:val="center"/>
          </w:tcPr>
          <w:p w:rsidR="002E5476" w:rsidRDefault="002E5476">
            <w:pPr>
              <w:pStyle w:val="10"/>
              <w:ind w:firstLineChars="0" w:firstLine="0"/>
              <w:rPr>
                <w:rFonts w:ascii="Times New Roman" w:eastAsia="宋体" w:hAnsi="Times New Roman" w:cs="Times New Roman"/>
                <w:color w:val="000000" w:themeColor="text1"/>
                <w:szCs w:val="21"/>
              </w:rPr>
            </w:pPr>
          </w:p>
        </w:tc>
        <w:tc>
          <w:tcPr>
            <w:tcW w:w="808"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1</w:t>
            </w:r>
            <w:r>
              <w:rPr>
                <w:rFonts w:ascii="Times New Roman" w:eastAsia="宋体" w:hAnsi="Times New Roman" w:cs="Times New Roman" w:hint="eastAsia"/>
                <w:color w:val="000000" w:themeColor="text1"/>
                <w:szCs w:val="21"/>
              </w:rPr>
              <w:t>片，</w:t>
            </w:r>
            <w:r>
              <w:rPr>
                <w:rFonts w:ascii="Times New Roman" w:eastAsia="宋体" w:hAnsi="Times New Roman" w:cs="Times New Roman"/>
                <w:color w:val="000000" w:themeColor="text1"/>
                <w:szCs w:val="21"/>
              </w:rPr>
              <w:t>qd</w:t>
            </w:r>
          </w:p>
        </w:tc>
        <w:tc>
          <w:tcPr>
            <w:tcW w:w="1617"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偶见血管神经性水肿，血钾异常、尿酸</w:t>
            </w:r>
          </w:p>
        </w:tc>
      </w:tr>
      <w:tr w:rsidR="002E5476">
        <w:trPr>
          <w:trHeight w:val="502"/>
          <w:tblHeader/>
          <w:jc w:val="center"/>
        </w:trPr>
        <w:tc>
          <w:tcPr>
            <w:tcW w:w="811" w:type="pct"/>
            <w:vMerge/>
            <w:vAlign w:val="center"/>
          </w:tcPr>
          <w:p w:rsidR="002E5476" w:rsidRDefault="002E5476">
            <w:pPr>
              <w:pStyle w:val="10"/>
              <w:ind w:firstLineChars="0" w:firstLine="0"/>
              <w:rPr>
                <w:rFonts w:ascii="Times New Roman" w:eastAsia="宋体" w:hAnsi="Times New Roman" w:cs="Times New Roman"/>
                <w:color w:val="000000" w:themeColor="text1"/>
                <w:szCs w:val="21"/>
              </w:rPr>
            </w:pPr>
          </w:p>
        </w:tc>
        <w:tc>
          <w:tcPr>
            <w:tcW w:w="1314"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氯沙坦钾</w:t>
            </w:r>
            <w:r>
              <w:rPr>
                <w:rFonts w:ascii="Times New Roman" w:eastAsia="宋体" w:hAnsi="Times New Roman" w:cs="Times New Roman"/>
                <w:color w:val="000000" w:themeColor="text1"/>
                <w:szCs w:val="21"/>
              </w:rPr>
              <w:t>100 mg/</w:t>
            </w:r>
            <w:r>
              <w:rPr>
                <w:rFonts w:ascii="Times New Roman" w:eastAsia="宋体" w:hAnsi="Times New Roman" w:cs="Times New Roman" w:hint="eastAsia"/>
                <w:color w:val="000000" w:themeColor="text1"/>
                <w:szCs w:val="21"/>
              </w:rPr>
              <w:t>氢氯噻嗪</w:t>
            </w:r>
            <w:r>
              <w:rPr>
                <w:rFonts w:ascii="Times New Roman" w:eastAsia="宋体" w:hAnsi="Times New Roman" w:cs="Times New Roman"/>
                <w:color w:val="000000" w:themeColor="text1"/>
                <w:szCs w:val="21"/>
              </w:rPr>
              <w:t>12.5 mg</w:t>
            </w:r>
          </w:p>
        </w:tc>
        <w:tc>
          <w:tcPr>
            <w:tcW w:w="450" w:type="pct"/>
            <w:vAlign w:val="center"/>
          </w:tcPr>
          <w:p w:rsidR="002E5476" w:rsidRDefault="002E5476">
            <w:pPr>
              <w:pStyle w:val="10"/>
              <w:ind w:firstLineChars="0" w:firstLine="0"/>
              <w:rPr>
                <w:rFonts w:ascii="Times New Roman" w:eastAsia="宋体" w:hAnsi="Times New Roman" w:cs="Times New Roman"/>
                <w:color w:val="000000" w:themeColor="text1"/>
                <w:szCs w:val="21"/>
              </w:rPr>
            </w:pPr>
          </w:p>
        </w:tc>
        <w:tc>
          <w:tcPr>
            <w:tcW w:w="808"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1</w:t>
            </w:r>
            <w:r>
              <w:rPr>
                <w:rFonts w:ascii="Times New Roman" w:eastAsia="宋体" w:hAnsi="Times New Roman" w:cs="Times New Roman" w:hint="eastAsia"/>
                <w:color w:val="000000" w:themeColor="text1"/>
                <w:szCs w:val="21"/>
              </w:rPr>
              <w:t>片，</w:t>
            </w:r>
            <w:r>
              <w:rPr>
                <w:rFonts w:ascii="Times New Roman" w:eastAsia="宋体" w:hAnsi="Times New Roman" w:cs="Times New Roman"/>
                <w:color w:val="000000" w:themeColor="text1"/>
                <w:szCs w:val="21"/>
              </w:rPr>
              <w:t>qd</w:t>
            </w:r>
          </w:p>
        </w:tc>
        <w:tc>
          <w:tcPr>
            <w:tcW w:w="1617" w:type="pct"/>
            <w:vAlign w:val="center"/>
          </w:tcPr>
          <w:p w:rsidR="002E5476" w:rsidRDefault="002E5476">
            <w:pPr>
              <w:pStyle w:val="10"/>
              <w:ind w:firstLineChars="0" w:firstLine="0"/>
              <w:rPr>
                <w:rFonts w:ascii="Times New Roman" w:eastAsia="宋体" w:hAnsi="Times New Roman" w:cs="Times New Roman"/>
                <w:color w:val="000000" w:themeColor="text1"/>
                <w:szCs w:val="21"/>
              </w:rPr>
            </w:pPr>
          </w:p>
        </w:tc>
      </w:tr>
      <w:tr w:rsidR="002E5476">
        <w:trPr>
          <w:trHeight w:val="502"/>
          <w:tblHeader/>
          <w:jc w:val="center"/>
        </w:trPr>
        <w:tc>
          <w:tcPr>
            <w:tcW w:w="811" w:type="pct"/>
            <w:vMerge/>
            <w:vAlign w:val="center"/>
          </w:tcPr>
          <w:p w:rsidR="002E5476" w:rsidRDefault="002E5476">
            <w:pPr>
              <w:pStyle w:val="10"/>
              <w:ind w:firstLineChars="0" w:firstLine="0"/>
              <w:rPr>
                <w:rFonts w:ascii="Times New Roman" w:eastAsia="宋体" w:hAnsi="Times New Roman" w:cs="Times New Roman"/>
                <w:color w:val="000000" w:themeColor="text1"/>
                <w:szCs w:val="21"/>
              </w:rPr>
            </w:pPr>
          </w:p>
        </w:tc>
        <w:tc>
          <w:tcPr>
            <w:tcW w:w="1314"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氯沙坦钾</w:t>
            </w:r>
            <w:r>
              <w:rPr>
                <w:rFonts w:ascii="Times New Roman" w:eastAsia="宋体" w:hAnsi="Times New Roman" w:cs="Times New Roman"/>
                <w:color w:val="000000" w:themeColor="text1"/>
                <w:szCs w:val="21"/>
              </w:rPr>
              <w:t>100 mg/</w:t>
            </w:r>
            <w:r>
              <w:rPr>
                <w:rFonts w:ascii="Times New Roman" w:eastAsia="宋体" w:hAnsi="Times New Roman" w:cs="Times New Roman" w:hint="eastAsia"/>
                <w:color w:val="000000" w:themeColor="text1"/>
                <w:szCs w:val="21"/>
              </w:rPr>
              <w:t>氢氯噻嗪</w:t>
            </w:r>
            <w:r>
              <w:rPr>
                <w:rFonts w:ascii="Times New Roman" w:eastAsia="宋体" w:hAnsi="Times New Roman" w:cs="Times New Roman"/>
                <w:color w:val="000000" w:themeColor="text1"/>
                <w:szCs w:val="21"/>
              </w:rPr>
              <w:t>25 mg</w:t>
            </w:r>
          </w:p>
        </w:tc>
        <w:tc>
          <w:tcPr>
            <w:tcW w:w="450" w:type="pct"/>
            <w:vAlign w:val="center"/>
          </w:tcPr>
          <w:p w:rsidR="002E5476" w:rsidRDefault="002E5476">
            <w:pPr>
              <w:pStyle w:val="10"/>
              <w:ind w:firstLineChars="0" w:firstLine="0"/>
              <w:rPr>
                <w:rFonts w:ascii="Times New Roman" w:eastAsia="宋体" w:hAnsi="Times New Roman" w:cs="Times New Roman"/>
                <w:color w:val="000000" w:themeColor="text1"/>
                <w:szCs w:val="21"/>
              </w:rPr>
            </w:pPr>
          </w:p>
        </w:tc>
        <w:tc>
          <w:tcPr>
            <w:tcW w:w="808"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1</w:t>
            </w:r>
            <w:r>
              <w:rPr>
                <w:rFonts w:ascii="Times New Roman" w:eastAsia="宋体" w:hAnsi="Times New Roman" w:cs="Times New Roman" w:hint="eastAsia"/>
                <w:color w:val="000000" w:themeColor="text1"/>
                <w:szCs w:val="21"/>
              </w:rPr>
              <w:t>片，</w:t>
            </w:r>
            <w:r>
              <w:rPr>
                <w:rFonts w:ascii="Times New Roman" w:eastAsia="宋体" w:hAnsi="Times New Roman" w:cs="Times New Roman"/>
                <w:color w:val="000000" w:themeColor="text1"/>
                <w:szCs w:val="21"/>
              </w:rPr>
              <w:t>qd</w:t>
            </w:r>
          </w:p>
        </w:tc>
        <w:tc>
          <w:tcPr>
            <w:tcW w:w="1617" w:type="pct"/>
            <w:vAlign w:val="center"/>
          </w:tcPr>
          <w:p w:rsidR="002E5476" w:rsidRDefault="002E5476">
            <w:pPr>
              <w:pStyle w:val="10"/>
              <w:ind w:firstLineChars="0" w:firstLine="0"/>
              <w:rPr>
                <w:rFonts w:ascii="Times New Roman" w:eastAsia="宋体" w:hAnsi="Times New Roman" w:cs="Times New Roman"/>
                <w:color w:val="000000" w:themeColor="text1"/>
                <w:szCs w:val="21"/>
              </w:rPr>
            </w:pPr>
          </w:p>
        </w:tc>
      </w:tr>
      <w:tr w:rsidR="002E5476">
        <w:trPr>
          <w:trHeight w:val="502"/>
          <w:tblHeader/>
          <w:jc w:val="center"/>
        </w:trPr>
        <w:tc>
          <w:tcPr>
            <w:tcW w:w="811"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缬沙坦</w:t>
            </w:r>
            <w:r>
              <w:rPr>
                <w:rFonts w:ascii="Times New Roman" w:eastAsia="宋体" w:hAnsi="Times New Roman" w:cs="Times New Roman"/>
                <w:color w:val="000000" w:themeColor="text1"/>
                <w:szCs w:val="21"/>
              </w:rPr>
              <w:t>/</w:t>
            </w:r>
            <w:r>
              <w:rPr>
                <w:rFonts w:ascii="Times New Roman" w:eastAsia="宋体" w:hAnsi="Times New Roman" w:cs="Times New Roman" w:hint="eastAsia"/>
                <w:color w:val="000000" w:themeColor="text1"/>
                <w:szCs w:val="21"/>
              </w:rPr>
              <w:t>氢氯噻嗪</w:t>
            </w:r>
          </w:p>
        </w:tc>
        <w:tc>
          <w:tcPr>
            <w:tcW w:w="1314"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缬沙坦</w:t>
            </w:r>
            <w:r>
              <w:rPr>
                <w:rFonts w:ascii="Times New Roman" w:eastAsia="宋体" w:hAnsi="Times New Roman" w:cs="Times New Roman"/>
                <w:color w:val="000000" w:themeColor="text1"/>
                <w:szCs w:val="21"/>
              </w:rPr>
              <w:t>80 mg/</w:t>
            </w:r>
            <w:r>
              <w:rPr>
                <w:rFonts w:ascii="Times New Roman" w:eastAsia="宋体" w:hAnsi="Times New Roman" w:cs="Times New Roman" w:hint="eastAsia"/>
                <w:color w:val="000000" w:themeColor="text1"/>
                <w:szCs w:val="21"/>
              </w:rPr>
              <w:t>氢氯噻嗪</w:t>
            </w:r>
            <w:r>
              <w:rPr>
                <w:rFonts w:ascii="Times New Roman" w:eastAsia="宋体" w:hAnsi="Times New Roman" w:cs="Times New Roman"/>
                <w:color w:val="000000" w:themeColor="text1"/>
                <w:szCs w:val="21"/>
              </w:rPr>
              <w:t>12.5 mg</w:t>
            </w:r>
          </w:p>
        </w:tc>
        <w:tc>
          <w:tcPr>
            <w:tcW w:w="450" w:type="pct"/>
            <w:vAlign w:val="center"/>
          </w:tcPr>
          <w:p w:rsidR="002E5476" w:rsidRDefault="002E5476">
            <w:pPr>
              <w:pStyle w:val="10"/>
              <w:ind w:firstLineChars="0" w:firstLine="0"/>
              <w:rPr>
                <w:rFonts w:ascii="Times New Roman" w:eastAsia="宋体" w:hAnsi="Times New Roman" w:cs="Times New Roman"/>
                <w:color w:val="000000" w:themeColor="text1"/>
                <w:szCs w:val="21"/>
              </w:rPr>
            </w:pPr>
          </w:p>
        </w:tc>
        <w:tc>
          <w:tcPr>
            <w:tcW w:w="808"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1</w:t>
            </w:r>
            <w:r>
              <w:rPr>
                <w:rFonts w:ascii="Times New Roman" w:eastAsia="宋体" w:hAnsi="Times New Roman" w:cs="Times New Roman" w:hint="eastAsia"/>
                <w:color w:val="000000" w:themeColor="text1"/>
                <w:szCs w:val="21"/>
              </w:rPr>
              <w:t>至</w:t>
            </w:r>
            <w:r>
              <w:rPr>
                <w:rFonts w:ascii="Times New Roman" w:eastAsia="宋体" w:hAnsi="Times New Roman" w:cs="Times New Roman"/>
                <w:color w:val="000000" w:themeColor="text1"/>
                <w:szCs w:val="21"/>
              </w:rPr>
              <w:t>2</w:t>
            </w:r>
            <w:r>
              <w:rPr>
                <w:rFonts w:ascii="Times New Roman" w:eastAsia="宋体" w:hAnsi="Times New Roman" w:cs="Times New Roman" w:hint="eastAsia"/>
                <w:color w:val="000000" w:themeColor="text1"/>
                <w:szCs w:val="21"/>
              </w:rPr>
              <w:t>片，</w:t>
            </w:r>
            <w:r>
              <w:rPr>
                <w:rFonts w:ascii="Times New Roman" w:eastAsia="宋体" w:hAnsi="Times New Roman" w:cs="Times New Roman"/>
                <w:color w:val="000000" w:themeColor="text1"/>
                <w:szCs w:val="21"/>
              </w:rPr>
              <w:t>qd</w:t>
            </w:r>
          </w:p>
        </w:tc>
        <w:tc>
          <w:tcPr>
            <w:tcW w:w="1617"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偶见血管神经性水肿，血钾异常</w:t>
            </w:r>
          </w:p>
        </w:tc>
      </w:tr>
      <w:tr w:rsidR="002E5476">
        <w:trPr>
          <w:trHeight w:val="502"/>
          <w:tblHeader/>
          <w:jc w:val="center"/>
        </w:trPr>
        <w:tc>
          <w:tcPr>
            <w:tcW w:w="811"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厄贝沙坦</w:t>
            </w:r>
            <w:r>
              <w:rPr>
                <w:rFonts w:ascii="Times New Roman" w:eastAsia="宋体" w:hAnsi="Times New Roman" w:cs="Times New Roman"/>
                <w:color w:val="000000" w:themeColor="text1"/>
                <w:szCs w:val="21"/>
              </w:rPr>
              <w:t>/</w:t>
            </w:r>
            <w:r>
              <w:rPr>
                <w:rFonts w:ascii="Times New Roman" w:eastAsia="宋体" w:hAnsi="Times New Roman" w:cs="Times New Roman" w:hint="eastAsia"/>
                <w:color w:val="000000" w:themeColor="text1"/>
                <w:szCs w:val="21"/>
              </w:rPr>
              <w:t>氢氯噻嗪</w:t>
            </w:r>
          </w:p>
        </w:tc>
        <w:tc>
          <w:tcPr>
            <w:tcW w:w="1314"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厄贝沙坦</w:t>
            </w:r>
            <w:r>
              <w:rPr>
                <w:rFonts w:ascii="Times New Roman" w:eastAsia="宋体" w:hAnsi="Times New Roman" w:cs="Times New Roman"/>
                <w:color w:val="000000" w:themeColor="text1"/>
                <w:szCs w:val="21"/>
              </w:rPr>
              <w:t>150 mg/</w:t>
            </w:r>
            <w:r>
              <w:rPr>
                <w:rFonts w:ascii="Times New Roman" w:eastAsia="宋体" w:hAnsi="Times New Roman" w:cs="Times New Roman" w:hint="eastAsia"/>
                <w:color w:val="000000" w:themeColor="text1"/>
                <w:szCs w:val="21"/>
              </w:rPr>
              <w:t>氢氯噻嗪</w:t>
            </w:r>
            <w:r>
              <w:rPr>
                <w:rFonts w:ascii="Times New Roman" w:eastAsia="宋体" w:hAnsi="Times New Roman" w:cs="Times New Roman"/>
                <w:color w:val="000000" w:themeColor="text1"/>
                <w:szCs w:val="21"/>
              </w:rPr>
              <w:t>12.5 mg</w:t>
            </w:r>
          </w:p>
        </w:tc>
        <w:tc>
          <w:tcPr>
            <w:tcW w:w="450" w:type="pct"/>
            <w:vAlign w:val="center"/>
          </w:tcPr>
          <w:p w:rsidR="002E5476" w:rsidRDefault="002E5476">
            <w:pPr>
              <w:pStyle w:val="10"/>
              <w:ind w:firstLineChars="0" w:firstLine="0"/>
              <w:rPr>
                <w:rFonts w:ascii="Times New Roman" w:eastAsia="宋体" w:hAnsi="Times New Roman" w:cs="Times New Roman"/>
                <w:color w:val="000000" w:themeColor="text1"/>
                <w:szCs w:val="21"/>
              </w:rPr>
            </w:pPr>
          </w:p>
        </w:tc>
        <w:tc>
          <w:tcPr>
            <w:tcW w:w="808"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1</w:t>
            </w:r>
            <w:r>
              <w:rPr>
                <w:rFonts w:ascii="Times New Roman" w:eastAsia="宋体" w:hAnsi="Times New Roman" w:cs="Times New Roman" w:hint="eastAsia"/>
                <w:color w:val="000000" w:themeColor="text1"/>
                <w:szCs w:val="21"/>
              </w:rPr>
              <w:t>片，</w:t>
            </w:r>
            <w:r>
              <w:rPr>
                <w:rFonts w:ascii="Times New Roman" w:eastAsia="宋体" w:hAnsi="Times New Roman" w:cs="Times New Roman"/>
                <w:color w:val="000000" w:themeColor="text1"/>
                <w:szCs w:val="21"/>
              </w:rPr>
              <w:t>qd</w:t>
            </w:r>
          </w:p>
        </w:tc>
        <w:tc>
          <w:tcPr>
            <w:tcW w:w="1617"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偶见血管神经性水肿，血钾异常</w:t>
            </w:r>
          </w:p>
        </w:tc>
      </w:tr>
      <w:tr w:rsidR="002E5476">
        <w:trPr>
          <w:trHeight w:val="502"/>
          <w:tblHeader/>
          <w:jc w:val="center"/>
        </w:trPr>
        <w:tc>
          <w:tcPr>
            <w:tcW w:w="811" w:type="pct"/>
            <w:vMerge w:val="restar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替米沙坦</w:t>
            </w:r>
            <w:r>
              <w:rPr>
                <w:rFonts w:ascii="Times New Roman" w:eastAsia="宋体" w:hAnsi="Times New Roman" w:cs="Times New Roman"/>
                <w:color w:val="000000" w:themeColor="text1"/>
                <w:szCs w:val="21"/>
              </w:rPr>
              <w:t>/</w:t>
            </w:r>
            <w:r>
              <w:rPr>
                <w:rFonts w:ascii="Times New Roman" w:eastAsia="宋体" w:hAnsi="Times New Roman" w:cs="Times New Roman" w:hint="eastAsia"/>
                <w:color w:val="000000" w:themeColor="text1"/>
                <w:szCs w:val="21"/>
              </w:rPr>
              <w:t>氢氯噻嗪</w:t>
            </w:r>
          </w:p>
        </w:tc>
        <w:tc>
          <w:tcPr>
            <w:tcW w:w="1314"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替米沙坦</w:t>
            </w:r>
            <w:r>
              <w:rPr>
                <w:rFonts w:ascii="Times New Roman" w:eastAsia="宋体" w:hAnsi="Times New Roman" w:cs="Times New Roman"/>
                <w:color w:val="000000" w:themeColor="text1"/>
                <w:szCs w:val="21"/>
              </w:rPr>
              <w:t>40 mg/</w:t>
            </w:r>
            <w:r>
              <w:rPr>
                <w:rFonts w:ascii="Times New Roman" w:eastAsia="宋体" w:hAnsi="Times New Roman" w:cs="Times New Roman" w:hint="eastAsia"/>
                <w:color w:val="000000" w:themeColor="text1"/>
                <w:szCs w:val="21"/>
              </w:rPr>
              <w:t>氢氯噻嗪</w:t>
            </w:r>
            <w:r>
              <w:rPr>
                <w:rFonts w:ascii="Times New Roman" w:eastAsia="宋体" w:hAnsi="Times New Roman" w:cs="Times New Roman"/>
                <w:color w:val="000000" w:themeColor="text1"/>
                <w:szCs w:val="21"/>
              </w:rPr>
              <w:t>12.5 mg</w:t>
            </w:r>
          </w:p>
        </w:tc>
        <w:tc>
          <w:tcPr>
            <w:tcW w:w="450" w:type="pct"/>
            <w:vAlign w:val="center"/>
          </w:tcPr>
          <w:p w:rsidR="002E5476" w:rsidRDefault="002E5476">
            <w:pPr>
              <w:pStyle w:val="10"/>
              <w:ind w:firstLineChars="0" w:firstLine="0"/>
              <w:rPr>
                <w:rFonts w:ascii="Times New Roman" w:eastAsia="宋体" w:hAnsi="Times New Roman" w:cs="Times New Roman"/>
                <w:color w:val="000000" w:themeColor="text1"/>
                <w:szCs w:val="21"/>
              </w:rPr>
            </w:pPr>
          </w:p>
        </w:tc>
        <w:tc>
          <w:tcPr>
            <w:tcW w:w="808"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1</w:t>
            </w:r>
            <w:r>
              <w:rPr>
                <w:rFonts w:ascii="Times New Roman" w:eastAsia="宋体" w:hAnsi="Times New Roman" w:cs="Times New Roman" w:hint="eastAsia"/>
                <w:color w:val="000000" w:themeColor="text1"/>
                <w:szCs w:val="21"/>
              </w:rPr>
              <w:t>片，</w:t>
            </w:r>
            <w:r>
              <w:rPr>
                <w:rFonts w:ascii="Times New Roman" w:eastAsia="宋体" w:hAnsi="Times New Roman" w:cs="Times New Roman"/>
                <w:color w:val="000000" w:themeColor="text1"/>
                <w:szCs w:val="21"/>
              </w:rPr>
              <w:t>qd</w:t>
            </w:r>
          </w:p>
        </w:tc>
        <w:tc>
          <w:tcPr>
            <w:tcW w:w="1617"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偶见血管神经性水肿，血钾异常</w:t>
            </w:r>
          </w:p>
        </w:tc>
      </w:tr>
      <w:tr w:rsidR="002E5476">
        <w:trPr>
          <w:trHeight w:val="502"/>
          <w:tblHeader/>
          <w:jc w:val="center"/>
        </w:trPr>
        <w:tc>
          <w:tcPr>
            <w:tcW w:w="811" w:type="pct"/>
            <w:vMerge/>
            <w:vAlign w:val="center"/>
          </w:tcPr>
          <w:p w:rsidR="002E5476" w:rsidRDefault="002E5476">
            <w:pPr>
              <w:pStyle w:val="10"/>
              <w:ind w:firstLineChars="0" w:firstLine="0"/>
              <w:rPr>
                <w:rFonts w:ascii="Times New Roman" w:eastAsia="宋体" w:hAnsi="Times New Roman" w:cs="Times New Roman"/>
                <w:color w:val="000000" w:themeColor="text1"/>
                <w:szCs w:val="21"/>
              </w:rPr>
            </w:pPr>
          </w:p>
        </w:tc>
        <w:tc>
          <w:tcPr>
            <w:tcW w:w="1314"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替米沙坦</w:t>
            </w:r>
            <w:r>
              <w:rPr>
                <w:rFonts w:ascii="Times New Roman" w:eastAsia="宋体" w:hAnsi="Times New Roman" w:cs="Times New Roman"/>
                <w:color w:val="000000" w:themeColor="text1"/>
                <w:szCs w:val="21"/>
              </w:rPr>
              <w:t>80 mg/</w:t>
            </w:r>
            <w:r>
              <w:rPr>
                <w:rFonts w:ascii="Times New Roman" w:eastAsia="宋体" w:hAnsi="Times New Roman" w:cs="Times New Roman" w:hint="eastAsia"/>
                <w:color w:val="000000" w:themeColor="text1"/>
                <w:szCs w:val="21"/>
              </w:rPr>
              <w:t>氢氯噻嗪</w:t>
            </w:r>
            <w:r>
              <w:rPr>
                <w:rFonts w:ascii="Times New Roman" w:eastAsia="宋体" w:hAnsi="Times New Roman" w:cs="Times New Roman"/>
                <w:color w:val="000000" w:themeColor="text1"/>
                <w:szCs w:val="21"/>
              </w:rPr>
              <w:t>12.5 mg</w:t>
            </w:r>
          </w:p>
        </w:tc>
        <w:tc>
          <w:tcPr>
            <w:tcW w:w="450" w:type="pct"/>
            <w:vAlign w:val="center"/>
          </w:tcPr>
          <w:p w:rsidR="002E5476" w:rsidRDefault="002E5476">
            <w:pPr>
              <w:pStyle w:val="10"/>
              <w:ind w:firstLineChars="0" w:firstLine="0"/>
              <w:rPr>
                <w:rFonts w:ascii="Times New Roman" w:eastAsia="宋体" w:hAnsi="Times New Roman" w:cs="Times New Roman"/>
                <w:color w:val="000000" w:themeColor="text1"/>
                <w:szCs w:val="21"/>
              </w:rPr>
            </w:pPr>
          </w:p>
        </w:tc>
        <w:tc>
          <w:tcPr>
            <w:tcW w:w="808"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1</w:t>
            </w:r>
            <w:r>
              <w:rPr>
                <w:rFonts w:ascii="Times New Roman" w:eastAsia="宋体" w:hAnsi="Times New Roman" w:cs="Times New Roman" w:hint="eastAsia"/>
                <w:color w:val="000000" w:themeColor="text1"/>
                <w:szCs w:val="21"/>
              </w:rPr>
              <w:t>片，</w:t>
            </w:r>
            <w:r>
              <w:rPr>
                <w:rFonts w:ascii="Times New Roman" w:eastAsia="宋体" w:hAnsi="Times New Roman" w:cs="Times New Roman"/>
                <w:color w:val="000000" w:themeColor="text1"/>
                <w:szCs w:val="21"/>
              </w:rPr>
              <w:t>qd</w:t>
            </w:r>
          </w:p>
        </w:tc>
        <w:tc>
          <w:tcPr>
            <w:tcW w:w="1617" w:type="pct"/>
            <w:vAlign w:val="center"/>
          </w:tcPr>
          <w:p w:rsidR="002E5476" w:rsidRDefault="002E5476">
            <w:pPr>
              <w:pStyle w:val="10"/>
              <w:ind w:firstLineChars="0" w:firstLine="0"/>
              <w:rPr>
                <w:rFonts w:ascii="Times New Roman" w:eastAsia="宋体" w:hAnsi="Times New Roman" w:cs="Times New Roman"/>
                <w:color w:val="000000" w:themeColor="text1"/>
                <w:szCs w:val="21"/>
              </w:rPr>
            </w:pPr>
          </w:p>
        </w:tc>
      </w:tr>
      <w:tr w:rsidR="002E5476">
        <w:trPr>
          <w:trHeight w:val="502"/>
          <w:tblHeader/>
          <w:jc w:val="center"/>
        </w:trPr>
        <w:tc>
          <w:tcPr>
            <w:tcW w:w="811"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奥美沙坦</w:t>
            </w:r>
            <w:r>
              <w:rPr>
                <w:rFonts w:ascii="Times New Roman" w:eastAsia="宋体" w:hAnsi="Times New Roman" w:cs="Times New Roman"/>
                <w:color w:val="000000" w:themeColor="text1"/>
                <w:szCs w:val="21"/>
              </w:rPr>
              <w:t>/</w:t>
            </w:r>
            <w:r>
              <w:rPr>
                <w:rFonts w:ascii="Times New Roman" w:eastAsia="宋体" w:hAnsi="Times New Roman" w:cs="Times New Roman" w:hint="eastAsia"/>
                <w:color w:val="000000" w:themeColor="text1"/>
                <w:szCs w:val="21"/>
              </w:rPr>
              <w:t>氢氯噻嗪</w:t>
            </w:r>
          </w:p>
        </w:tc>
        <w:tc>
          <w:tcPr>
            <w:tcW w:w="1314"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奥美沙坦</w:t>
            </w:r>
            <w:r>
              <w:rPr>
                <w:rFonts w:ascii="Times New Roman" w:eastAsia="宋体" w:hAnsi="Times New Roman" w:cs="Times New Roman"/>
                <w:color w:val="000000" w:themeColor="text1"/>
                <w:szCs w:val="21"/>
              </w:rPr>
              <w:t>20 mg/</w:t>
            </w:r>
            <w:r>
              <w:rPr>
                <w:rFonts w:ascii="Times New Roman" w:eastAsia="宋体" w:hAnsi="Times New Roman" w:cs="Times New Roman" w:hint="eastAsia"/>
                <w:color w:val="000000" w:themeColor="text1"/>
                <w:szCs w:val="21"/>
              </w:rPr>
              <w:t>氢氯噻嗪</w:t>
            </w:r>
            <w:r>
              <w:rPr>
                <w:rFonts w:ascii="Times New Roman" w:eastAsia="宋体" w:hAnsi="Times New Roman" w:cs="Times New Roman"/>
                <w:color w:val="000000" w:themeColor="text1"/>
                <w:szCs w:val="21"/>
              </w:rPr>
              <w:t>12.5 mg</w:t>
            </w:r>
          </w:p>
        </w:tc>
        <w:tc>
          <w:tcPr>
            <w:tcW w:w="450" w:type="pct"/>
            <w:vAlign w:val="center"/>
          </w:tcPr>
          <w:p w:rsidR="002E5476" w:rsidRDefault="002E5476">
            <w:pPr>
              <w:pStyle w:val="10"/>
              <w:ind w:firstLineChars="0" w:firstLine="0"/>
              <w:rPr>
                <w:rFonts w:ascii="Times New Roman" w:eastAsia="宋体" w:hAnsi="Times New Roman" w:cs="Times New Roman"/>
                <w:color w:val="000000" w:themeColor="text1"/>
                <w:szCs w:val="21"/>
              </w:rPr>
            </w:pPr>
          </w:p>
        </w:tc>
        <w:tc>
          <w:tcPr>
            <w:tcW w:w="808"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1</w:t>
            </w:r>
            <w:r>
              <w:rPr>
                <w:rFonts w:ascii="Times New Roman" w:eastAsia="宋体" w:hAnsi="Times New Roman" w:cs="Times New Roman" w:hint="eastAsia"/>
                <w:color w:val="000000" w:themeColor="text1"/>
                <w:szCs w:val="21"/>
              </w:rPr>
              <w:t>片，</w:t>
            </w:r>
            <w:r>
              <w:rPr>
                <w:rFonts w:ascii="Times New Roman" w:eastAsia="宋体" w:hAnsi="Times New Roman" w:cs="Times New Roman"/>
                <w:color w:val="000000" w:themeColor="text1"/>
                <w:szCs w:val="21"/>
              </w:rPr>
              <w:t>qd</w:t>
            </w:r>
          </w:p>
        </w:tc>
        <w:tc>
          <w:tcPr>
            <w:tcW w:w="1617"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偶见血管神经性水肿，血钾异常</w:t>
            </w:r>
          </w:p>
        </w:tc>
      </w:tr>
      <w:tr w:rsidR="002E5476">
        <w:trPr>
          <w:trHeight w:val="502"/>
          <w:tblHeader/>
          <w:jc w:val="center"/>
        </w:trPr>
        <w:tc>
          <w:tcPr>
            <w:tcW w:w="811"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卡托普利</w:t>
            </w:r>
            <w:r>
              <w:rPr>
                <w:rFonts w:ascii="Times New Roman" w:eastAsia="宋体" w:hAnsi="Times New Roman" w:cs="Times New Roman"/>
                <w:color w:val="000000" w:themeColor="text1"/>
                <w:szCs w:val="21"/>
              </w:rPr>
              <w:t>/</w:t>
            </w:r>
            <w:r>
              <w:rPr>
                <w:rFonts w:ascii="Times New Roman" w:eastAsia="宋体" w:hAnsi="Times New Roman" w:cs="Times New Roman" w:hint="eastAsia"/>
                <w:color w:val="000000" w:themeColor="text1"/>
                <w:szCs w:val="21"/>
              </w:rPr>
              <w:t>氢氯噻嗪</w:t>
            </w:r>
          </w:p>
        </w:tc>
        <w:tc>
          <w:tcPr>
            <w:tcW w:w="1314"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卡托普利</w:t>
            </w:r>
            <w:r>
              <w:rPr>
                <w:rFonts w:ascii="Times New Roman" w:eastAsia="宋体" w:hAnsi="Times New Roman" w:cs="Times New Roman"/>
                <w:color w:val="000000" w:themeColor="text1"/>
                <w:szCs w:val="21"/>
              </w:rPr>
              <w:t>10 mg/</w:t>
            </w:r>
            <w:r>
              <w:rPr>
                <w:rFonts w:ascii="Times New Roman" w:eastAsia="宋体" w:hAnsi="Times New Roman" w:cs="Times New Roman" w:hint="eastAsia"/>
                <w:color w:val="000000" w:themeColor="text1"/>
                <w:szCs w:val="21"/>
              </w:rPr>
              <w:t>氢氯噻嗪</w:t>
            </w:r>
            <w:r>
              <w:rPr>
                <w:rFonts w:ascii="Times New Roman" w:eastAsia="宋体" w:hAnsi="Times New Roman" w:cs="Times New Roman"/>
                <w:color w:val="000000" w:themeColor="text1"/>
                <w:szCs w:val="21"/>
              </w:rPr>
              <w:t>6 mg</w:t>
            </w:r>
          </w:p>
        </w:tc>
        <w:tc>
          <w:tcPr>
            <w:tcW w:w="450" w:type="pct"/>
            <w:vAlign w:val="center"/>
          </w:tcPr>
          <w:p w:rsidR="002E5476" w:rsidRDefault="002E5476">
            <w:pPr>
              <w:pStyle w:val="10"/>
              <w:ind w:firstLineChars="0" w:firstLine="0"/>
              <w:rPr>
                <w:rFonts w:ascii="Times New Roman" w:eastAsia="宋体" w:hAnsi="Times New Roman" w:cs="Times New Roman"/>
                <w:color w:val="000000" w:themeColor="text1"/>
                <w:szCs w:val="21"/>
              </w:rPr>
            </w:pPr>
          </w:p>
        </w:tc>
        <w:tc>
          <w:tcPr>
            <w:tcW w:w="808"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1</w:t>
            </w:r>
            <w:r>
              <w:rPr>
                <w:rFonts w:ascii="Times New Roman" w:eastAsia="宋体" w:hAnsi="Times New Roman" w:cs="Times New Roman" w:hint="eastAsia"/>
                <w:color w:val="000000" w:themeColor="text1"/>
                <w:szCs w:val="21"/>
              </w:rPr>
              <w:t>至</w:t>
            </w:r>
            <w:r>
              <w:rPr>
                <w:rFonts w:ascii="Times New Roman" w:eastAsia="宋体" w:hAnsi="Times New Roman" w:cs="Times New Roman"/>
                <w:color w:val="000000" w:themeColor="text1"/>
                <w:szCs w:val="21"/>
              </w:rPr>
              <w:t>2</w:t>
            </w:r>
            <w:r>
              <w:rPr>
                <w:rFonts w:ascii="Times New Roman" w:eastAsia="宋体" w:hAnsi="Times New Roman" w:cs="Times New Roman" w:hint="eastAsia"/>
                <w:color w:val="000000" w:themeColor="text1"/>
                <w:szCs w:val="21"/>
              </w:rPr>
              <w:t>片，</w:t>
            </w:r>
            <w:r>
              <w:rPr>
                <w:rFonts w:ascii="Times New Roman" w:eastAsia="宋体" w:hAnsi="Times New Roman" w:cs="Times New Roman"/>
                <w:color w:val="000000" w:themeColor="text1"/>
                <w:szCs w:val="21"/>
              </w:rPr>
              <w:t>qd</w:t>
            </w:r>
            <w:r>
              <w:rPr>
                <w:rFonts w:ascii="Times New Roman" w:eastAsia="宋体" w:hAnsi="Times New Roman" w:cs="Times New Roman" w:hint="eastAsia"/>
                <w:color w:val="000000" w:themeColor="text1"/>
                <w:szCs w:val="21"/>
              </w:rPr>
              <w:t>至</w:t>
            </w:r>
            <w:r>
              <w:rPr>
                <w:rFonts w:ascii="Times New Roman" w:eastAsia="宋体" w:hAnsi="Times New Roman" w:cs="Times New Roman"/>
                <w:color w:val="000000" w:themeColor="text1"/>
                <w:szCs w:val="21"/>
              </w:rPr>
              <w:t>bid</w:t>
            </w:r>
          </w:p>
        </w:tc>
        <w:tc>
          <w:tcPr>
            <w:tcW w:w="1617"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咳嗽，偶见血管神经性水肿，血钾异常</w:t>
            </w:r>
          </w:p>
        </w:tc>
      </w:tr>
      <w:tr w:rsidR="002E5476">
        <w:trPr>
          <w:trHeight w:val="90"/>
          <w:tblHeader/>
          <w:jc w:val="center"/>
        </w:trPr>
        <w:tc>
          <w:tcPr>
            <w:tcW w:w="811"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赖诺普利</w:t>
            </w:r>
            <w:r>
              <w:rPr>
                <w:rFonts w:ascii="Times New Roman" w:eastAsia="宋体" w:hAnsi="Times New Roman" w:cs="Times New Roman"/>
                <w:color w:val="000000" w:themeColor="text1"/>
                <w:szCs w:val="21"/>
              </w:rPr>
              <w:t>/</w:t>
            </w:r>
            <w:r>
              <w:rPr>
                <w:rFonts w:ascii="Times New Roman" w:eastAsia="宋体" w:hAnsi="Times New Roman" w:cs="Times New Roman" w:hint="eastAsia"/>
                <w:color w:val="000000" w:themeColor="text1"/>
                <w:szCs w:val="21"/>
              </w:rPr>
              <w:t>氢氯噻嗪片</w:t>
            </w:r>
          </w:p>
        </w:tc>
        <w:tc>
          <w:tcPr>
            <w:tcW w:w="1314"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赖诺普利</w:t>
            </w:r>
            <w:r>
              <w:rPr>
                <w:rFonts w:ascii="Times New Roman" w:eastAsia="宋体" w:hAnsi="Times New Roman" w:cs="Times New Roman"/>
                <w:color w:val="000000" w:themeColor="text1"/>
                <w:szCs w:val="21"/>
              </w:rPr>
              <w:t>10 mg/</w:t>
            </w:r>
            <w:r>
              <w:rPr>
                <w:rFonts w:ascii="Times New Roman" w:eastAsia="宋体" w:hAnsi="Times New Roman" w:cs="Times New Roman" w:hint="eastAsia"/>
                <w:color w:val="000000" w:themeColor="text1"/>
                <w:szCs w:val="21"/>
              </w:rPr>
              <w:t>氢氯噻嗪</w:t>
            </w:r>
            <w:r>
              <w:rPr>
                <w:rFonts w:ascii="Times New Roman" w:eastAsia="宋体" w:hAnsi="Times New Roman" w:cs="Times New Roman"/>
                <w:color w:val="000000" w:themeColor="text1"/>
                <w:szCs w:val="21"/>
              </w:rPr>
              <w:t>12.5 mg</w:t>
            </w:r>
          </w:p>
        </w:tc>
        <w:tc>
          <w:tcPr>
            <w:tcW w:w="450" w:type="pct"/>
            <w:vAlign w:val="center"/>
          </w:tcPr>
          <w:p w:rsidR="002E5476" w:rsidRDefault="002E5476">
            <w:pPr>
              <w:pStyle w:val="10"/>
              <w:ind w:firstLineChars="0" w:firstLine="0"/>
              <w:rPr>
                <w:rFonts w:ascii="Times New Roman" w:eastAsia="宋体" w:hAnsi="Times New Roman" w:cs="Times New Roman"/>
                <w:color w:val="000000" w:themeColor="text1"/>
                <w:szCs w:val="21"/>
              </w:rPr>
            </w:pPr>
          </w:p>
        </w:tc>
        <w:tc>
          <w:tcPr>
            <w:tcW w:w="808"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1</w:t>
            </w:r>
            <w:r>
              <w:rPr>
                <w:rFonts w:ascii="Times New Roman" w:eastAsia="宋体" w:hAnsi="Times New Roman" w:cs="Times New Roman" w:hint="eastAsia"/>
                <w:color w:val="000000" w:themeColor="text1"/>
                <w:szCs w:val="21"/>
              </w:rPr>
              <w:t>片，</w:t>
            </w:r>
            <w:r>
              <w:rPr>
                <w:rFonts w:ascii="Times New Roman" w:eastAsia="宋体" w:hAnsi="Times New Roman" w:cs="Times New Roman"/>
                <w:color w:val="000000" w:themeColor="text1"/>
                <w:szCs w:val="21"/>
              </w:rPr>
              <w:t>qd</w:t>
            </w:r>
          </w:p>
        </w:tc>
        <w:tc>
          <w:tcPr>
            <w:tcW w:w="1617"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咳嗽，偶见血管神经性水肿，血钾异常</w:t>
            </w:r>
          </w:p>
        </w:tc>
      </w:tr>
      <w:tr w:rsidR="002E5476">
        <w:trPr>
          <w:trHeight w:val="502"/>
          <w:tblHeader/>
          <w:jc w:val="center"/>
        </w:trPr>
        <w:tc>
          <w:tcPr>
            <w:tcW w:w="811"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复方依那普利片</w:t>
            </w:r>
          </w:p>
        </w:tc>
        <w:tc>
          <w:tcPr>
            <w:tcW w:w="1314"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依那普利</w:t>
            </w:r>
            <w:r>
              <w:rPr>
                <w:rFonts w:ascii="Times New Roman" w:eastAsia="宋体" w:hAnsi="Times New Roman" w:cs="Times New Roman"/>
                <w:color w:val="000000" w:themeColor="text1"/>
                <w:szCs w:val="21"/>
              </w:rPr>
              <w:t>5 mg/</w:t>
            </w:r>
            <w:r>
              <w:rPr>
                <w:rFonts w:ascii="Times New Roman" w:eastAsia="宋体" w:hAnsi="Times New Roman" w:cs="Times New Roman" w:hint="eastAsia"/>
                <w:color w:val="000000" w:themeColor="text1"/>
                <w:szCs w:val="21"/>
              </w:rPr>
              <w:t>氢氯噻嗪</w:t>
            </w:r>
            <w:r>
              <w:rPr>
                <w:rFonts w:ascii="Times New Roman" w:eastAsia="宋体" w:hAnsi="Times New Roman" w:cs="Times New Roman"/>
                <w:color w:val="000000" w:themeColor="text1"/>
                <w:szCs w:val="21"/>
              </w:rPr>
              <w:t>12.5 mg</w:t>
            </w:r>
          </w:p>
        </w:tc>
        <w:tc>
          <w:tcPr>
            <w:tcW w:w="450" w:type="pct"/>
            <w:vAlign w:val="center"/>
          </w:tcPr>
          <w:p w:rsidR="002E5476" w:rsidRDefault="002E5476">
            <w:pPr>
              <w:pStyle w:val="10"/>
              <w:ind w:firstLineChars="0" w:firstLine="0"/>
              <w:rPr>
                <w:rFonts w:ascii="Times New Roman" w:eastAsia="宋体" w:hAnsi="Times New Roman" w:cs="Times New Roman"/>
                <w:color w:val="000000" w:themeColor="text1"/>
                <w:szCs w:val="21"/>
              </w:rPr>
            </w:pPr>
          </w:p>
        </w:tc>
        <w:tc>
          <w:tcPr>
            <w:tcW w:w="808"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1</w:t>
            </w:r>
            <w:r>
              <w:rPr>
                <w:rFonts w:ascii="Times New Roman" w:eastAsia="宋体" w:hAnsi="Times New Roman" w:cs="Times New Roman" w:hint="eastAsia"/>
                <w:color w:val="000000" w:themeColor="text1"/>
                <w:szCs w:val="21"/>
              </w:rPr>
              <w:t>片，</w:t>
            </w:r>
            <w:r>
              <w:rPr>
                <w:rFonts w:ascii="Times New Roman" w:eastAsia="宋体" w:hAnsi="Times New Roman" w:cs="Times New Roman"/>
                <w:color w:val="000000" w:themeColor="text1"/>
                <w:szCs w:val="21"/>
              </w:rPr>
              <w:t>qd</w:t>
            </w:r>
          </w:p>
        </w:tc>
        <w:tc>
          <w:tcPr>
            <w:tcW w:w="1617"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咳嗽，偶见血管神经性水肿，血钾异常</w:t>
            </w:r>
          </w:p>
        </w:tc>
      </w:tr>
      <w:tr w:rsidR="002E5476">
        <w:trPr>
          <w:trHeight w:val="502"/>
          <w:tblHeader/>
          <w:jc w:val="center"/>
        </w:trPr>
        <w:tc>
          <w:tcPr>
            <w:tcW w:w="811"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贝那普利</w:t>
            </w:r>
            <w:r>
              <w:rPr>
                <w:rFonts w:ascii="Times New Roman" w:eastAsia="宋体" w:hAnsi="Times New Roman" w:cs="Times New Roman"/>
                <w:color w:val="000000" w:themeColor="text1"/>
                <w:szCs w:val="21"/>
              </w:rPr>
              <w:t>/</w:t>
            </w:r>
            <w:r>
              <w:rPr>
                <w:rFonts w:ascii="Times New Roman" w:eastAsia="宋体" w:hAnsi="Times New Roman" w:cs="Times New Roman" w:hint="eastAsia"/>
                <w:color w:val="000000" w:themeColor="text1"/>
                <w:szCs w:val="21"/>
              </w:rPr>
              <w:t>氢氯噻嗪</w:t>
            </w:r>
          </w:p>
        </w:tc>
        <w:tc>
          <w:tcPr>
            <w:tcW w:w="1314"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贝那普利</w:t>
            </w:r>
            <w:r>
              <w:rPr>
                <w:rFonts w:ascii="Times New Roman" w:eastAsia="宋体" w:hAnsi="Times New Roman" w:cs="Times New Roman"/>
                <w:color w:val="000000" w:themeColor="text1"/>
                <w:szCs w:val="21"/>
              </w:rPr>
              <w:t>10 mg/</w:t>
            </w:r>
            <w:r>
              <w:rPr>
                <w:rFonts w:ascii="Times New Roman" w:eastAsia="宋体" w:hAnsi="Times New Roman" w:cs="Times New Roman" w:hint="eastAsia"/>
                <w:color w:val="000000" w:themeColor="text1"/>
                <w:szCs w:val="21"/>
              </w:rPr>
              <w:t>氢氯噻嗪</w:t>
            </w:r>
            <w:r>
              <w:rPr>
                <w:rFonts w:ascii="Times New Roman" w:eastAsia="宋体" w:hAnsi="Times New Roman" w:cs="Times New Roman"/>
                <w:color w:val="000000" w:themeColor="text1"/>
                <w:szCs w:val="21"/>
              </w:rPr>
              <w:t>12.5 mg</w:t>
            </w:r>
          </w:p>
        </w:tc>
        <w:tc>
          <w:tcPr>
            <w:tcW w:w="450" w:type="pct"/>
            <w:vAlign w:val="center"/>
          </w:tcPr>
          <w:p w:rsidR="002E5476" w:rsidRDefault="002E5476">
            <w:pPr>
              <w:pStyle w:val="10"/>
              <w:ind w:firstLineChars="0" w:firstLine="0"/>
              <w:rPr>
                <w:rFonts w:ascii="Times New Roman" w:eastAsia="宋体" w:hAnsi="Times New Roman" w:cs="Times New Roman"/>
                <w:color w:val="000000" w:themeColor="text1"/>
                <w:szCs w:val="21"/>
              </w:rPr>
            </w:pPr>
          </w:p>
        </w:tc>
        <w:tc>
          <w:tcPr>
            <w:tcW w:w="808"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1</w:t>
            </w:r>
            <w:r>
              <w:rPr>
                <w:rFonts w:ascii="Times New Roman" w:eastAsia="宋体" w:hAnsi="Times New Roman" w:cs="Times New Roman" w:hint="eastAsia"/>
                <w:color w:val="000000" w:themeColor="text1"/>
                <w:szCs w:val="21"/>
              </w:rPr>
              <w:t>片，</w:t>
            </w:r>
            <w:r>
              <w:rPr>
                <w:rFonts w:ascii="Times New Roman" w:eastAsia="宋体" w:hAnsi="Times New Roman" w:cs="Times New Roman"/>
                <w:color w:val="000000" w:themeColor="text1"/>
                <w:szCs w:val="21"/>
              </w:rPr>
              <w:t>qd</w:t>
            </w:r>
          </w:p>
        </w:tc>
        <w:tc>
          <w:tcPr>
            <w:tcW w:w="1617"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咳嗽，偶见血管神经性水肿，血钾异常</w:t>
            </w:r>
          </w:p>
        </w:tc>
      </w:tr>
      <w:tr w:rsidR="002E5476">
        <w:trPr>
          <w:trHeight w:val="502"/>
          <w:tblHeader/>
          <w:jc w:val="center"/>
        </w:trPr>
        <w:tc>
          <w:tcPr>
            <w:tcW w:w="811"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培哚普利</w:t>
            </w:r>
            <w:r>
              <w:rPr>
                <w:rFonts w:ascii="Times New Roman" w:eastAsia="宋体" w:hAnsi="Times New Roman" w:cs="Times New Roman"/>
                <w:color w:val="000000" w:themeColor="text1"/>
                <w:szCs w:val="21"/>
              </w:rPr>
              <w:t>/</w:t>
            </w:r>
            <w:r>
              <w:rPr>
                <w:rFonts w:ascii="Times New Roman" w:eastAsia="宋体" w:hAnsi="Times New Roman" w:cs="Times New Roman" w:hint="eastAsia"/>
                <w:color w:val="000000" w:themeColor="text1"/>
                <w:szCs w:val="21"/>
              </w:rPr>
              <w:t>吲达帕胺</w:t>
            </w:r>
          </w:p>
        </w:tc>
        <w:tc>
          <w:tcPr>
            <w:tcW w:w="1314"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培哚普利</w:t>
            </w:r>
            <w:r>
              <w:rPr>
                <w:rFonts w:ascii="Times New Roman" w:eastAsia="宋体" w:hAnsi="Times New Roman" w:cs="Times New Roman"/>
                <w:color w:val="000000" w:themeColor="text1"/>
                <w:szCs w:val="21"/>
              </w:rPr>
              <w:t>4 mg/</w:t>
            </w:r>
            <w:r>
              <w:rPr>
                <w:rFonts w:ascii="Times New Roman" w:eastAsia="宋体" w:hAnsi="Times New Roman" w:cs="Times New Roman" w:hint="eastAsia"/>
                <w:color w:val="000000" w:themeColor="text1"/>
                <w:szCs w:val="21"/>
              </w:rPr>
              <w:t>吲达帕胺</w:t>
            </w:r>
            <w:r>
              <w:rPr>
                <w:rFonts w:ascii="Times New Roman" w:eastAsia="宋体" w:hAnsi="Times New Roman" w:cs="Times New Roman"/>
                <w:color w:val="000000" w:themeColor="text1"/>
                <w:szCs w:val="21"/>
              </w:rPr>
              <w:t>1.25 mg</w:t>
            </w:r>
          </w:p>
        </w:tc>
        <w:tc>
          <w:tcPr>
            <w:tcW w:w="450" w:type="pct"/>
            <w:vAlign w:val="center"/>
          </w:tcPr>
          <w:p w:rsidR="002E5476" w:rsidRDefault="002E5476">
            <w:pPr>
              <w:pStyle w:val="10"/>
              <w:ind w:firstLineChars="0" w:firstLine="0"/>
              <w:rPr>
                <w:rFonts w:ascii="Times New Roman" w:eastAsia="宋体" w:hAnsi="Times New Roman" w:cs="Times New Roman"/>
                <w:color w:val="000000" w:themeColor="text1"/>
                <w:szCs w:val="21"/>
              </w:rPr>
            </w:pPr>
          </w:p>
        </w:tc>
        <w:tc>
          <w:tcPr>
            <w:tcW w:w="808"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1</w:t>
            </w:r>
            <w:r>
              <w:rPr>
                <w:rFonts w:ascii="Times New Roman" w:eastAsia="宋体" w:hAnsi="Times New Roman" w:cs="Times New Roman" w:hint="eastAsia"/>
                <w:color w:val="000000" w:themeColor="text1"/>
                <w:szCs w:val="21"/>
              </w:rPr>
              <w:t>片，</w:t>
            </w:r>
            <w:r>
              <w:rPr>
                <w:rFonts w:ascii="Times New Roman" w:eastAsia="宋体" w:hAnsi="Times New Roman" w:cs="Times New Roman"/>
                <w:color w:val="000000" w:themeColor="text1"/>
                <w:szCs w:val="21"/>
              </w:rPr>
              <w:t>qd</w:t>
            </w:r>
          </w:p>
        </w:tc>
        <w:tc>
          <w:tcPr>
            <w:tcW w:w="1617"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咳嗽，偶见血管神经性水肿，血钾异常</w:t>
            </w:r>
          </w:p>
        </w:tc>
      </w:tr>
      <w:tr w:rsidR="002E5476">
        <w:trPr>
          <w:trHeight w:val="502"/>
          <w:tblHeader/>
          <w:jc w:val="center"/>
        </w:trPr>
        <w:tc>
          <w:tcPr>
            <w:tcW w:w="811"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培哚普利</w:t>
            </w:r>
            <w:r>
              <w:rPr>
                <w:rFonts w:ascii="Times New Roman" w:eastAsia="宋体" w:hAnsi="Times New Roman" w:cs="Times New Roman"/>
                <w:color w:val="000000" w:themeColor="text1"/>
                <w:szCs w:val="21"/>
              </w:rPr>
              <w:t>/</w:t>
            </w:r>
            <w:r>
              <w:rPr>
                <w:rFonts w:ascii="Times New Roman" w:eastAsia="宋体" w:hAnsi="Times New Roman" w:cs="Times New Roman" w:hint="eastAsia"/>
                <w:color w:val="000000" w:themeColor="text1"/>
                <w:szCs w:val="21"/>
              </w:rPr>
              <w:t>氨氯地平</w:t>
            </w:r>
          </w:p>
        </w:tc>
        <w:tc>
          <w:tcPr>
            <w:tcW w:w="1314"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精氨酸培哚普利</w:t>
            </w:r>
            <w:r>
              <w:rPr>
                <w:rFonts w:ascii="Times New Roman" w:eastAsia="宋体" w:hAnsi="Times New Roman" w:cs="Times New Roman"/>
                <w:color w:val="000000" w:themeColor="text1"/>
                <w:szCs w:val="21"/>
              </w:rPr>
              <w:t>10 mg/</w:t>
            </w:r>
            <w:r>
              <w:rPr>
                <w:rFonts w:ascii="Times New Roman" w:eastAsia="宋体" w:hAnsi="Times New Roman" w:cs="Times New Roman" w:hint="eastAsia"/>
                <w:color w:val="000000" w:themeColor="text1"/>
                <w:szCs w:val="21"/>
              </w:rPr>
              <w:t>苯磺酸氨氯地平</w:t>
            </w:r>
            <w:r>
              <w:rPr>
                <w:rFonts w:ascii="Times New Roman" w:eastAsia="宋体" w:hAnsi="Times New Roman" w:cs="Times New Roman"/>
                <w:color w:val="000000" w:themeColor="text1"/>
                <w:szCs w:val="21"/>
              </w:rPr>
              <w:t>5 mg</w:t>
            </w:r>
          </w:p>
        </w:tc>
        <w:tc>
          <w:tcPr>
            <w:tcW w:w="450" w:type="pct"/>
            <w:vAlign w:val="center"/>
          </w:tcPr>
          <w:p w:rsidR="002E5476" w:rsidRDefault="002E5476">
            <w:pPr>
              <w:pStyle w:val="10"/>
              <w:ind w:firstLineChars="0" w:firstLine="0"/>
              <w:rPr>
                <w:rFonts w:ascii="Times New Roman" w:eastAsia="宋体" w:hAnsi="Times New Roman" w:cs="Times New Roman"/>
                <w:color w:val="000000" w:themeColor="text1"/>
                <w:szCs w:val="21"/>
              </w:rPr>
            </w:pPr>
          </w:p>
        </w:tc>
        <w:tc>
          <w:tcPr>
            <w:tcW w:w="808"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1</w:t>
            </w:r>
            <w:r>
              <w:rPr>
                <w:rFonts w:ascii="Times New Roman" w:eastAsia="宋体" w:hAnsi="Times New Roman" w:cs="Times New Roman" w:hint="eastAsia"/>
                <w:color w:val="000000" w:themeColor="text1"/>
                <w:szCs w:val="21"/>
              </w:rPr>
              <w:t>片，</w:t>
            </w:r>
            <w:r>
              <w:rPr>
                <w:rFonts w:ascii="Times New Roman" w:eastAsia="宋体" w:hAnsi="Times New Roman" w:cs="Times New Roman"/>
                <w:color w:val="000000" w:themeColor="text1"/>
                <w:szCs w:val="21"/>
              </w:rPr>
              <w:t>qd</w:t>
            </w:r>
          </w:p>
        </w:tc>
        <w:tc>
          <w:tcPr>
            <w:tcW w:w="1617"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头晕，头痛，咳嗽</w:t>
            </w:r>
          </w:p>
        </w:tc>
      </w:tr>
      <w:tr w:rsidR="002E5476">
        <w:trPr>
          <w:trHeight w:val="502"/>
          <w:tblHeader/>
          <w:jc w:val="center"/>
        </w:trPr>
        <w:tc>
          <w:tcPr>
            <w:tcW w:w="811"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氨氯地平</w:t>
            </w:r>
            <w:r>
              <w:rPr>
                <w:rFonts w:ascii="Times New Roman" w:eastAsia="宋体" w:hAnsi="Times New Roman" w:cs="Times New Roman"/>
                <w:color w:val="000000" w:themeColor="text1"/>
                <w:szCs w:val="21"/>
              </w:rPr>
              <w:t>/</w:t>
            </w:r>
            <w:r>
              <w:rPr>
                <w:rFonts w:ascii="Times New Roman" w:eastAsia="宋体" w:hAnsi="Times New Roman" w:cs="Times New Roman" w:hint="eastAsia"/>
                <w:color w:val="000000" w:themeColor="text1"/>
                <w:szCs w:val="21"/>
              </w:rPr>
              <w:t>缬沙坦</w:t>
            </w:r>
          </w:p>
        </w:tc>
        <w:tc>
          <w:tcPr>
            <w:tcW w:w="1314"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氨氯地平</w:t>
            </w:r>
            <w:r>
              <w:rPr>
                <w:rFonts w:ascii="Times New Roman" w:eastAsia="宋体" w:hAnsi="Times New Roman" w:cs="Times New Roman"/>
                <w:color w:val="000000" w:themeColor="text1"/>
                <w:szCs w:val="21"/>
              </w:rPr>
              <w:t>5 mg/</w:t>
            </w:r>
            <w:r>
              <w:rPr>
                <w:rFonts w:ascii="Times New Roman" w:eastAsia="宋体" w:hAnsi="Times New Roman" w:cs="Times New Roman" w:hint="eastAsia"/>
                <w:color w:val="000000" w:themeColor="text1"/>
                <w:szCs w:val="21"/>
              </w:rPr>
              <w:t>缬沙坦</w:t>
            </w:r>
            <w:r>
              <w:rPr>
                <w:rFonts w:ascii="Times New Roman" w:eastAsia="宋体" w:hAnsi="Times New Roman" w:cs="Times New Roman"/>
                <w:color w:val="000000" w:themeColor="text1"/>
                <w:szCs w:val="21"/>
              </w:rPr>
              <w:t>80 mg</w:t>
            </w:r>
          </w:p>
        </w:tc>
        <w:tc>
          <w:tcPr>
            <w:tcW w:w="450" w:type="pct"/>
            <w:vAlign w:val="center"/>
          </w:tcPr>
          <w:p w:rsidR="002E5476" w:rsidRDefault="002E5476">
            <w:pPr>
              <w:pStyle w:val="10"/>
              <w:ind w:firstLineChars="0" w:firstLine="0"/>
              <w:rPr>
                <w:rFonts w:ascii="Times New Roman" w:eastAsia="宋体" w:hAnsi="Times New Roman" w:cs="Times New Roman"/>
                <w:color w:val="000000" w:themeColor="text1"/>
                <w:szCs w:val="21"/>
              </w:rPr>
            </w:pPr>
          </w:p>
        </w:tc>
        <w:tc>
          <w:tcPr>
            <w:tcW w:w="808"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1</w:t>
            </w:r>
            <w:r>
              <w:rPr>
                <w:rFonts w:ascii="Times New Roman" w:eastAsia="宋体" w:hAnsi="Times New Roman" w:cs="Times New Roman" w:hint="eastAsia"/>
                <w:color w:val="000000" w:themeColor="text1"/>
                <w:szCs w:val="21"/>
              </w:rPr>
              <w:t>片，</w:t>
            </w:r>
            <w:r>
              <w:rPr>
                <w:rFonts w:ascii="Times New Roman" w:eastAsia="宋体" w:hAnsi="Times New Roman" w:cs="Times New Roman"/>
                <w:color w:val="000000" w:themeColor="text1"/>
                <w:szCs w:val="21"/>
              </w:rPr>
              <w:t>qd</w:t>
            </w:r>
          </w:p>
        </w:tc>
        <w:tc>
          <w:tcPr>
            <w:tcW w:w="1617"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头痛，踝部水肿，偶见血管神经性水肿</w:t>
            </w:r>
          </w:p>
        </w:tc>
      </w:tr>
      <w:tr w:rsidR="002E5476">
        <w:trPr>
          <w:trHeight w:val="502"/>
          <w:tblHeader/>
          <w:jc w:val="center"/>
        </w:trPr>
        <w:tc>
          <w:tcPr>
            <w:tcW w:w="811"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lastRenderedPageBreak/>
              <w:t>氨氯地平</w:t>
            </w:r>
            <w:r>
              <w:rPr>
                <w:rFonts w:ascii="Times New Roman" w:eastAsia="宋体" w:hAnsi="Times New Roman" w:cs="Times New Roman"/>
                <w:color w:val="000000" w:themeColor="text1"/>
                <w:szCs w:val="21"/>
              </w:rPr>
              <w:t>/</w:t>
            </w:r>
            <w:r>
              <w:rPr>
                <w:rFonts w:ascii="Times New Roman" w:eastAsia="宋体" w:hAnsi="Times New Roman" w:cs="Times New Roman" w:hint="eastAsia"/>
                <w:color w:val="000000" w:themeColor="text1"/>
                <w:szCs w:val="21"/>
              </w:rPr>
              <w:t>替米沙坦</w:t>
            </w:r>
          </w:p>
        </w:tc>
        <w:tc>
          <w:tcPr>
            <w:tcW w:w="1314"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氨氯地平</w:t>
            </w:r>
            <w:r>
              <w:rPr>
                <w:rFonts w:ascii="Times New Roman" w:eastAsia="宋体" w:hAnsi="Times New Roman" w:cs="Times New Roman"/>
                <w:color w:val="000000" w:themeColor="text1"/>
                <w:szCs w:val="21"/>
              </w:rPr>
              <w:t>5 mg/</w:t>
            </w:r>
            <w:r>
              <w:rPr>
                <w:rFonts w:ascii="Times New Roman" w:eastAsia="宋体" w:hAnsi="Times New Roman" w:cs="Times New Roman" w:hint="eastAsia"/>
                <w:color w:val="000000" w:themeColor="text1"/>
                <w:szCs w:val="21"/>
              </w:rPr>
              <w:t>替米沙坦</w:t>
            </w:r>
            <w:r>
              <w:rPr>
                <w:rFonts w:ascii="Times New Roman" w:eastAsia="宋体" w:hAnsi="Times New Roman" w:cs="Times New Roman"/>
                <w:color w:val="000000" w:themeColor="text1"/>
                <w:szCs w:val="21"/>
              </w:rPr>
              <w:t>80 mg</w:t>
            </w:r>
          </w:p>
        </w:tc>
        <w:tc>
          <w:tcPr>
            <w:tcW w:w="450" w:type="pct"/>
            <w:vAlign w:val="center"/>
          </w:tcPr>
          <w:p w:rsidR="002E5476" w:rsidRDefault="002E5476">
            <w:pPr>
              <w:pStyle w:val="10"/>
              <w:ind w:firstLineChars="0" w:firstLine="0"/>
              <w:rPr>
                <w:rFonts w:ascii="Times New Roman" w:eastAsia="宋体" w:hAnsi="Times New Roman" w:cs="Times New Roman"/>
                <w:color w:val="000000" w:themeColor="text1"/>
                <w:szCs w:val="21"/>
              </w:rPr>
            </w:pPr>
          </w:p>
        </w:tc>
        <w:tc>
          <w:tcPr>
            <w:tcW w:w="808"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1</w:t>
            </w:r>
            <w:r>
              <w:rPr>
                <w:rFonts w:ascii="Times New Roman" w:eastAsia="宋体" w:hAnsi="Times New Roman" w:cs="Times New Roman" w:hint="eastAsia"/>
                <w:color w:val="000000" w:themeColor="text1"/>
                <w:szCs w:val="21"/>
              </w:rPr>
              <w:t>片，</w:t>
            </w:r>
            <w:r>
              <w:rPr>
                <w:rFonts w:ascii="Times New Roman" w:eastAsia="宋体" w:hAnsi="Times New Roman" w:cs="Times New Roman"/>
                <w:color w:val="000000" w:themeColor="text1"/>
                <w:szCs w:val="21"/>
              </w:rPr>
              <w:t>qd</w:t>
            </w:r>
          </w:p>
        </w:tc>
        <w:tc>
          <w:tcPr>
            <w:tcW w:w="1617"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头痛，踝部水肿，偶见血管神经性水肿</w:t>
            </w:r>
          </w:p>
        </w:tc>
      </w:tr>
      <w:tr w:rsidR="002E5476">
        <w:trPr>
          <w:trHeight w:val="502"/>
          <w:tblHeader/>
          <w:jc w:val="center"/>
        </w:trPr>
        <w:tc>
          <w:tcPr>
            <w:tcW w:w="811" w:type="pct"/>
            <w:vMerge w:val="restar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氨氯地平</w:t>
            </w:r>
            <w:r>
              <w:rPr>
                <w:rFonts w:ascii="Times New Roman" w:eastAsia="宋体" w:hAnsi="Times New Roman" w:cs="Times New Roman"/>
                <w:color w:val="000000" w:themeColor="text1"/>
                <w:szCs w:val="21"/>
              </w:rPr>
              <w:t>/</w:t>
            </w:r>
            <w:r>
              <w:rPr>
                <w:rFonts w:ascii="Times New Roman" w:eastAsia="宋体" w:hAnsi="Times New Roman" w:cs="Times New Roman" w:hint="eastAsia"/>
                <w:color w:val="000000" w:themeColor="text1"/>
                <w:szCs w:val="21"/>
              </w:rPr>
              <w:t>贝那普利</w:t>
            </w:r>
          </w:p>
        </w:tc>
        <w:tc>
          <w:tcPr>
            <w:tcW w:w="1314"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氨氯地平</w:t>
            </w:r>
            <w:r>
              <w:rPr>
                <w:rFonts w:ascii="Times New Roman" w:eastAsia="宋体" w:hAnsi="Times New Roman" w:cs="Times New Roman"/>
                <w:color w:val="000000" w:themeColor="text1"/>
                <w:szCs w:val="21"/>
              </w:rPr>
              <w:t>5 mg/</w:t>
            </w:r>
            <w:r>
              <w:rPr>
                <w:rFonts w:ascii="Times New Roman" w:eastAsia="宋体" w:hAnsi="Times New Roman" w:cs="Times New Roman" w:hint="eastAsia"/>
                <w:color w:val="000000" w:themeColor="text1"/>
                <w:szCs w:val="21"/>
              </w:rPr>
              <w:t>贝那普利</w:t>
            </w:r>
            <w:r>
              <w:rPr>
                <w:rFonts w:ascii="Times New Roman" w:eastAsia="宋体" w:hAnsi="Times New Roman" w:cs="Times New Roman"/>
                <w:color w:val="000000" w:themeColor="text1"/>
                <w:szCs w:val="21"/>
              </w:rPr>
              <w:t>10 mg</w:t>
            </w:r>
          </w:p>
        </w:tc>
        <w:tc>
          <w:tcPr>
            <w:tcW w:w="450" w:type="pct"/>
            <w:vAlign w:val="center"/>
          </w:tcPr>
          <w:p w:rsidR="002E5476" w:rsidRDefault="002E5476">
            <w:pPr>
              <w:pStyle w:val="10"/>
              <w:ind w:firstLineChars="0" w:firstLine="0"/>
              <w:rPr>
                <w:rFonts w:ascii="Times New Roman" w:eastAsia="宋体" w:hAnsi="Times New Roman" w:cs="Times New Roman"/>
                <w:color w:val="000000" w:themeColor="text1"/>
                <w:szCs w:val="21"/>
              </w:rPr>
            </w:pPr>
          </w:p>
        </w:tc>
        <w:tc>
          <w:tcPr>
            <w:tcW w:w="808"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1</w:t>
            </w:r>
            <w:r>
              <w:rPr>
                <w:rFonts w:ascii="Times New Roman" w:eastAsia="宋体" w:hAnsi="Times New Roman" w:cs="Times New Roman" w:hint="eastAsia"/>
                <w:color w:val="000000" w:themeColor="text1"/>
                <w:szCs w:val="21"/>
              </w:rPr>
              <w:t>片，</w:t>
            </w:r>
            <w:r>
              <w:rPr>
                <w:rFonts w:ascii="Times New Roman" w:eastAsia="宋体" w:hAnsi="Times New Roman" w:cs="Times New Roman"/>
                <w:color w:val="000000" w:themeColor="text1"/>
                <w:szCs w:val="21"/>
              </w:rPr>
              <w:t>qd</w:t>
            </w:r>
          </w:p>
        </w:tc>
        <w:tc>
          <w:tcPr>
            <w:tcW w:w="1617"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头痛，踝部水肿，偶见血管神经性水肿</w:t>
            </w:r>
          </w:p>
        </w:tc>
      </w:tr>
      <w:tr w:rsidR="002E5476">
        <w:trPr>
          <w:trHeight w:val="502"/>
          <w:tblHeader/>
          <w:jc w:val="center"/>
        </w:trPr>
        <w:tc>
          <w:tcPr>
            <w:tcW w:w="811" w:type="pct"/>
            <w:vMerge/>
            <w:vAlign w:val="center"/>
          </w:tcPr>
          <w:p w:rsidR="002E5476" w:rsidRDefault="002E5476">
            <w:pPr>
              <w:pStyle w:val="10"/>
              <w:ind w:firstLineChars="0" w:firstLine="0"/>
              <w:rPr>
                <w:rFonts w:ascii="Times New Roman" w:eastAsia="宋体" w:hAnsi="Times New Roman" w:cs="Times New Roman"/>
                <w:color w:val="000000" w:themeColor="text1"/>
                <w:szCs w:val="21"/>
              </w:rPr>
            </w:pPr>
          </w:p>
        </w:tc>
        <w:tc>
          <w:tcPr>
            <w:tcW w:w="1314"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氨氯地平</w:t>
            </w:r>
            <w:r>
              <w:rPr>
                <w:rFonts w:ascii="Times New Roman" w:eastAsia="宋体" w:hAnsi="Times New Roman" w:cs="Times New Roman"/>
                <w:color w:val="000000" w:themeColor="text1"/>
                <w:szCs w:val="21"/>
              </w:rPr>
              <w:t>2.5 mg/</w:t>
            </w:r>
            <w:r>
              <w:rPr>
                <w:rFonts w:ascii="Times New Roman" w:eastAsia="宋体" w:hAnsi="Times New Roman" w:cs="Times New Roman" w:hint="eastAsia"/>
                <w:color w:val="000000" w:themeColor="text1"/>
                <w:szCs w:val="21"/>
              </w:rPr>
              <w:t>贝那普利</w:t>
            </w:r>
            <w:r>
              <w:rPr>
                <w:rFonts w:ascii="Times New Roman" w:eastAsia="宋体" w:hAnsi="Times New Roman" w:cs="Times New Roman"/>
                <w:color w:val="000000" w:themeColor="text1"/>
                <w:szCs w:val="21"/>
              </w:rPr>
              <w:t>10 mg</w:t>
            </w:r>
          </w:p>
        </w:tc>
        <w:tc>
          <w:tcPr>
            <w:tcW w:w="450" w:type="pct"/>
            <w:vAlign w:val="center"/>
          </w:tcPr>
          <w:p w:rsidR="002E5476" w:rsidRDefault="002E5476">
            <w:pPr>
              <w:pStyle w:val="10"/>
              <w:ind w:firstLineChars="0" w:firstLine="0"/>
              <w:rPr>
                <w:rFonts w:ascii="Times New Roman" w:eastAsia="宋体" w:hAnsi="Times New Roman" w:cs="Times New Roman"/>
                <w:color w:val="000000" w:themeColor="text1"/>
                <w:szCs w:val="21"/>
              </w:rPr>
            </w:pPr>
          </w:p>
        </w:tc>
        <w:tc>
          <w:tcPr>
            <w:tcW w:w="808"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1</w:t>
            </w:r>
            <w:r>
              <w:rPr>
                <w:rFonts w:ascii="Times New Roman" w:eastAsia="宋体" w:hAnsi="Times New Roman" w:cs="Times New Roman" w:hint="eastAsia"/>
                <w:color w:val="000000" w:themeColor="text1"/>
                <w:szCs w:val="21"/>
              </w:rPr>
              <w:t>片，</w:t>
            </w:r>
            <w:r>
              <w:rPr>
                <w:rFonts w:ascii="Times New Roman" w:eastAsia="宋体" w:hAnsi="Times New Roman" w:cs="Times New Roman"/>
                <w:color w:val="000000" w:themeColor="text1"/>
                <w:szCs w:val="21"/>
              </w:rPr>
              <w:t>qd</w:t>
            </w:r>
          </w:p>
        </w:tc>
        <w:tc>
          <w:tcPr>
            <w:tcW w:w="1617"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头痛，踝部水肿，偶见血管神经性水肿</w:t>
            </w:r>
          </w:p>
        </w:tc>
      </w:tr>
      <w:tr w:rsidR="002E5476">
        <w:trPr>
          <w:trHeight w:val="502"/>
          <w:tblHeader/>
          <w:jc w:val="center"/>
        </w:trPr>
        <w:tc>
          <w:tcPr>
            <w:tcW w:w="811"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复方阿米洛利</w:t>
            </w:r>
          </w:p>
        </w:tc>
        <w:tc>
          <w:tcPr>
            <w:tcW w:w="1314"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阿米洛利</w:t>
            </w:r>
            <w:r>
              <w:rPr>
                <w:rFonts w:ascii="Times New Roman" w:eastAsia="宋体" w:hAnsi="Times New Roman" w:cs="Times New Roman"/>
                <w:color w:val="000000" w:themeColor="text1"/>
                <w:szCs w:val="21"/>
              </w:rPr>
              <w:t>2.5 mg/</w:t>
            </w:r>
            <w:r>
              <w:rPr>
                <w:rFonts w:ascii="Times New Roman" w:eastAsia="宋体" w:hAnsi="Times New Roman" w:cs="Times New Roman" w:hint="eastAsia"/>
                <w:color w:val="000000" w:themeColor="text1"/>
                <w:szCs w:val="21"/>
              </w:rPr>
              <w:t>氢氯噻嗪</w:t>
            </w:r>
            <w:r>
              <w:rPr>
                <w:rFonts w:ascii="Times New Roman" w:eastAsia="宋体" w:hAnsi="Times New Roman" w:cs="Times New Roman"/>
                <w:color w:val="000000" w:themeColor="text1"/>
                <w:szCs w:val="21"/>
              </w:rPr>
              <w:t>25 mg</w:t>
            </w:r>
          </w:p>
        </w:tc>
        <w:tc>
          <w:tcPr>
            <w:tcW w:w="450" w:type="pct"/>
            <w:vAlign w:val="center"/>
          </w:tcPr>
          <w:p w:rsidR="002E5476" w:rsidRDefault="002E5476">
            <w:pPr>
              <w:pStyle w:val="10"/>
              <w:ind w:firstLineChars="0" w:firstLine="0"/>
              <w:rPr>
                <w:rFonts w:ascii="Times New Roman" w:eastAsia="宋体" w:hAnsi="Times New Roman" w:cs="Times New Roman"/>
                <w:color w:val="000000" w:themeColor="text1"/>
                <w:szCs w:val="21"/>
              </w:rPr>
            </w:pPr>
          </w:p>
        </w:tc>
        <w:tc>
          <w:tcPr>
            <w:tcW w:w="808"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1</w:t>
            </w:r>
            <w:r>
              <w:rPr>
                <w:rFonts w:ascii="Times New Roman" w:eastAsia="宋体" w:hAnsi="Times New Roman" w:cs="Times New Roman" w:hint="eastAsia"/>
                <w:color w:val="000000" w:themeColor="text1"/>
                <w:szCs w:val="21"/>
              </w:rPr>
              <w:t>片，</w:t>
            </w:r>
            <w:r>
              <w:rPr>
                <w:rFonts w:ascii="Times New Roman" w:eastAsia="宋体" w:hAnsi="Times New Roman" w:cs="Times New Roman"/>
                <w:color w:val="000000" w:themeColor="text1"/>
                <w:szCs w:val="21"/>
              </w:rPr>
              <w:t>qd</w:t>
            </w:r>
          </w:p>
        </w:tc>
        <w:tc>
          <w:tcPr>
            <w:tcW w:w="1617"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血钾异常，尿酸升高</w:t>
            </w:r>
          </w:p>
        </w:tc>
      </w:tr>
      <w:tr w:rsidR="002E5476">
        <w:trPr>
          <w:trHeight w:val="90"/>
          <w:tblHeader/>
          <w:jc w:val="center"/>
        </w:trPr>
        <w:tc>
          <w:tcPr>
            <w:tcW w:w="811" w:type="pct"/>
            <w:vMerge w:val="restar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尼群地平</w:t>
            </w:r>
            <w:r>
              <w:rPr>
                <w:rFonts w:ascii="Times New Roman" w:eastAsia="宋体" w:hAnsi="Times New Roman" w:cs="Times New Roman"/>
                <w:color w:val="000000" w:themeColor="text1"/>
                <w:szCs w:val="21"/>
              </w:rPr>
              <w:t>/</w:t>
            </w:r>
            <w:r>
              <w:rPr>
                <w:rFonts w:ascii="Times New Roman" w:eastAsia="宋体" w:hAnsi="Times New Roman" w:cs="Times New Roman" w:hint="eastAsia"/>
                <w:color w:val="000000" w:themeColor="text1"/>
                <w:szCs w:val="21"/>
              </w:rPr>
              <w:t>阿替洛尔</w:t>
            </w:r>
          </w:p>
        </w:tc>
        <w:tc>
          <w:tcPr>
            <w:tcW w:w="1314"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尼群地平</w:t>
            </w:r>
            <w:r>
              <w:rPr>
                <w:rFonts w:ascii="Times New Roman" w:eastAsia="宋体" w:hAnsi="Times New Roman" w:cs="Times New Roman"/>
                <w:color w:val="000000" w:themeColor="text1"/>
                <w:szCs w:val="21"/>
              </w:rPr>
              <w:t>10 mg/</w:t>
            </w:r>
            <w:r>
              <w:rPr>
                <w:rFonts w:ascii="Times New Roman" w:eastAsia="宋体" w:hAnsi="Times New Roman" w:cs="Times New Roman" w:hint="eastAsia"/>
                <w:color w:val="000000" w:themeColor="text1"/>
                <w:szCs w:val="21"/>
              </w:rPr>
              <w:t>阿替洛尔</w:t>
            </w:r>
            <w:r>
              <w:rPr>
                <w:rFonts w:ascii="Times New Roman" w:eastAsia="宋体" w:hAnsi="Times New Roman" w:cs="Times New Roman"/>
                <w:color w:val="000000" w:themeColor="text1"/>
                <w:szCs w:val="21"/>
              </w:rPr>
              <w:t>20 mg</w:t>
            </w:r>
          </w:p>
        </w:tc>
        <w:tc>
          <w:tcPr>
            <w:tcW w:w="450" w:type="pct"/>
            <w:vAlign w:val="center"/>
          </w:tcPr>
          <w:p w:rsidR="002E5476" w:rsidRDefault="002E5476">
            <w:pPr>
              <w:pStyle w:val="10"/>
              <w:ind w:firstLineChars="0" w:firstLine="0"/>
              <w:rPr>
                <w:rFonts w:ascii="Times New Roman" w:eastAsia="宋体" w:hAnsi="Times New Roman" w:cs="Times New Roman"/>
                <w:color w:val="000000" w:themeColor="text1"/>
                <w:szCs w:val="21"/>
              </w:rPr>
            </w:pPr>
          </w:p>
        </w:tc>
        <w:tc>
          <w:tcPr>
            <w:tcW w:w="808"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1</w:t>
            </w:r>
            <w:r>
              <w:rPr>
                <w:rFonts w:ascii="Times New Roman" w:eastAsia="宋体" w:hAnsi="Times New Roman" w:cs="Times New Roman" w:hint="eastAsia"/>
                <w:color w:val="000000" w:themeColor="text1"/>
                <w:szCs w:val="21"/>
              </w:rPr>
              <w:t>片，</w:t>
            </w:r>
            <w:r>
              <w:rPr>
                <w:rFonts w:ascii="Times New Roman" w:eastAsia="宋体" w:hAnsi="Times New Roman" w:cs="Times New Roman"/>
                <w:color w:val="000000" w:themeColor="text1"/>
                <w:szCs w:val="21"/>
              </w:rPr>
              <w:t>qd</w:t>
            </w:r>
            <w:r>
              <w:rPr>
                <w:rFonts w:ascii="Times New Roman" w:eastAsia="宋体" w:hAnsi="Times New Roman" w:cs="Times New Roman" w:hint="eastAsia"/>
                <w:color w:val="000000" w:themeColor="text1"/>
                <w:szCs w:val="21"/>
              </w:rPr>
              <w:t>至</w:t>
            </w:r>
            <w:r>
              <w:rPr>
                <w:rFonts w:ascii="Times New Roman" w:eastAsia="宋体" w:hAnsi="Times New Roman" w:cs="Times New Roman"/>
                <w:color w:val="000000" w:themeColor="text1"/>
                <w:szCs w:val="21"/>
              </w:rPr>
              <w:t>bid</w:t>
            </w:r>
          </w:p>
        </w:tc>
        <w:tc>
          <w:tcPr>
            <w:tcW w:w="1617"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头痛，踝部水肿，支气管痉挛，心动过缓</w:t>
            </w:r>
          </w:p>
        </w:tc>
      </w:tr>
      <w:tr w:rsidR="002E5476">
        <w:trPr>
          <w:trHeight w:val="502"/>
          <w:tblHeader/>
          <w:jc w:val="center"/>
        </w:trPr>
        <w:tc>
          <w:tcPr>
            <w:tcW w:w="811" w:type="pct"/>
            <w:vMerge/>
            <w:vAlign w:val="center"/>
          </w:tcPr>
          <w:p w:rsidR="002E5476" w:rsidRDefault="002E5476">
            <w:pPr>
              <w:pStyle w:val="10"/>
              <w:keepNext/>
              <w:keepLines/>
              <w:spacing w:before="240" w:after="64" w:line="320" w:lineRule="auto"/>
              <w:ind w:firstLineChars="0" w:firstLine="0"/>
              <w:rPr>
                <w:rFonts w:ascii="Times New Roman" w:eastAsia="宋体" w:hAnsi="Times New Roman" w:cs="Times New Roman"/>
                <w:color w:val="000000" w:themeColor="text1"/>
                <w:szCs w:val="21"/>
              </w:rPr>
            </w:pPr>
          </w:p>
        </w:tc>
        <w:tc>
          <w:tcPr>
            <w:tcW w:w="1314"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尼群地平</w:t>
            </w:r>
            <w:r>
              <w:rPr>
                <w:rFonts w:ascii="Times New Roman" w:eastAsia="宋体" w:hAnsi="Times New Roman" w:cs="Times New Roman"/>
                <w:color w:val="000000" w:themeColor="text1"/>
                <w:szCs w:val="21"/>
              </w:rPr>
              <w:t>5 mg/</w:t>
            </w:r>
            <w:r>
              <w:rPr>
                <w:rFonts w:ascii="Times New Roman" w:eastAsia="宋体" w:hAnsi="Times New Roman" w:cs="Times New Roman" w:hint="eastAsia"/>
                <w:color w:val="000000" w:themeColor="text1"/>
                <w:szCs w:val="21"/>
              </w:rPr>
              <w:t>阿替洛尔</w:t>
            </w:r>
            <w:r>
              <w:rPr>
                <w:rFonts w:ascii="Times New Roman" w:eastAsia="宋体" w:hAnsi="Times New Roman" w:cs="Times New Roman"/>
                <w:color w:val="000000" w:themeColor="text1"/>
                <w:szCs w:val="21"/>
              </w:rPr>
              <w:t>10 mg</w:t>
            </w:r>
          </w:p>
        </w:tc>
        <w:tc>
          <w:tcPr>
            <w:tcW w:w="450" w:type="pct"/>
            <w:vAlign w:val="center"/>
          </w:tcPr>
          <w:p w:rsidR="002E5476" w:rsidRDefault="002E5476">
            <w:pPr>
              <w:pStyle w:val="10"/>
              <w:ind w:firstLineChars="0" w:firstLine="0"/>
              <w:rPr>
                <w:rFonts w:ascii="Times New Roman" w:eastAsia="宋体" w:hAnsi="Times New Roman" w:cs="Times New Roman"/>
                <w:color w:val="000000" w:themeColor="text1"/>
                <w:szCs w:val="21"/>
              </w:rPr>
            </w:pPr>
          </w:p>
        </w:tc>
        <w:tc>
          <w:tcPr>
            <w:tcW w:w="808"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1</w:t>
            </w:r>
            <w:r>
              <w:rPr>
                <w:rFonts w:ascii="Times New Roman" w:eastAsia="宋体" w:hAnsi="Times New Roman" w:cs="Times New Roman" w:hint="eastAsia"/>
                <w:color w:val="000000" w:themeColor="text1"/>
                <w:szCs w:val="21"/>
              </w:rPr>
              <w:t>至</w:t>
            </w:r>
            <w:r>
              <w:rPr>
                <w:rFonts w:ascii="Times New Roman" w:eastAsia="宋体" w:hAnsi="Times New Roman" w:cs="Times New Roman"/>
                <w:color w:val="000000" w:themeColor="text1"/>
                <w:szCs w:val="21"/>
              </w:rPr>
              <w:t>2</w:t>
            </w:r>
            <w:r>
              <w:rPr>
                <w:rFonts w:ascii="Times New Roman" w:eastAsia="宋体" w:hAnsi="Times New Roman" w:cs="Times New Roman" w:hint="eastAsia"/>
                <w:color w:val="000000" w:themeColor="text1"/>
                <w:szCs w:val="21"/>
              </w:rPr>
              <w:t>片，</w:t>
            </w:r>
            <w:r>
              <w:rPr>
                <w:rFonts w:ascii="Times New Roman" w:eastAsia="宋体" w:hAnsi="Times New Roman" w:cs="Times New Roman"/>
                <w:color w:val="000000" w:themeColor="text1"/>
                <w:szCs w:val="21"/>
              </w:rPr>
              <w:t>qd</w:t>
            </w:r>
            <w:r>
              <w:rPr>
                <w:rFonts w:ascii="Times New Roman" w:eastAsia="宋体" w:hAnsi="Times New Roman" w:cs="Times New Roman" w:hint="eastAsia"/>
                <w:color w:val="000000" w:themeColor="text1"/>
                <w:szCs w:val="21"/>
              </w:rPr>
              <w:t>至</w:t>
            </w:r>
            <w:r>
              <w:rPr>
                <w:rFonts w:ascii="Times New Roman" w:eastAsia="宋体" w:hAnsi="Times New Roman" w:cs="Times New Roman"/>
                <w:color w:val="000000" w:themeColor="text1"/>
                <w:szCs w:val="21"/>
              </w:rPr>
              <w:t>bid</w:t>
            </w:r>
          </w:p>
        </w:tc>
        <w:tc>
          <w:tcPr>
            <w:tcW w:w="1617" w:type="pct"/>
            <w:vAlign w:val="center"/>
          </w:tcPr>
          <w:p w:rsidR="002E5476" w:rsidRDefault="002E5476">
            <w:pPr>
              <w:pStyle w:val="10"/>
              <w:ind w:firstLineChars="0" w:firstLine="0"/>
              <w:rPr>
                <w:rFonts w:ascii="Times New Roman" w:eastAsia="宋体" w:hAnsi="Times New Roman" w:cs="Times New Roman"/>
                <w:color w:val="000000" w:themeColor="text1"/>
                <w:szCs w:val="21"/>
              </w:rPr>
            </w:pPr>
          </w:p>
        </w:tc>
      </w:tr>
      <w:tr w:rsidR="002E5476">
        <w:trPr>
          <w:trHeight w:val="502"/>
          <w:tblHeader/>
          <w:jc w:val="center"/>
        </w:trPr>
        <w:tc>
          <w:tcPr>
            <w:tcW w:w="811" w:type="pct"/>
            <w:vAlign w:val="center"/>
          </w:tcPr>
          <w:p w:rsidR="002E5476" w:rsidRDefault="00423E71">
            <w:pPr>
              <w:pStyle w:val="10"/>
              <w:ind w:firstLineChars="50" w:firstLine="105"/>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复方利血平片</w:t>
            </w:r>
          </w:p>
          <w:p w:rsidR="002E5476" w:rsidRDefault="002E5476">
            <w:pPr>
              <w:pStyle w:val="10"/>
              <w:ind w:firstLineChars="0" w:firstLine="0"/>
              <w:rPr>
                <w:rFonts w:ascii="Times New Roman" w:eastAsia="宋体" w:hAnsi="Times New Roman" w:cs="Times New Roman"/>
                <w:color w:val="000000" w:themeColor="text1"/>
                <w:szCs w:val="21"/>
              </w:rPr>
            </w:pPr>
          </w:p>
        </w:tc>
        <w:tc>
          <w:tcPr>
            <w:tcW w:w="1314"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利血平</w:t>
            </w:r>
            <w:r>
              <w:rPr>
                <w:rFonts w:ascii="Times New Roman" w:eastAsia="宋体" w:hAnsi="Times New Roman" w:cs="Times New Roman"/>
                <w:color w:val="000000" w:themeColor="text1"/>
                <w:szCs w:val="21"/>
              </w:rPr>
              <w:t>0.032 mg/</w:t>
            </w:r>
            <w:r>
              <w:rPr>
                <w:rFonts w:ascii="Times New Roman" w:eastAsia="宋体" w:hAnsi="Times New Roman" w:cs="Times New Roman" w:hint="eastAsia"/>
                <w:color w:val="000000" w:themeColor="text1"/>
                <w:szCs w:val="21"/>
              </w:rPr>
              <w:t>氢氯噻嗪</w:t>
            </w:r>
            <w:r>
              <w:rPr>
                <w:rFonts w:ascii="Times New Roman" w:eastAsia="宋体" w:hAnsi="Times New Roman" w:cs="Times New Roman"/>
                <w:color w:val="000000" w:themeColor="text1"/>
                <w:szCs w:val="21"/>
              </w:rPr>
              <w:t>3.1 mg/</w:t>
            </w:r>
            <w:r>
              <w:rPr>
                <w:rFonts w:ascii="Times New Roman" w:eastAsia="宋体" w:hAnsi="Times New Roman" w:cs="Times New Roman" w:hint="eastAsia"/>
                <w:color w:val="000000" w:themeColor="text1"/>
                <w:szCs w:val="21"/>
              </w:rPr>
              <w:t>硫酸</w:t>
            </w:r>
            <w:r>
              <w:rPr>
                <w:rFonts w:ascii="Times New Roman" w:eastAsia="宋体" w:hAnsi="Times New Roman" w:cs="Times New Roman"/>
                <w:color w:val="000000" w:themeColor="text1"/>
                <w:szCs w:val="21"/>
              </w:rPr>
              <w:t xml:space="preserve"> </w:t>
            </w:r>
            <w:r>
              <w:rPr>
                <w:rFonts w:ascii="Times New Roman" w:eastAsia="宋体" w:hAnsi="Times New Roman" w:cs="Times New Roman" w:hint="eastAsia"/>
                <w:color w:val="000000" w:themeColor="text1"/>
                <w:szCs w:val="21"/>
              </w:rPr>
              <w:t>双肼屈嗪</w:t>
            </w:r>
            <w:r>
              <w:rPr>
                <w:rFonts w:ascii="Times New Roman" w:eastAsia="宋体" w:hAnsi="Times New Roman" w:cs="Times New Roman"/>
                <w:color w:val="000000" w:themeColor="text1"/>
                <w:szCs w:val="21"/>
              </w:rPr>
              <w:t>4. 2 mg</w:t>
            </w:r>
          </w:p>
        </w:tc>
        <w:tc>
          <w:tcPr>
            <w:tcW w:w="450"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氯化钾</w:t>
            </w:r>
            <w:r>
              <w:rPr>
                <w:rFonts w:ascii="Times New Roman" w:eastAsia="宋体" w:hAnsi="Times New Roman" w:cs="Times New Roman"/>
                <w:color w:val="000000" w:themeColor="text1"/>
                <w:szCs w:val="21"/>
              </w:rPr>
              <w:t>30 mg</w:t>
            </w:r>
            <w:r>
              <w:rPr>
                <w:rFonts w:ascii="Times New Roman" w:eastAsia="宋体" w:hAnsi="Times New Roman" w:cs="Times New Roman" w:hint="eastAsia"/>
                <w:color w:val="000000" w:themeColor="text1"/>
                <w:szCs w:val="21"/>
              </w:rPr>
              <w:t>、维生素</w:t>
            </w:r>
            <w:r>
              <w:rPr>
                <w:rFonts w:ascii="Times New Roman" w:eastAsia="宋体" w:hAnsi="Times New Roman" w:cs="Times New Roman"/>
                <w:color w:val="000000" w:themeColor="text1"/>
                <w:szCs w:val="21"/>
              </w:rPr>
              <w:t>B1 1 mg</w:t>
            </w:r>
            <w:r>
              <w:rPr>
                <w:rFonts w:ascii="Times New Roman" w:eastAsia="宋体" w:hAnsi="Times New Roman" w:cs="Times New Roman" w:hint="eastAsia"/>
                <w:color w:val="000000" w:themeColor="text1"/>
                <w:szCs w:val="21"/>
              </w:rPr>
              <w:t>、维生素</w:t>
            </w:r>
            <w:r>
              <w:rPr>
                <w:rFonts w:ascii="Times New Roman" w:eastAsia="宋体" w:hAnsi="Times New Roman" w:cs="Times New Roman"/>
                <w:color w:val="000000" w:themeColor="text1"/>
                <w:szCs w:val="21"/>
              </w:rPr>
              <w:t>B6 1 mg</w:t>
            </w:r>
            <w:r>
              <w:rPr>
                <w:rFonts w:ascii="Times New Roman" w:eastAsia="宋体" w:hAnsi="Times New Roman" w:cs="Times New Roman" w:hint="eastAsia"/>
                <w:color w:val="000000" w:themeColor="text1"/>
                <w:szCs w:val="21"/>
              </w:rPr>
              <w:t>、异丙嗪</w:t>
            </w:r>
            <w:r>
              <w:rPr>
                <w:rFonts w:ascii="Times New Roman" w:eastAsia="宋体" w:hAnsi="Times New Roman" w:cs="Times New Roman"/>
                <w:color w:val="000000" w:themeColor="text1"/>
                <w:szCs w:val="21"/>
              </w:rPr>
              <w:t xml:space="preserve"> 2.1 mg</w:t>
            </w:r>
            <w:r>
              <w:rPr>
                <w:rFonts w:ascii="Times New Roman" w:eastAsia="宋体" w:hAnsi="Times New Roman" w:cs="Times New Roman" w:hint="eastAsia"/>
                <w:color w:val="000000" w:themeColor="text1"/>
                <w:szCs w:val="21"/>
              </w:rPr>
              <w:t>等</w:t>
            </w:r>
          </w:p>
        </w:tc>
        <w:tc>
          <w:tcPr>
            <w:tcW w:w="808"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1</w:t>
            </w:r>
            <w:r>
              <w:rPr>
                <w:rFonts w:ascii="Times New Roman" w:eastAsia="宋体" w:hAnsi="Times New Roman" w:cs="Times New Roman" w:hint="eastAsia"/>
                <w:color w:val="000000" w:themeColor="text1"/>
                <w:szCs w:val="21"/>
              </w:rPr>
              <w:t>至</w:t>
            </w:r>
            <w:r>
              <w:rPr>
                <w:rFonts w:ascii="Times New Roman" w:eastAsia="宋体" w:hAnsi="Times New Roman" w:cs="Times New Roman"/>
                <w:color w:val="000000" w:themeColor="text1"/>
                <w:szCs w:val="21"/>
              </w:rPr>
              <w:t>3</w:t>
            </w:r>
            <w:r>
              <w:rPr>
                <w:rFonts w:ascii="Times New Roman" w:eastAsia="宋体" w:hAnsi="Times New Roman" w:cs="Times New Roman" w:hint="eastAsia"/>
                <w:color w:val="000000" w:themeColor="text1"/>
                <w:szCs w:val="21"/>
              </w:rPr>
              <w:t>片，</w:t>
            </w:r>
            <w:r>
              <w:rPr>
                <w:rFonts w:ascii="Times New Roman" w:eastAsia="宋体" w:hAnsi="Times New Roman" w:cs="Times New Roman"/>
                <w:color w:val="000000" w:themeColor="text1"/>
                <w:szCs w:val="21"/>
              </w:rPr>
              <w:t>bid</w:t>
            </w:r>
            <w:r>
              <w:rPr>
                <w:rFonts w:ascii="Times New Roman" w:eastAsia="宋体" w:hAnsi="Times New Roman" w:cs="Times New Roman" w:hint="eastAsia"/>
                <w:color w:val="000000" w:themeColor="text1"/>
                <w:szCs w:val="21"/>
              </w:rPr>
              <w:t>至</w:t>
            </w:r>
            <w:r>
              <w:rPr>
                <w:rFonts w:ascii="Times New Roman" w:eastAsia="宋体" w:hAnsi="Times New Roman" w:cs="Times New Roman"/>
                <w:color w:val="000000" w:themeColor="text1"/>
                <w:szCs w:val="21"/>
              </w:rPr>
              <w:t>tid</w:t>
            </w:r>
          </w:p>
        </w:tc>
        <w:tc>
          <w:tcPr>
            <w:tcW w:w="1617"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消化性溃疡，困倦</w:t>
            </w:r>
          </w:p>
        </w:tc>
      </w:tr>
      <w:tr w:rsidR="002E5476">
        <w:trPr>
          <w:trHeight w:val="502"/>
          <w:tblHeader/>
          <w:jc w:val="center"/>
        </w:trPr>
        <w:tc>
          <w:tcPr>
            <w:tcW w:w="811"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复方利血平氨苯蝶啶片</w:t>
            </w:r>
          </w:p>
          <w:p w:rsidR="002E5476" w:rsidRDefault="002E5476">
            <w:pPr>
              <w:pStyle w:val="10"/>
              <w:ind w:firstLineChars="0" w:firstLine="0"/>
              <w:rPr>
                <w:rFonts w:ascii="Times New Roman" w:eastAsia="宋体" w:hAnsi="Times New Roman" w:cs="Times New Roman"/>
                <w:color w:val="000000" w:themeColor="text1"/>
                <w:szCs w:val="21"/>
              </w:rPr>
            </w:pPr>
          </w:p>
        </w:tc>
        <w:tc>
          <w:tcPr>
            <w:tcW w:w="1314"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利血平</w:t>
            </w:r>
            <w:r>
              <w:rPr>
                <w:rFonts w:ascii="Times New Roman" w:eastAsia="宋体" w:hAnsi="Times New Roman" w:cs="Times New Roman"/>
                <w:color w:val="000000" w:themeColor="text1"/>
                <w:szCs w:val="21"/>
              </w:rPr>
              <w:t>0.1 mg/</w:t>
            </w:r>
            <w:r>
              <w:rPr>
                <w:rFonts w:ascii="Times New Roman" w:eastAsia="宋体" w:hAnsi="Times New Roman" w:cs="Times New Roman" w:hint="eastAsia"/>
                <w:color w:val="000000" w:themeColor="text1"/>
                <w:szCs w:val="21"/>
              </w:rPr>
              <w:t>氨苯蝶啶</w:t>
            </w:r>
            <w:r>
              <w:rPr>
                <w:rFonts w:ascii="Times New Roman" w:eastAsia="宋体" w:hAnsi="Times New Roman" w:cs="Times New Roman"/>
                <w:color w:val="000000" w:themeColor="text1"/>
                <w:szCs w:val="21"/>
              </w:rPr>
              <w:t>12.5 mg/</w:t>
            </w:r>
            <w:r>
              <w:rPr>
                <w:rFonts w:ascii="Times New Roman" w:eastAsia="宋体" w:hAnsi="Times New Roman" w:cs="Times New Roman" w:hint="eastAsia"/>
                <w:color w:val="000000" w:themeColor="text1"/>
                <w:szCs w:val="21"/>
              </w:rPr>
              <w:t>氢氯噻嗪</w:t>
            </w:r>
            <w:r>
              <w:rPr>
                <w:rFonts w:ascii="Times New Roman" w:eastAsia="宋体" w:hAnsi="Times New Roman" w:cs="Times New Roman"/>
                <w:color w:val="000000" w:themeColor="text1"/>
                <w:szCs w:val="21"/>
              </w:rPr>
              <w:t>12.5 mg/</w:t>
            </w:r>
            <w:r>
              <w:rPr>
                <w:rFonts w:ascii="Times New Roman" w:eastAsia="宋体" w:hAnsi="Times New Roman" w:cs="Times New Roman" w:hint="eastAsia"/>
                <w:color w:val="000000" w:themeColor="text1"/>
                <w:szCs w:val="21"/>
              </w:rPr>
              <w:t>硫酸双肼屈嗪</w:t>
            </w:r>
            <w:r>
              <w:rPr>
                <w:rFonts w:ascii="Times New Roman" w:eastAsia="宋体" w:hAnsi="Times New Roman" w:cs="Times New Roman"/>
                <w:color w:val="000000" w:themeColor="text1"/>
                <w:szCs w:val="21"/>
              </w:rPr>
              <w:t>12.5 mg</w:t>
            </w:r>
          </w:p>
        </w:tc>
        <w:tc>
          <w:tcPr>
            <w:tcW w:w="450" w:type="pct"/>
            <w:vAlign w:val="center"/>
          </w:tcPr>
          <w:p w:rsidR="002E5476" w:rsidRDefault="002E5476">
            <w:pPr>
              <w:widowControl/>
              <w:rPr>
                <w:rFonts w:ascii="Times New Roman" w:eastAsia="宋体" w:hAnsi="Times New Roman" w:cs="Times New Roman"/>
                <w:color w:val="000000" w:themeColor="text1"/>
                <w:szCs w:val="21"/>
              </w:rPr>
            </w:pPr>
          </w:p>
        </w:tc>
        <w:tc>
          <w:tcPr>
            <w:tcW w:w="808" w:type="pct"/>
            <w:vAlign w:val="center"/>
          </w:tcPr>
          <w:p w:rsidR="002E5476" w:rsidRDefault="00423E71">
            <w:pPr>
              <w:widowControl/>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1</w:t>
            </w:r>
            <w:r>
              <w:rPr>
                <w:rFonts w:ascii="Times New Roman" w:eastAsia="宋体" w:hAnsi="Times New Roman" w:cs="Times New Roman" w:hint="eastAsia"/>
                <w:color w:val="000000" w:themeColor="text1"/>
                <w:szCs w:val="21"/>
              </w:rPr>
              <w:t>至</w:t>
            </w:r>
            <w:r>
              <w:rPr>
                <w:rFonts w:ascii="Times New Roman" w:eastAsia="宋体" w:hAnsi="Times New Roman" w:cs="Times New Roman"/>
                <w:color w:val="000000" w:themeColor="text1"/>
                <w:szCs w:val="21"/>
              </w:rPr>
              <w:t>2</w:t>
            </w:r>
            <w:r>
              <w:rPr>
                <w:rFonts w:ascii="Times New Roman" w:eastAsia="宋体" w:hAnsi="Times New Roman" w:cs="Times New Roman" w:hint="eastAsia"/>
                <w:color w:val="000000" w:themeColor="text1"/>
                <w:szCs w:val="21"/>
              </w:rPr>
              <w:t>片，</w:t>
            </w:r>
            <w:r>
              <w:rPr>
                <w:rFonts w:ascii="Times New Roman" w:eastAsia="宋体" w:hAnsi="Times New Roman" w:cs="Times New Roman"/>
                <w:color w:val="000000" w:themeColor="text1"/>
                <w:szCs w:val="21"/>
              </w:rPr>
              <w:t>qd</w:t>
            </w:r>
          </w:p>
        </w:tc>
        <w:tc>
          <w:tcPr>
            <w:tcW w:w="1617"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消化性溃疡，头痛</w:t>
            </w:r>
          </w:p>
        </w:tc>
      </w:tr>
      <w:tr w:rsidR="002E5476">
        <w:trPr>
          <w:trHeight w:val="502"/>
          <w:tblHeader/>
          <w:jc w:val="center"/>
        </w:trPr>
        <w:tc>
          <w:tcPr>
            <w:tcW w:w="811" w:type="pct"/>
            <w:vAlign w:val="center"/>
          </w:tcPr>
          <w:p w:rsidR="002E5476" w:rsidRDefault="00423E71">
            <w:pPr>
              <w:pStyle w:val="10"/>
              <w:ind w:firstLineChars="0" w:firstLine="0"/>
              <w:jc w:val="left"/>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双肼屈嗪利血平片</w:t>
            </w:r>
          </w:p>
        </w:tc>
        <w:tc>
          <w:tcPr>
            <w:tcW w:w="1314"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硫酸双肼屈</w:t>
            </w:r>
            <w:r>
              <w:rPr>
                <w:rFonts w:ascii="Times New Roman" w:eastAsia="宋体" w:hAnsi="Times New Roman" w:cs="Times New Roman"/>
                <w:color w:val="000000" w:themeColor="text1"/>
                <w:szCs w:val="21"/>
              </w:rPr>
              <w:t>10 mg/</w:t>
            </w:r>
            <w:r>
              <w:rPr>
                <w:rFonts w:ascii="Times New Roman" w:eastAsia="宋体" w:hAnsi="Times New Roman" w:cs="Times New Roman" w:hint="eastAsia"/>
                <w:color w:val="000000" w:themeColor="text1"/>
                <w:szCs w:val="21"/>
              </w:rPr>
              <w:t>利血平</w:t>
            </w:r>
            <w:r>
              <w:rPr>
                <w:rFonts w:ascii="Times New Roman" w:eastAsia="宋体" w:hAnsi="Times New Roman" w:cs="Times New Roman"/>
                <w:color w:val="000000" w:themeColor="text1"/>
                <w:szCs w:val="21"/>
              </w:rPr>
              <w:t>0.1 mg</w:t>
            </w:r>
          </w:p>
        </w:tc>
        <w:tc>
          <w:tcPr>
            <w:tcW w:w="450" w:type="pct"/>
            <w:vAlign w:val="center"/>
          </w:tcPr>
          <w:p w:rsidR="002E5476" w:rsidRDefault="002E5476">
            <w:pPr>
              <w:pStyle w:val="10"/>
              <w:ind w:firstLineChars="0" w:firstLine="0"/>
              <w:rPr>
                <w:rFonts w:ascii="Times New Roman" w:eastAsia="宋体" w:hAnsi="Times New Roman" w:cs="Times New Roman"/>
                <w:color w:val="000000" w:themeColor="text1"/>
                <w:szCs w:val="21"/>
              </w:rPr>
            </w:pPr>
          </w:p>
        </w:tc>
        <w:tc>
          <w:tcPr>
            <w:tcW w:w="808"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1</w:t>
            </w:r>
            <w:r>
              <w:rPr>
                <w:rFonts w:ascii="Times New Roman" w:eastAsia="宋体" w:hAnsi="Times New Roman" w:cs="Times New Roman" w:hint="eastAsia"/>
                <w:color w:val="000000" w:themeColor="text1"/>
                <w:szCs w:val="21"/>
              </w:rPr>
              <w:t>片，</w:t>
            </w:r>
            <w:r>
              <w:rPr>
                <w:rFonts w:ascii="Times New Roman" w:eastAsia="宋体" w:hAnsi="Times New Roman" w:cs="Times New Roman"/>
                <w:color w:val="000000" w:themeColor="text1"/>
                <w:szCs w:val="21"/>
              </w:rPr>
              <w:t>bid</w:t>
            </w:r>
            <w:r>
              <w:rPr>
                <w:rFonts w:ascii="Times New Roman" w:eastAsia="宋体" w:hAnsi="Times New Roman" w:cs="Times New Roman" w:hint="eastAsia"/>
                <w:color w:val="000000" w:themeColor="text1"/>
                <w:szCs w:val="21"/>
              </w:rPr>
              <w:t>至</w:t>
            </w:r>
            <w:r>
              <w:rPr>
                <w:rFonts w:ascii="Times New Roman" w:eastAsia="宋体" w:hAnsi="Times New Roman" w:cs="Times New Roman"/>
                <w:color w:val="000000" w:themeColor="text1"/>
                <w:szCs w:val="21"/>
              </w:rPr>
              <w:t>tid</w:t>
            </w:r>
          </w:p>
        </w:tc>
        <w:tc>
          <w:tcPr>
            <w:tcW w:w="1617" w:type="pct"/>
            <w:vAlign w:val="center"/>
          </w:tcPr>
          <w:p w:rsidR="002E5476" w:rsidRDefault="002E5476">
            <w:pPr>
              <w:pStyle w:val="10"/>
              <w:ind w:firstLineChars="0" w:firstLine="0"/>
              <w:rPr>
                <w:rFonts w:ascii="Times New Roman" w:eastAsia="宋体" w:hAnsi="Times New Roman" w:cs="Times New Roman"/>
                <w:color w:val="000000" w:themeColor="text1"/>
                <w:szCs w:val="21"/>
              </w:rPr>
            </w:pPr>
          </w:p>
        </w:tc>
      </w:tr>
      <w:tr w:rsidR="002E5476">
        <w:trPr>
          <w:trHeight w:val="502"/>
          <w:tblHeader/>
          <w:jc w:val="center"/>
        </w:trPr>
        <w:tc>
          <w:tcPr>
            <w:tcW w:w="811"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复方罗布麻片（</w:t>
            </w:r>
            <w:r w:rsidR="00B411DC">
              <w:rPr>
                <w:rFonts w:ascii="Times New Roman" w:eastAsia="宋体" w:hAnsi="Times New Roman" w:cs="Times New Roman"/>
                <w:color w:val="000000" w:themeColor="text1"/>
                <w:szCs w:val="21"/>
              </w:rPr>
              <w:fldChar w:fldCharType="begin"/>
            </w:r>
            <w:r>
              <w:rPr>
                <w:rFonts w:ascii="Times New Roman" w:eastAsia="宋体" w:hAnsi="Times New Roman" w:cs="Times New Roman"/>
                <w:color w:val="000000" w:themeColor="text1"/>
                <w:szCs w:val="21"/>
              </w:rPr>
              <w:instrText xml:space="preserve"> = 2 \* ROMAN </w:instrText>
            </w:r>
            <w:r w:rsidR="00B411DC">
              <w:rPr>
                <w:rFonts w:ascii="Times New Roman" w:eastAsia="宋体" w:hAnsi="Times New Roman" w:cs="Times New Roman"/>
                <w:color w:val="000000" w:themeColor="text1"/>
                <w:szCs w:val="21"/>
              </w:rPr>
              <w:fldChar w:fldCharType="separate"/>
            </w:r>
            <w:r>
              <w:rPr>
                <w:rFonts w:ascii="Times New Roman" w:eastAsia="宋体" w:hAnsi="Times New Roman" w:cs="Times New Roman"/>
                <w:color w:val="000000" w:themeColor="text1"/>
                <w:szCs w:val="21"/>
              </w:rPr>
              <w:t>II</w:t>
            </w:r>
            <w:r w:rsidR="00B411DC">
              <w:rPr>
                <w:rFonts w:ascii="Times New Roman" w:eastAsia="宋体" w:hAnsi="Times New Roman" w:cs="Times New Roman"/>
                <w:color w:val="000000" w:themeColor="text1"/>
                <w:szCs w:val="21"/>
              </w:rPr>
              <w:fldChar w:fldCharType="end"/>
            </w:r>
            <w:r>
              <w:rPr>
                <w:rFonts w:ascii="Times New Roman" w:eastAsia="宋体" w:hAnsi="Times New Roman" w:cs="Times New Roman" w:hint="eastAsia"/>
                <w:color w:val="000000" w:themeColor="text1"/>
                <w:szCs w:val="21"/>
              </w:rPr>
              <w:t>）</w:t>
            </w:r>
          </w:p>
        </w:tc>
        <w:tc>
          <w:tcPr>
            <w:tcW w:w="1314"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氢氯噻嗪</w:t>
            </w:r>
            <w:r>
              <w:rPr>
                <w:rFonts w:ascii="Times New Roman" w:eastAsia="宋体" w:hAnsi="Times New Roman" w:cs="Times New Roman"/>
                <w:color w:val="000000" w:themeColor="text1"/>
                <w:szCs w:val="21"/>
              </w:rPr>
              <w:t>1.6 mg/</w:t>
            </w:r>
            <w:r>
              <w:rPr>
                <w:rFonts w:ascii="Times New Roman" w:eastAsia="宋体" w:hAnsi="Times New Roman" w:cs="Times New Roman" w:hint="eastAsia"/>
                <w:color w:val="000000" w:themeColor="text1"/>
                <w:szCs w:val="21"/>
              </w:rPr>
              <w:t>硫酸双肼屈嗪</w:t>
            </w:r>
            <w:r>
              <w:rPr>
                <w:rFonts w:ascii="Times New Roman" w:eastAsia="宋体" w:hAnsi="Times New Roman" w:cs="Times New Roman"/>
                <w:color w:val="000000" w:themeColor="text1"/>
                <w:szCs w:val="21"/>
              </w:rPr>
              <w:t>1.6 mg/</w:t>
            </w:r>
            <w:r>
              <w:rPr>
                <w:rFonts w:ascii="Times New Roman" w:eastAsia="宋体" w:hAnsi="Times New Roman" w:cs="Times New Roman" w:hint="eastAsia"/>
                <w:color w:val="000000" w:themeColor="text1"/>
                <w:szCs w:val="21"/>
              </w:rPr>
              <w:t>罗布麻煎剂干粉</w:t>
            </w:r>
            <w:r>
              <w:rPr>
                <w:rFonts w:ascii="Times New Roman" w:eastAsia="宋体" w:hAnsi="Times New Roman" w:cs="Times New Roman"/>
                <w:color w:val="000000" w:themeColor="text1"/>
                <w:szCs w:val="21"/>
              </w:rPr>
              <w:t>43.7 mg/</w:t>
            </w:r>
            <w:r>
              <w:rPr>
                <w:rFonts w:ascii="Times New Roman" w:eastAsia="宋体" w:hAnsi="Times New Roman" w:cs="Times New Roman" w:hint="eastAsia"/>
                <w:color w:val="000000" w:themeColor="text1"/>
                <w:szCs w:val="21"/>
              </w:rPr>
              <w:t>野菊花煎剂干粉</w:t>
            </w:r>
            <w:r>
              <w:rPr>
                <w:rFonts w:ascii="Times New Roman" w:eastAsia="宋体" w:hAnsi="Times New Roman" w:cs="Times New Roman"/>
                <w:color w:val="000000" w:themeColor="text1"/>
                <w:szCs w:val="21"/>
              </w:rPr>
              <w:t>28.5 mg/</w:t>
            </w:r>
            <w:r>
              <w:rPr>
                <w:rFonts w:ascii="Times New Roman" w:eastAsia="宋体" w:hAnsi="Times New Roman" w:cs="Times New Roman" w:hint="eastAsia"/>
                <w:color w:val="000000" w:themeColor="text1"/>
                <w:szCs w:val="21"/>
              </w:rPr>
              <w:t>防己煎剂干粉</w:t>
            </w:r>
            <w:r>
              <w:rPr>
                <w:rFonts w:ascii="Times New Roman" w:eastAsia="宋体" w:hAnsi="Times New Roman" w:cs="Times New Roman"/>
                <w:color w:val="000000" w:themeColor="text1"/>
                <w:szCs w:val="21"/>
              </w:rPr>
              <w:t>30.7 mg/</w:t>
            </w:r>
            <w:r>
              <w:rPr>
                <w:rFonts w:ascii="Times New Roman" w:eastAsia="宋体" w:hAnsi="Times New Roman" w:cs="Times New Roman" w:hint="eastAsia"/>
                <w:color w:val="000000" w:themeColor="text1"/>
                <w:szCs w:val="21"/>
              </w:rPr>
              <w:t>硫酸胍生</w:t>
            </w:r>
            <w:r>
              <w:rPr>
                <w:rFonts w:ascii="Times New Roman" w:eastAsia="宋体" w:hAnsi="Times New Roman" w:cs="Times New Roman"/>
                <w:color w:val="000000" w:themeColor="text1"/>
                <w:szCs w:val="21"/>
              </w:rPr>
              <w:t>1.3 mg</w:t>
            </w:r>
          </w:p>
        </w:tc>
        <w:tc>
          <w:tcPr>
            <w:tcW w:w="450"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异丙嗪</w:t>
            </w:r>
            <w:r>
              <w:rPr>
                <w:rFonts w:ascii="Times New Roman" w:eastAsia="宋体" w:hAnsi="Times New Roman" w:cs="Times New Roman"/>
                <w:color w:val="000000" w:themeColor="text1"/>
                <w:szCs w:val="21"/>
              </w:rPr>
              <w:t>1.05 mg</w:t>
            </w:r>
            <w:r>
              <w:rPr>
                <w:rFonts w:ascii="Times New Roman" w:eastAsia="宋体" w:hAnsi="Times New Roman" w:cs="Times New Roman" w:hint="eastAsia"/>
                <w:color w:val="000000" w:themeColor="text1"/>
                <w:szCs w:val="21"/>
              </w:rPr>
              <w:t>、氯氮卓、维生素</w:t>
            </w:r>
            <w:r>
              <w:rPr>
                <w:rFonts w:ascii="Times New Roman" w:eastAsia="宋体" w:hAnsi="Times New Roman" w:cs="Times New Roman"/>
                <w:color w:val="000000" w:themeColor="text1"/>
                <w:szCs w:val="21"/>
              </w:rPr>
              <w:t>B1 0.5 mg</w:t>
            </w:r>
            <w:r>
              <w:rPr>
                <w:rFonts w:ascii="Times New Roman" w:eastAsia="宋体" w:hAnsi="Times New Roman" w:cs="Times New Roman" w:hint="eastAsia"/>
                <w:color w:val="000000" w:themeColor="text1"/>
                <w:szCs w:val="21"/>
              </w:rPr>
              <w:t>、维生素</w:t>
            </w:r>
            <w:r>
              <w:rPr>
                <w:rFonts w:ascii="Times New Roman" w:eastAsia="宋体" w:hAnsi="Times New Roman" w:cs="Times New Roman"/>
                <w:color w:val="000000" w:themeColor="text1"/>
                <w:szCs w:val="21"/>
              </w:rPr>
              <w:t>B6 0.5 mg</w:t>
            </w:r>
            <w:r>
              <w:rPr>
                <w:rFonts w:ascii="Times New Roman" w:eastAsia="宋体" w:hAnsi="Times New Roman" w:cs="Times New Roman" w:hint="eastAsia"/>
                <w:color w:val="000000" w:themeColor="text1"/>
                <w:szCs w:val="21"/>
              </w:rPr>
              <w:t>等</w:t>
            </w:r>
          </w:p>
        </w:tc>
        <w:tc>
          <w:tcPr>
            <w:tcW w:w="808"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2</w:t>
            </w:r>
            <w:r>
              <w:rPr>
                <w:rFonts w:ascii="Times New Roman" w:eastAsia="宋体" w:hAnsi="Times New Roman" w:cs="Times New Roman" w:hint="eastAsia"/>
                <w:color w:val="000000" w:themeColor="text1"/>
                <w:szCs w:val="21"/>
              </w:rPr>
              <w:t>片，</w:t>
            </w:r>
            <w:r>
              <w:rPr>
                <w:rFonts w:ascii="Times New Roman" w:eastAsia="宋体" w:hAnsi="Times New Roman" w:cs="Times New Roman"/>
                <w:color w:val="000000" w:themeColor="text1"/>
                <w:szCs w:val="21"/>
              </w:rPr>
              <w:t>tid</w:t>
            </w:r>
            <w:r>
              <w:rPr>
                <w:rFonts w:ascii="Times New Roman" w:eastAsia="宋体" w:hAnsi="Times New Roman" w:cs="Times New Roman" w:hint="eastAsia"/>
                <w:color w:val="000000" w:themeColor="text1"/>
                <w:szCs w:val="21"/>
              </w:rPr>
              <w:t>；维持</w:t>
            </w:r>
            <w:r>
              <w:rPr>
                <w:rFonts w:ascii="Times New Roman" w:eastAsia="宋体" w:hAnsi="Times New Roman" w:cs="Times New Roman"/>
                <w:color w:val="000000" w:themeColor="text1"/>
                <w:szCs w:val="21"/>
              </w:rPr>
              <w:t>2</w:t>
            </w:r>
            <w:r>
              <w:rPr>
                <w:rFonts w:ascii="Times New Roman" w:eastAsia="宋体" w:hAnsi="Times New Roman" w:cs="Times New Roman" w:hint="eastAsia"/>
                <w:color w:val="000000" w:themeColor="text1"/>
                <w:szCs w:val="21"/>
              </w:rPr>
              <w:t>片，</w:t>
            </w:r>
            <w:r>
              <w:rPr>
                <w:rFonts w:ascii="Times New Roman" w:eastAsia="宋体" w:hAnsi="Times New Roman" w:cs="Times New Roman"/>
                <w:color w:val="000000" w:themeColor="text1"/>
                <w:szCs w:val="21"/>
              </w:rPr>
              <w:t>qd</w:t>
            </w:r>
          </w:p>
        </w:tc>
        <w:tc>
          <w:tcPr>
            <w:tcW w:w="1617" w:type="pct"/>
            <w:vAlign w:val="center"/>
          </w:tcPr>
          <w:p w:rsidR="002E5476" w:rsidRDefault="002E5476">
            <w:pPr>
              <w:pStyle w:val="10"/>
              <w:ind w:firstLineChars="0" w:firstLine="0"/>
              <w:rPr>
                <w:rFonts w:ascii="Times New Roman" w:eastAsia="宋体" w:hAnsi="Times New Roman" w:cs="Times New Roman"/>
                <w:color w:val="000000" w:themeColor="text1"/>
                <w:szCs w:val="21"/>
              </w:rPr>
            </w:pPr>
          </w:p>
        </w:tc>
      </w:tr>
      <w:tr w:rsidR="002E5476">
        <w:trPr>
          <w:trHeight w:val="502"/>
          <w:tblHeader/>
          <w:jc w:val="center"/>
        </w:trPr>
        <w:tc>
          <w:tcPr>
            <w:tcW w:w="811"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珍菊降压片</w:t>
            </w:r>
          </w:p>
        </w:tc>
        <w:tc>
          <w:tcPr>
            <w:tcW w:w="1314"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可乐定</w:t>
            </w:r>
            <w:r>
              <w:rPr>
                <w:rFonts w:ascii="Times New Roman" w:eastAsia="宋体" w:hAnsi="Times New Roman" w:cs="Times New Roman"/>
                <w:color w:val="000000" w:themeColor="text1"/>
                <w:szCs w:val="21"/>
              </w:rPr>
              <w:t>0.03 g/</w:t>
            </w:r>
            <w:r>
              <w:rPr>
                <w:rFonts w:ascii="Times New Roman" w:eastAsia="宋体" w:hAnsi="Times New Roman" w:cs="Times New Roman" w:hint="eastAsia"/>
                <w:color w:val="000000" w:themeColor="text1"/>
                <w:szCs w:val="21"/>
              </w:rPr>
              <w:t>氢氯噻嗪</w:t>
            </w:r>
            <w:r>
              <w:rPr>
                <w:rFonts w:ascii="Times New Roman" w:eastAsia="宋体" w:hAnsi="Times New Roman" w:cs="Times New Roman"/>
                <w:color w:val="000000" w:themeColor="text1"/>
                <w:szCs w:val="21"/>
              </w:rPr>
              <w:t>5 mg</w:t>
            </w:r>
          </w:p>
        </w:tc>
        <w:tc>
          <w:tcPr>
            <w:tcW w:w="450"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芦丁</w:t>
            </w:r>
            <w:r>
              <w:rPr>
                <w:rFonts w:ascii="Times New Roman" w:eastAsia="宋体" w:hAnsi="Times New Roman" w:cs="Times New Roman"/>
                <w:color w:val="000000" w:themeColor="text1"/>
                <w:szCs w:val="21"/>
              </w:rPr>
              <w:t>20 mg</w:t>
            </w:r>
          </w:p>
        </w:tc>
        <w:tc>
          <w:tcPr>
            <w:tcW w:w="808"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1</w:t>
            </w:r>
            <w:r>
              <w:rPr>
                <w:rFonts w:ascii="Times New Roman" w:eastAsia="宋体" w:hAnsi="Times New Roman" w:cs="Times New Roman" w:hint="eastAsia"/>
                <w:color w:val="000000" w:themeColor="text1"/>
                <w:szCs w:val="21"/>
              </w:rPr>
              <w:t>至</w:t>
            </w:r>
            <w:r>
              <w:rPr>
                <w:rFonts w:ascii="Times New Roman" w:eastAsia="宋体" w:hAnsi="Times New Roman" w:cs="Times New Roman"/>
                <w:color w:val="000000" w:themeColor="text1"/>
                <w:szCs w:val="21"/>
              </w:rPr>
              <w:t>3</w:t>
            </w:r>
            <w:r>
              <w:rPr>
                <w:rFonts w:ascii="Times New Roman" w:eastAsia="宋体" w:hAnsi="Times New Roman" w:cs="Times New Roman" w:hint="eastAsia"/>
                <w:color w:val="000000" w:themeColor="text1"/>
                <w:szCs w:val="21"/>
              </w:rPr>
              <w:t>片，</w:t>
            </w:r>
            <w:r>
              <w:rPr>
                <w:rFonts w:ascii="Times New Roman" w:eastAsia="宋体" w:hAnsi="Times New Roman" w:cs="Times New Roman"/>
                <w:color w:val="000000" w:themeColor="text1"/>
                <w:szCs w:val="21"/>
              </w:rPr>
              <w:t>bid</w:t>
            </w:r>
            <w:r>
              <w:rPr>
                <w:rFonts w:ascii="Times New Roman" w:eastAsia="宋体" w:hAnsi="Times New Roman" w:cs="Times New Roman" w:hint="eastAsia"/>
                <w:color w:val="000000" w:themeColor="text1"/>
                <w:szCs w:val="21"/>
              </w:rPr>
              <w:t>至</w:t>
            </w:r>
            <w:r>
              <w:rPr>
                <w:rFonts w:ascii="Times New Roman" w:eastAsia="宋体" w:hAnsi="Times New Roman" w:cs="Times New Roman"/>
                <w:color w:val="000000" w:themeColor="text1"/>
                <w:szCs w:val="21"/>
              </w:rPr>
              <w:t>tid</w:t>
            </w:r>
          </w:p>
        </w:tc>
        <w:tc>
          <w:tcPr>
            <w:tcW w:w="1617"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低血压，血钾异常</w:t>
            </w:r>
          </w:p>
        </w:tc>
      </w:tr>
      <w:tr w:rsidR="002E5476">
        <w:trPr>
          <w:trHeight w:val="502"/>
          <w:tblHeader/>
          <w:jc w:val="center"/>
        </w:trPr>
        <w:tc>
          <w:tcPr>
            <w:tcW w:w="811" w:type="pct"/>
            <w:vMerge w:val="restar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马来酸依那普利</w:t>
            </w:r>
            <w:r>
              <w:rPr>
                <w:rFonts w:ascii="Times New Roman" w:eastAsia="宋体" w:hAnsi="Times New Roman" w:cs="Times New Roman"/>
                <w:color w:val="000000" w:themeColor="text1"/>
                <w:szCs w:val="21"/>
              </w:rPr>
              <w:t>/</w:t>
            </w:r>
            <w:r>
              <w:rPr>
                <w:rFonts w:ascii="Times New Roman" w:eastAsia="宋体" w:hAnsi="Times New Roman" w:cs="Times New Roman" w:hint="eastAsia"/>
                <w:color w:val="000000" w:themeColor="text1"/>
                <w:szCs w:val="21"/>
              </w:rPr>
              <w:t>叶酸片</w:t>
            </w:r>
          </w:p>
        </w:tc>
        <w:tc>
          <w:tcPr>
            <w:tcW w:w="1314"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马来酸依那普利</w:t>
            </w:r>
            <w:r>
              <w:rPr>
                <w:rFonts w:ascii="Times New Roman" w:eastAsia="宋体" w:hAnsi="Times New Roman" w:cs="Times New Roman"/>
                <w:color w:val="000000" w:themeColor="text1"/>
                <w:szCs w:val="21"/>
              </w:rPr>
              <w:t>10 mg/</w:t>
            </w:r>
            <w:r>
              <w:rPr>
                <w:rFonts w:ascii="Times New Roman" w:eastAsia="宋体" w:hAnsi="Times New Roman" w:cs="Times New Roman" w:hint="eastAsia"/>
                <w:color w:val="000000" w:themeColor="text1"/>
                <w:szCs w:val="21"/>
              </w:rPr>
              <w:t>叶酸</w:t>
            </w:r>
            <w:r>
              <w:rPr>
                <w:rFonts w:ascii="Times New Roman" w:eastAsia="宋体" w:hAnsi="Times New Roman" w:cs="Times New Roman"/>
                <w:color w:val="000000" w:themeColor="text1"/>
                <w:szCs w:val="21"/>
              </w:rPr>
              <w:t>0.8 mg</w:t>
            </w:r>
          </w:p>
        </w:tc>
        <w:tc>
          <w:tcPr>
            <w:tcW w:w="450" w:type="pct"/>
            <w:vAlign w:val="center"/>
          </w:tcPr>
          <w:p w:rsidR="002E5476" w:rsidRDefault="002E5476">
            <w:pPr>
              <w:pStyle w:val="10"/>
              <w:ind w:firstLineChars="0" w:firstLine="0"/>
              <w:rPr>
                <w:rFonts w:ascii="Times New Roman" w:eastAsia="宋体" w:hAnsi="Times New Roman" w:cs="Times New Roman"/>
                <w:color w:val="000000" w:themeColor="text1"/>
                <w:szCs w:val="21"/>
              </w:rPr>
            </w:pPr>
          </w:p>
        </w:tc>
        <w:tc>
          <w:tcPr>
            <w:tcW w:w="808"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1</w:t>
            </w:r>
            <w:r>
              <w:rPr>
                <w:rFonts w:ascii="Times New Roman" w:eastAsia="宋体" w:hAnsi="Times New Roman" w:cs="Times New Roman" w:hint="eastAsia"/>
                <w:color w:val="000000" w:themeColor="text1"/>
                <w:szCs w:val="21"/>
              </w:rPr>
              <w:t>至</w:t>
            </w:r>
            <w:r>
              <w:rPr>
                <w:rFonts w:ascii="Times New Roman" w:eastAsia="宋体" w:hAnsi="Times New Roman" w:cs="Times New Roman"/>
                <w:color w:val="000000" w:themeColor="text1"/>
                <w:szCs w:val="21"/>
              </w:rPr>
              <w:t>2</w:t>
            </w:r>
            <w:r>
              <w:rPr>
                <w:rFonts w:ascii="Times New Roman" w:eastAsia="宋体" w:hAnsi="Times New Roman" w:cs="Times New Roman" w:hint="eastAsia"/>
                <w:color w:val="000000" w:themeColor="text1"/>
                <w:szCs w:val="21"/>
              </w:rPr>
              <w:t>片，</w:t>
            </w:r>
            <w:r>
              <w:rPr>
                <w:rFonts w:ascii="Times New Roman" w:eastAsia="宋体" w:hAnsi="Times New Roman" w:cs="Times New Roman"/>
                <w:color w:val="000000" w:themeColor="text1"/>
                <w:szCs w:val="21"/>
              </w:rPr>
              <w:t>qd</w:t>
            </w:r>
            <w:r>
              <w:rPr>
                <w:rFonts w:ascii="Times New Roman" w:eastAsia="宋体" w:hAnsi="Times New Roman" w:cs="Times New Roman" w:hint="eastAsia"/>
                <w:color w:val="000000" w:themeColor="text1"/>
                <w:szCs w:val="21"/>
              </w:rPr>
              <w:t>至</w:t>
            </w:r>
            <w:r>
              <w:rPr>
                <w:rFonts w:ascii="Times New Roman" w:eastAsia="宋体" w:hAnsi="Times New Roman" w:cs="Times New Roman"/>
                <w:color w:val="000000" w:themeColor="text1"/>
                <w:szCs w:val="21"/>
              </w:rPr>
              <w:t>bid</w:t>
            </w:r>
          </w:p>
        </w:tc>
        <w:tc>
          <w:tcPr>
            <w:tcW w:w="1617"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咳嗽，恶心，偶见血管神经性水肿，头痛，踝部水肿，肌肉疼痛</w:t>
            </w:r>
          </w:p>
        </w:tc>
      </w:tr>
      <w:tr w:rsidR="002E5476">
        <w:trPr>
          <w:trHeight w:val="502"/>
          <w:tblHeader/>
          <w:jc w:val="center"/>
        </w:trPr>
        <w:tc>
          <w:tcPr>
            <w:tcW w:w="811" w:type="pct"/>
            <w:vMerge/>
            <w:vAlign w:val="center"/>
          </w:tcPr>
          <w:p w:rsidR="002E5476" w:rsidRDefault="002E5476">
            <w:pPr>
              <w:pStyle w:val="10"/>
              <w:ind w:firstLineChars="0" w:firstLine="0"/>
              <w:rPr>
                <w:rFonts w:ascii="Times New Roman" w:eastAsia="宋体" w:hAnsi="Times New Roman" w:cs="Times New Roman"/>
                <w:color w:val="000000" w:themeColor="text1"/>
                <w:szCs w:val="21"/>
              </w:rPr>
            </w:pPr>
          </w:p>
        </w:tc>
        <w:tc>
          <w:tcPr>
            <w:tcW w:w="1314"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马来酸依那普利</w:t>
            </w:r>
            <w:r>
              <w:rPr>
                <w:rFonts w:ascii="Times New Roman" w:eastAsia="宋体" w:hAnsi="Times New Roman" w:cs="Times New Roman"/>
                <w:color w:val="000000" w:themeColor="text1"/>
                <w:szCs w:val="21"/>
              </w:rPr>
              <w:t>10 mg/</w:t>
            </w:r>
            <w:r>
              <w:rPr>
                <w:rFonts w:ascii="Times New Roman" w:eastAsia="宋体" w:hAnsi="Times New Roman" w:cs="Times New Roman" w:hint="eastAsia"/>
                <w:color w:val="000000" w:themeColor="text1"/>
                <w:szCs w:val="21"/>
              </w:rPr>
              <w:t>叶酸</w:t>
            </w:r>
            <w:r>
              <w:rPr>
                <w:rFonts w:ascii="Times New Roman" w:eastAsia="宋体" w:hAnsi="Times New Roman" w:cs="Times New Roman"/>
                <w:color w:val="000000" w:themeColor="text1"/>
                <w:szCs w:val="21"/>
              </w:rPr>
              <w:t>0.4 mg</w:t>
            </w:r>
          </w:p>
        </w:tc>
        <w:tc>
          <w:tcPr>
            <w:tcW w:w="450" w:type="pct"/>
            <w:vAlign w:val="center"/>
          </w:tcPr>
          <w:p w:rsidR="002E5476" w:rsidRDefault="002E5476">
            <w:pPr>
              <w:pStyle w:val="10"/>
              <w:ind w:firstLineChars="0" w:firstLine="0"/>
              <w:rPr>
                <w:rFonts w:ascii="Times New Roman" w:eastAsia="宋体" w:hAnsi="Times New Roman" w:cs="Times New Roman"/>
                <w:color w:val="000000" w:themeColor="text1"/>
                <w:szCs w:val="21"/>
              </w:rPr>
            </w:pPr>
          </w:p>
        </w:tc>
        <w:tc>
          <w:tcPr>
            <w:tcW w:w="808"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1</w:t>
            </w:r>
            <w:r>
              <w:rPr>
                <w:rFonts w:ascii="Times New Roman" w:eastAsia="宋体" w:hAnsi="Times New Roman" w:cs="Times New Roman" w:hint="eastAsia"/>
                <w:color w:val="000000" w:themeColor="text1"/>
                <w:szCs w:val="21"/>
              </w:rPr>
              <w:t>至</w:t>
            </w:r>
            <w:r>
              <w:rPr>
                <w:rFonts w:ascii="Times New Roman" w:eastAsia="宋体" w:hAnsi="Times New Roman" w:cs="Times New Roman"/>
                <w:color w:val="000000" w:themeColor="text1"/>
                <w:szCs w:val="21"/>
              </w:rPr>
              <w:t>2</w:t>
            </w:r>
            <w:r>
              <w:rPr>
                <w:rFonts w:ascii="Times New Roman" w:eastAsia="宋体" w:hAnsi="Times New Roman" w:cs="Times New Roman" w:hint="eastAsia"/>
                <w:color w:val="000000" w:themeColor="text1"/>
                <w:szCs w:val="21"/>
              </w:rPr>
              <w:t>片，</w:t>
            </w:r>
            <w:r>
              <w:rPr>
                <w:rFonts w:ascii="Times New Roman" w:eastAsia="宋体" w:hAnsi="Times New Roman" w:cs="Times New Roman"/>
                <w:color w:val="000000" w:themeColor="text1"/>
                <w:szCs w:val="21"/>
              </w:rPr>
              <w:t>qd</w:t>
            </w:r>
            <w:r>
              <w:rPr>
                <w:rFonts w:ascii="Times New Roman" w:eastAsia="宋体" w:hAnsi="Times New Roman" w:cs="Times New Roman" w:hint="eastAsia"/>
                <w:color w:val="000000" w:themeColor="text1"/>
                <w:szCs w:val="21"/>
              </w:rPr>
              <w:t>至</w:t>
            </w:r>
            <w:r>
              <w:rPr>
                <w:rFonts w:ascii="Times New Roman" w:eastAsia="宋体" w:hAnsi="Times New Roman" w:cs="Times New Roman"/>
                <w:color w:val="000000" w:themeColor="text1"/>
                <w:szCs w:val="21"/>
              </w:rPr>
              <w:t>bid</w:t>
            </w:r>
          </w:p>
        </w:tc>
        <w:tc>
          <w:tcPr>
            <w:tcW w:w="1617" w:type="pct"/>
            <w:vAlign w:val="center"/>
          </w:tcPr>
          <w:p w:rsidR="002E5476" w:rsidRDefault="002E5476">
            <w:pPr>
              <w:pStyle w:val="10"/>
              <w:ind w:firstLineChars="0" w:firstLine="0"/>
              <w:rPr>
                <w:rFonts w:ascii="Times New Roman" w:eastAsia="宋体" w:hAnsi="Times New Roman" w:cs="Times New Roman"/>
                <w:color w:val="000000" w:themeColor="text1"/>
                <w:szCs w:val="21"/>
              </w:rPr>
            </w:pPr>
          </w:p>
        </w:tc>
      </w:tr>
      <w:tr w:rsidR="002E5476">
        <w:trPr>
          <w:trHeight w:val="502"/>
          <w:tblHeader/>
          <w:jc w:val="center"/>
        </w:trPr>
        <w:tc>
          <w:tcPr>
            <w:tcW w:w="811" w:type="pct"/>
            <w:vMerge/>
            <w:vAlign w:val="center"/>
          </w:tcPr>
          <w:p w:rsidR="002E5476" w:rsidRDefault="002E5476">
            <w:pPr>
              <w:pStyle w:val="10"/>
              <w:ind w:firstLineChars="0" w:firstLine="0"/>
              <w:rPr>
                <w:rFonts w:ascii="Times New Roman" w:eastAsia="宋体" w:hAnsi="Times New Roman" w:cs="Times New Roman"/>
                <w:color w:val="000000" w:themeColor="text1"/>
                <w:szCs w:val="21"/>
              </w:rPr>
            </w:pPr>
          </w:p>
        </w:tc>
        <w:tc>
          <w:tcPr>
            <w:tcW w:w="1314"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马来酸依那普利</w:t>
            </w:r>
            <w:r>
              <w:rPr>
                <w:rFonts w:ascii="Times New Roman" w:eastAsia="宋体" w:hAnsi="Times New Roman" w:cs="Times New Roman"/>
                <w:color w:val="000000" w:themeColor="text1"/>
                <w:szCs w:val="21"/>
              </w:rPr>
              <w:t>5 mg/</w:t>
            </w:r>
            <w:r>
              <w:rPr>
                <w:rFonts w:ascii="Times New Roman" w:eastAsia="宋体" w:hAnsi="Times New Roman" w:cs="Times New Roman" w:hint="eastAsia"/>
                <w:color w:val="000000" w:themeColor="text1"/>
                <w:szCs w:val="21"/>
              </w:rPr>
              <w:t>叶酸</w:t>
            </w:r>
            <w:r>
              <w:rPr>
                <w:rFonts w:ascii="Times New Roman" w:eastAsia="宋体" w:hAnsi="Times New Roman" w:cs="Times New Roman"/>
                <w:color w:val="000000" w:themeColor="text1"/>
                <w:szCs w:val="21"/>
              </w:rPr>
              <w:t>0.4 mg</w:t>
            </w:r>
          </w:p>
        </w:tc>
        <w:tc>
          <w:tcPr>
            <w:tcW w:w="450" w:type="pct"/>
            <w:vAlign w:val="center"/>
          </w:tcPr>
          <w:p w:rsidR="002E5476" w:rsidRDefault="002E5476">
            <w:pPr>
              <w:pStyle w:val="10"/>
              <w:ind w:firstLineChars="0" w:firstLine="0"/>
              <w:rPr>
                <w:rFonts w:ascii="Times New Roman" w:eastAsia="宋体" w:hAnsi="Times New Roman" w:cs="Times New Roman"/>
                <w:color w:val="000000" w:themeColor="text1"/>
                <w:szCs w:val="21"/>
              </w:rPr>
            </w:pPr>
          </w:p>
        </w:tc>
        <w:tc>
          <w:tcPr>
            <w:tcW w:w="808"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1</w:t>
            </w:r>
            <w:r>
              <w:rPr>
                <w:rFonts w:ascii="Times New Roman" w:eastAsia="宋体" w:hAnsi="Times New Roman" w:cs="Times New Roman" w:hint="eastAsia"/>
                <w:color w:val="000000" w:themeColor="text1"/>
                <w:szCs w:val="21"/>
              </w:rPr>
              <w:t>至</w:t>
            </w:r>
            <w:r>
              <w:rPr>
                <w:rFonts w:ascii="Times New Roman" w:eastAsia="宋体" w:hAnsi="Times New Roman" w:cs="Times New Roman"/>
                <w:color w:val="000000" w:themeColor="text1"/>
                <w:szCs w:val="21"/>
              </w:rPr>
              <w:t>2</w:t>
            </w:r>
            <w:r>
              <w:rPr>
                <w:rFonts w:ascii="Times New Roman" w:eastAsia="宋体" w:hAnsi="Times New Roman" w:cs="Times New Roman" w:hint="eastAsia"/>
                <w:color w:val="000000" w:themeColor="text1"/>
                <w:szCs w:val="21"/>
              </w:rPr>
              <w:t>片，</w:t>
            </w:r>
            <w:r>
              <w:rPr>
                <w:rFonts w:ascii="Times New Roman" w:eastAsia="宋体" w:hAnsi="Times New Roman" w:cs="Times New Roman"/>
                <w:color w:val="000000" w:themeColor="text1"/>
                <w:szCs w:val="21"/>
              </w:rPr>
              <w:t>qd</w:t>
            </w:r>
            <w:r>
              <w:rPr>
                <w:rFonts w:ascii="Times New Roman" w:eastAsia="宋体" w:hAnsi="Times New Roman" w:cs="Times New Roman" w:hint="eastAsia"/>
                <w:color w:val="000000" w:themeColor="text1"/>
                <w:szCs w:val="21"/>
              </w:rPr>
              <w:t>至</w:t>
            </w:r>
            <w:r>
              <w:rPr>
                <w:rFonts w:ascii="Times New Roman" w:eastAsia="宋体" w:hAnsi="Times New Roman" w:cs="Times New Roman"/>
                <w:color w:val="000000" w:themeColor="text1"/>
                <w:szCs w:val="21"/>
              </w:rPr>
              <w:t>bid</w:t>
            </w:r>
          </w:p>
        </w:tc>
        <w:tc>
          <w:tcPr>
            <w:tcW w:w="1617" w:type="pct"/>
            <w:vAlign w:val="center"/>
          </w:tcPr>
          <w:p w:rsidR="002E5476" w:rsidRDefault="002E5476">
            <w:pPr>
              <w:pStyle w:val="10"/>
              <w:ind w:firstLineChars="0" w:firstLine="0"/>
              <w:rPr>
                <w:rFonts w:ascii="Times New Roman" w:eastAsia="宋体" w:hAnsi="Times New Roman" w:cs="Times New Roman"/>
                <w:color w:val="000000" w:themeColor="text1"/>
                <w:szCs w:val="21"/>
              </w:rPr>
            </w:pPr>
          </w:p>
        </w:tc>
      </w:tr>
      <w:tr w:rsidR="002E5476">
        <w:trPr>
          <w:trHeight w:val="502"/>
          <w:tblHeader/>
          <w:jc w:val="center"/>
        </w:trPr>
        <w:tc>
          <w:tcPr>
            <w:tcW w:w="811"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氨氯地平</w:t>
            </w:r>
            <w:r>
              <w:rPr>
                <w:rFonts w:ascii="Times New Roman" w:eastAsia="宋体" w:hAnsi="Times New Roman" w:cs="Times New Roman"/>
                <w:color w:val="000000" w:themeColor="text1"/>
                <w:szCs w:val="21"/>
              </w:rPr>
              <w:t>/</w:t>
            </w:r>
            <w:r>
              <w:rPr>
                <w:rFonts w:ascii="Times New Roman" w:eastAsia="宋体" w:hAnsi="Times New Roman" w:cs="Times New Roman" w:hint="eastAsia"/>
                <w:color w:val="000000" w:themeColor="text1"/>
                <w:szCs w:val="21"/>
              </w:rPr>
              <w:t>阿托伐他汀</w:t>
            </w:r>
          </w:p>
        </w:tc>
        <w:tc>
          <w:tcPr>
            <w:tcW w:w="1314"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氨氯地平</w:t>
            </w:r>
            <w:r>
              <w:rPr>
                <w:rFonts w:ascii="Times New Roman" w:eastAsia="宋体" w:hAnsi="Times New Roman" w:cs="Times New Roman"/>
                <w:color w:val="000000" w:themeColor="text1"/>
                <w:szCs w:val="21"/>
              </w:rPr>
              <w:t>5 mg/</w:t>
            </w:r>
            <w:r>
              <w:rPr>
                <w:rFonts w:ascii="Times New Roman" w:eastAsia="宋体" w:hAnsi="Times New Roman" w:cs="Times New Roman" w:hint="eastAsia"/>
                <w:color w:val="000000" w:themeColor="text1"/>
                <w:szCs w:val="21"/>
              </w:rPr>
              <w:t>阿托伐他汀</w:t>
            </w:r>
            <w:r>
              <w:rPr>
                <w:rFonts w:ascii="Times New Roman" w:eastAsia="宋体" w:hAnsi="Times New Roman" w:cs="Times New Roman"/>
                <w:color w:val="000000" w:themeColor="text1"/>
                <w:szCs w:val="21"/>
              </w:rPr>
              <w:t>10 mg</w:t>
            </w:r>
          </w:p>
        </w:tc>
        <w:tc>
          <w:tcPr>
            <w:tcW w:w="450" w:type="pct"/>
            <w:vAlign w:val="center"/>
          </w:tcPr>
          <w:p w:rsidR="002E5476" w:rsidRDefault="002E5476">
            <w:pPr>
              <w:pStyle w:val="10"/>
              <w:ind w:firstLineChars="0" w:firstLine="0"/>
              <w:rPr>
                <w:rFonts w:ascii="Times New Roman" w:eastAsia="宋体" w:hAnsi="Times New Roman" w:cs="Times New Roman"/>
                <w:color w:val="000000" w:themeColor="text1"/>
                <w:szCs w:val="21"/>
              </w:rPr>
            </w:pPr>
          </w:p>
        </w:tc>
        <w:tc>
          <w:tcPr>
            <w:tcW w:w="808"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1</w:t>
            </w:r>
            <w:r>
              <w:rPr>
                <w:rFonts w:ascii="Times New Roman" w:eastAsia="宋体" w:hAnsi="Times New Roman" w:cs="Times New Roman" w:hint="eastAsia"/>
                <w:color w:val="000000" w:themeColor="text1"/>
                <w:szCs w:val="21"/>
              </w:rPr>
              <w:t>片，</w:t>
            </w:r>
            <w:r>
              <w:rPr>
                <w:rFonts w:ascii="Times New Roman" w:eastAsia="宋体" w:hAnsi="Times New Roman" w:cs="Times New Roman"/>
                <w:color w:val="000000" w:themeColor="text1"/>
                <w:szCs w:val="21"/>
              </w:rPr>
              <w:t>qd</w:t>
            </w:r>
          </w:p>
        </w:tc>
        <w:tc>
          <w:tcPr>
            <w:tcW w:w="1617"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转氨酶升高</w:t>
            </w:r>
          </w:p>
        </w:tc>
      </w:tr>
      <w:tr w:rsidR="002E5476">
        <w:trPr>
          <w:trHeight w:val="502"/>
          <w:tblHeader/>
          <w:jc w:val="center"/>
        </w:trPr>
        <w:tc>
          <w:tcPr>
            <w:tcW w:w="811" w:type="pct"/>
            <w:vAlign w:val="center"/>
          </w:tcPr>
          <w:p w:rsidR="002E5476" w:rsidRDefault="00423E71">
            <w:pPr>
              <w:widowControl/>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坎地沙坦酯</w:t>
            </w:r>
            <w:r>
              <w:rPr>
                <w:rFonts w:ascii="Times New Roman" w:eastAsia="宋体" w:hAnsi="Times New Roman" w:cs="Times New Roman"/>
                <w:color w:val="000000" w:themeColor="text1"/>
                <w:szCs w:val="21"/>
              </w:rPr>
              <w:t>/</w:t>
            </w:r>
            <w:r>
              <w:rPr>
                <w:rFonts w:ascii="Times New Roman" w:eastAsia="宋体" w:hAnsi="Times New Roman" w:cs="Times New Roman" w:hint="eastAsia"/>
                <w:color w:val="000000" w:themeColor="text1"/>
                <w:szCs w:val="21"/>
              </w:rPr>
              <w:t>氢氯噻嗪</w:t>
            </w:r>
          </w:p>
        </w:tc>
        <w:tc>
          <w:tcPr>
            <w:tcW w:w="1314" w:type="pct"/>
            <w:vAlign w:val="center"/>
          </w:tcPr>
          <w:p w:rsidR="002E5476" w:rsidRDefault="00423E71">
            <w:pPr>
              <w:widowControl/>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坎地沙坦酯</w:t>
            </w:r>
            <w:r>
              <w:rPr>
                <w:rFonts w:ascii="Times New Roman" w:eastAsia="宋体" w:hAnsi="Times New Roman" w:cs="Times New Roman"/>
                <w:color w:val="000000" w:themeColor="text1"/>
                <w:szCs w:val="21"/>
              </w:rPr>
              <w:t>16 mg/</w:t>
            </w:r>
            <w:r>
              <w:rPr>
                <w:rFonts w:ascii="Times New Roman" w:eastAsia="宋体" w:hAnsi="Times New Roman" w:cs="Times New Roman" w:hint="eastAsia"/>
                <w:color w:val="000000" w:themeColor="text1"/>
                <w:szCs w:val="21"/>
              </w:rPr>
              <w:t>氢氯噻嗪</w:t>
            </w:r>
            <w:r>
              <w:rPr>
                <w:rFonts w:ascii="Times New Roman" w:eastAsia="宋体" w:hAnsi="Times New Roman" w:cs="Times New Roman"/>
                <w:color w:val="000000" w:themeColor="text1"/>
                <w:szCs w:val="21"/>
              </w:rPr>
              <w:t>12.5 mg</w:t>
            </w:r>
          </w:p>
        </w:tc>
        <w:tc>
          <w:tcPr>
            <w:tcW w:w="450" w:type="pct"/>
            <w:vAlign w:val="center"/>
          </w:tcPr>
          <w:p w:rsidR="002E5476" w:rsidRDefault="002E5476">
            <w:pPr>
              <w:pStyle w:val="10"/>
              <w:ind w:firstLineChars="0" w:firstLine="0"/>
              <w:rPr>
                <w:rFonts w:ascii="Times New Roman" w:eastAsia="宋体" w:hAnsi="Times New Roman" w:cs="Times New Roman"/>
                <w:color w:val="000000" w:themeColor="text1"/>
                <w:szCs w:val="21"/>
              </w:rPr>
            </w:pPr>
          </w:p>
        </w:tc>
        <w:tc>
          <w:tcPr>
            <w:tcW w:w="808"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1</w:t>
            </w:r>
            <w:r>
              <w:rPr>
                <w:rFonts w:ascii="Times New Roman" w:eastAsia="宋体" w:hAnsi="Times New Roman" w:cs="Times New Roman" w:hint="eastAsia"/>
                <w:color w:val="000000" w:themeColor="text1"/>
                <w:szCs w:val="21"/>
              </w:rPr>
              <w:t>片，</w:t>
            </w:r>
            <w:r>
              <w:rPr>
                <w:rFonts w:ascii="Times New Roman" w:eastAsia="宋体" w:hAnsi="Times New Roman" w:cs="Times New Roman"/>
                <w:color w:val="000000" w:themeColor="text1"/>
                <w:szCs w:val="21"/>
              </w:rPr>
              <w:t>qd</w:t>
            </w:r>
          </w:p>
        </w:tc>
        <w:tc>
          <w:tcPr>
            <w:tcW w:w="1617" w:type="pct"/>
            <w:vAlign w:val="center"/>
          </w:tcPr>
          <w:p w:rsidR="002E5476" w:rsidRDefault="00423E71">
            <w:pPr>
              <w:pStyle w:val="10"/>
              <w:ind w:firstLineChars="0" w:firstLine="0"/>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头晕、站立不稳</w:t>
            </w:r>
          </w:p>
        </w:tc>
      </w:tr>
    </w:tbl>
    <w:p w:rsidR="002E5476" w:rsidRPr="00314A0E" w:rsidRDefault="00423E71" w:rsidP="00314A0E">
      <w:pPr>
        <w:pStyle w:val="10"/>
        <w:spacing w:line="360" w:lineRule="auto"/>
        <w:ind w:firstLineChars="0" w:firstLine="0"/>
        <w:jc w:val="left"/>
        <w:rPr>
          <w:rFonts w:ascii="Times New Roman" w:eastAsia="宋体" w:hAnsi="Times New Roman" w:cs="Times New Roman"/>
          <w:color w:val="000000" w:themeColor="text1"/>
          <w:sz w:val="18"/>
          <w:szCs w:val="18"/>
        </w:rPr>
      </w:pPr>
      <w:r>
        <w:rPr>
          <w:rFonts w:ascii="Times New Roman" w:eastAsia="宋体" w:hAnsi="Times New Roman" w:cs="Times New Roman" w:hint="eastAsia"/>
          <w:color w:val="000000" w:themeColor="text1"/>
          <w:sz w:val="18"/>
          <w:szCs w:val="18"/>
        </w:rPr>
        <w:t>注：使用方法详见国家药品监督管理局批准的有关药物的说明书</w:t>
      </w:r>
    </w:p>
    <w:p w:rsidR="002E5476" w:rsidRDefault="00423E71">
      <w:pPr>
        <w:pStyle w:val="10"/>
        <w:ind w:firstLineChars="0" w:firstLine="75"/>
        <w:jc w:val="center"/>
        <w:rPr>
          <w:rFonts w:ascii="Times New Roman" w:eastAsia="宋体" w:hAnsi="Times New Roman" w:cs="Times New Roman"/>
          <w:b/>
          <w:color w:val="000000" w:themeColor="text1"/>
          <w:sz w:val="24"/>
          <w:szCs w:val="24"/>
        </w:rPr>
      </w:pPr>
      <w:bookmarkStart w:id="37" w:name="_Toc583236167_WPSOffice_Level1"/>
      <w:r>
        <w:rPr>
          <w:rFonts w:ascii="Times New Roman" w:eastAsia="宋体" w:hAnsi="Times New Roman" w:cs="Times New Roman" w:hint="eastAsia"/>
          <w:b/>
          <w:color w:val="000000" w:themeColor="text1"/>
          <w:sz w:val="24"/>
          <w:szCs w:val="24"/>
        </w:rPr>
        <w:lastRenderedPageBreak/>
        <w:t>表</w:t>
      </w:r>
      <w:r>
        <w:rPr>
          <w:rFonts w:ascii="Times New Roman" w:eastAsia="宋体" w:hAnsi="Times New Roman" w:cs="Times New Roman"/>
          <w:b/>
          <w:color w:val="000000" w:themeColor="text1"/>
          <w:sz w:val="24"/>
          <w:szCs w:val="24"/>
        </w:rPr>
        <w:t xml:space="preserve">5  </w:t>
      </w:r>
      <w:r>
        <w:rPr>
          <w:rFonts w:ascii="Times New Roman" w:eastAsia="宋体" w:hAnsi="Times New Roman" w:cs="Times New Roman" w:hint="eastAsia"/>
          <w:b/>
          <w:color w:val="000000" w:themeColor="text1"/>
          <w:sz w:val="24"/>
          <w:szCs w:val="24"/>
        </w:rPr>
        <w:t>透析患者降压药物的剂量调</w:t>
      </w:r>
      <w:bookmarkEnd w:id="37"/>
      <w:r>
        <w:rPr>
          <w:rFonts w:ascii="Times New Roman" w:eastAsia="宋体" w:hAnsi="Times New Roman" w:cs="Times New Roman" w:hint="eastAsia"/>
          <w:b/>
          <w:color w:val="000000" w:themeColor="text1"/>
          <w:sz w:val="24"/>
          <w:szCs w:val="24"/>
        </w:rPr>
        <w:t>整</w:t>
      </w:r>
    </w:p>
    <w:tbl>
      <w:tblPr>
        <w:tblW w:w="5000" w:type="pct"/>
        <w:jc w:val="center"/>
        <w:tblLayout w:type="fixed"/>
        <w:tblCellMar>
          <w:top w:w="15" w:type="dxa"/>
          <w:left w:w="15" w:type="dxa"/>
          <w:bottom w:w="15" w:type="dxa"/>
          <w:right w:w="15" w:type="dxa"/>
        </w:tblCellMar>
        <w:tblLook w:val="04A0"/>
      </w:tblPr>
      <w:tblGrid>
        <w:gridCol w:w="1595"/>
        <w:gridCol w:w="1577"/>
        <w:gridCol w:w="1050"/>
        <w:gridCol w:w="1228"/>
        <w:gridCol w:w="1226"/>
        <w:gridCol w:w="1190"/>
        <w:gridCol w:w="913"/>
        <w:gridCol w:w="840"/>
        <w:gridCol w:w="878"/>
      </w:tblGrid>
      <w:tr w:rsidR="002E5476">
        <w:trPr>
          <w:trHeight w:val="540"/>
          <w:jc w:val="center"/>
        </w:trPr>
        <w:tc>
          <w:tcPr>
            <w:tcW w:w="760" w:type="pct"/>
            <w:vMerge w:val="restart"/>
            <w:tcBorders>
              <w:top w:val="single" w:sz="4" w:space="0" w:color="000000"/>
              <w:left w:val="single" w:sz="4" w:space="0" w:color="000000"/>
              <w:right w:val="single" w:sz="4" w:space="0" w:color="000000"/>
            </w:tcBorders>
            <w:shd w:val="clear" w:color="auto" w:fill="D9D9D9" w:themeFill="background1" w:themeFillShade="D9"/>
            <w:vAlign w:val="center"/>
          </w:tcPr>
          <w:p w:rsidR="002E5476" w:rsidRDefault="00423E71">
            <w:pPr>
              <w:widowControl/>
              <w:jc w:val="center"/>
              <w:textAlignment w:val="center"/>
              <w:rPr>
                <w:rFonts w:ascii="Times New Roman" w:eastAsia="宋体" w:hAnsi="Times New Roman" w:cs="Times New Roman"/>
                <w:b/>
                <w:bCs/>
                <w:color w:val="000000" w:themeColor="text1"/>
                <w:szCs w:val="21"/>
              </w:rPr>
            </w:pPr>
            <w:r>
              <w:rPr>
                <w:rFonts w:ascii="Times New Roman" w:eastAsia="宋体" w:hAnsi="Times New Roman" w:cs="Times New Roman" w:hint="eastAsia"/>
                <w:b/>
                <w:bCs/>
                <w:color w:val="000000" w:themeColor="text1"/>
                <w:kern w:val="0"/>
                <w:szCs w:val="21"/>
              </w:rPr>
              <w:t>药物</w:t>
            </w:r>
          </w:p>
        </w:tc>
        <w:tc>
          <w:tcPr>
            <w:tcW w:w="751" w:type="pct"/>
            <w:vMerge w:val="restart"/>
            <w:tcBorders>
              <w:top w:val="single" w:sz="4" w:space="0" w:color="000000"/>
              <w:left w:val="single" w:sz="4" w:space="0" w:color="000000"/>
              <w:right w:val="single" w:sz="4" w:space="0" w:color="000000"/>
            </w:tcBorders>
            <w:shd w:val="clear" w:color="auto" w:fill="D9D9D9" w:themeFill="background1" w:themeFillShade="D9"/>
            <w:vAlign w:val="center"/>
          </w:tcPr>
          <w:p w:rsidR="002E5476" w:rsidRDefault="00423E71">
            <w:pPr>
              <w:widowControl/>
              <w:jc w:val="center"/>
              <w:textAlignment w:val="center"/>
              <w:rPr>
                <w:rFonts w:ascii="Times New Roman" w:eastAsia="宋体" w:hAnsi="Times New Roman" w:cs="Times New Roman"/>
                <w:b/>
                <w:bCs/>
                <w:color w:val="000000" w:themeColor="text1"/>
                <w:szCs w:val="21"/>
              </w:rPr>
            </w:pPr>
            <w:r>
              <w:rPr>
                <w:rStyle w:val="font41"/>
                <w:rFonts w:eastAsia="宋体" w:hint="eastAsia"/>
                <w:b/>
                <w:bCs/>
                <w:color w:val="000000" w:themeColor="text1"/>
                <w:sz w:val="21"/>
                <w:szCs w:val="21"/>
              </w:rPr>
              <w:t>常用剂量</w:t>
            </w:r>
          </w:p>
        </w:tc>
        <w:tc>
          <w:tcPr>
            <w:tcW w:w="500" w:type="pct"/>
            <w:vMerge w:val="restart"/>
            <w:tcBorders>
              <w:top w:val="single" w:sz="4" w:space="0" w:color="000000"/>
              <w:left w:val="single" w:sz="4" w:space="0" w:color="000000"/>
              <w:right w:val="single" w:sz="4" w:space="0" w:color="000000"/>
            </w:tcBorders>
            <w:shd w:val="clear" w:color="auto" w:fill="D9D9D9" w:themeFill="background1" w:themeFillShade="D9"/>
            <w:vAlign w:val="center"/>
          </w:tcPr>
          <w:p w:rsidR="002E5476" w:rsidRDefault="00423E71">
            <w:pPr>
              <w:widowControl/>
              <w:jc w:val="center"/>
              <w:textAlignment w:val="center"/>
              <w:rPr>
                <w:rFonts w:ascii="Times New Roman" w:eastAsia="宋体" w:hAnsi="Times New Roman" w:cs="Times New Roman"/>
                <w:b/>
                <w:bCs/>
                <w:color w:val="000000" w:themeColor="text1"/>
                <w:szCs w:val="21"/>
              </w:rPr>
            </w:pPr>
            <w:r>
              <w:rPr>
                <w:rFonts w:ascii="Times New Roman" w:eastAsia="宋体" w:hAnsi="Times New Roman" w:cs="Times New Roman" w:hint="eastAsia"/>
                <w:b/>
                <w:bCs/>
                <w:color w:val="000000" w:themeColor="text1"/>
                <w:kern w:val="0"/>
                <w:szCs w:val="21"/>
              </w:rPr>
              <w:t>排泄途径</w:t>
            </w:r>
          </w:p>
        </w:tc>
        <w:tc>
          <w:tcPr>
            <w:tcW w:w="1736" w:type="pct"/>
            <w:gridSpan w:val="3"/>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2E5476" w:rsidRDefault="00423E71">
            <w:pPr>
              <w:widowControl/>
              <w:jc w:val="center"/>
              <w:textAlignment w:val="center"/>
              <w:rPr>
                <w:rFonts w:ascii="Times New Roman" w:eastAsia="宋体" w:hAnsi="Times New Roman" w:cs="Times New Roman"/>
                <w:b/>
                <w:bCs/>
                <w:color w:val="000000" w:themeColor="text1"/>
                <w:kern w:val="0"/>
                <w:szCs w:val="21"/>
              </w:rPr>
            </w:pPr>
            <w:r>
              <w:rPr>
                <w:rFonts w:ascii="Times New Roman" w:eastAsia="宋体" w:hAnsi="Times New Roman" w:cs="Times New Roman" w:hint="eastAsia"/>
                <w:b/>
                <w:bCs/>
                <w:color w:val="000000" w:themeColor="text1"/>
                <w:kern w:val="0"/>
                <w:szCs w:val="21"/>
              </w:rPr>
              <w:t>肾功能不全剂量调整</w:t>
            </w:r>
          </w:p>
        </w:tc>
        <w:tc>
          <w:tcPr>
            <w:tcW w:w="435" w:type="pct"/>
            <w:vMerge w:val="restart"/>
            <w:tcBorders>
              <w:top w:val="single" w:sz="4" w:space="0" w:color="000000"/>
              <w:left w:val="single" w:sz="4" w:space="0" w:color="000000"/>
              <w:right w:val="single" w:sz="4" w:space="0" w:color="000000"/>
            </w:tcBorders>
            <w:shd w:val="clear" w:color="auto" w:fill="D9D9D9" w:themeFill="background1" w:themeFillShade="D9"/>
            <w:vAlign w:val="center"/>
          </w:tcPr>
          <w:p w:rsidR="002E5476" w:rsidRDefault="00423E71">
            <w:pPr>
              <w:widowControl/>
              <w:jc w:val="center"/>
              <w:textAlignment w:val="center"/>
              <w:rPr>
                <w:rFonts w:ascii="Times New Roman" w:eastAsia="宋体" w:hAnsi="Times New Roman" w:cs="Times New Roman"/>
                <w:b/>
                <w:bCs/>
                <w:color w:val="000000" w:themeColor="text1"/>
                <w:kern w:val="0"/>
                <w:szCs w:val="21"/>
              </w:rPr>
            </w:pPr>
            <w:r>
              <w:rPr>
                <w:rFonts w:ascii="Times New Roman" w:eastAsia="宋体" w:hAnsi="Times New Roman" w:cs="Times New Roman"/>
                <w:b/>
                <w:bCs/>
                <w:color w:val="000000" w:themeColor="text1"/>
                <w:kern w:val="0"/>
                <w:szCs w:val="21"/>
              </w:rPr>
              <w:t>CAPD</w:t>
            </w:r>
          </w:p>
        </w:tc>
        <w:tc>
          <w:tcPr>
            <w:tcW w:w="400" w:type="pct"/>
            <w:vMerge w:val="restart"/>
            <w:tcBorders>
              <w:top w:val="single" w:sz="4" w:space="0" w:color="000000"/>
              <w:left w:val="single" w:sz="4" w:space="0" w:color="000000"/>
              <w:right w:val="single" w:sz="4" w:space="0" w:color="000000"/>
            </w:tcBorders>
            <w:shd w:val="clear" w:color="auto" w:fill="D9D9D9" w:themeFill="background1" w:themeFillShade="D9"/>
            <w:vAlign w:val="center"/>
          </w:tcPr>
          <w:p w:rsidR="002E5476" w:rsidRDefault="00423E71">
            <w:pPr>
              <w:widowControl/>
              <w:jc w:val="center"/>
              <w:textAlignment w:val="center"/>
              <w:rPr>
                <w:rFonts w:ascii="Times New Roman" w:eastAsia="宋体" w:hAnsi="Times New Roman" w:cs="Times New Roman"/>
                <w:b/>
                <w:bCs/>
                <w:color w:val="000000" w:themeColor="text1"/>
                <w:kern w:val="0"/>
                <w:szCs w:val="21"/>
              </w:rPr>
            </w:pPr>
            <w:r>
              <w:rPr>
                <w:rFonts w:ascii="Times New Roman" w:eastAsia="宋体" w:hAnsi="Times New Roman" w:cs="Times New Roman"/>
                <w:b/>
                <w:bCs/>
                <w:color w:val="000000" w:themeColor="text1"/>
                <w:kern w:val="0"/>
                <w:szCs w:val="21"/>
              </w:rPr>
              <w:t>HD</w:t>
            </w:r>
            <w:r>
              <w:rPr>
                <w:rFonts w:ascii="Times New Roman" w:eastAsia="宋体" w:hAnsi="Times New Roman" w:cs="Times New Roman" w:hint="eastAsia"/>
                <w:b/>
                <w:bCs/>
                <w:color w:val="000000" w:themeColor="text1"/>
                <w:kern w:val="0"/>
                <w:szCs w:val="21"/>
              </w:rPr>
              <w:t>后补充</w:t>
            </w:r>
          </w:p>
        </w:tc>
        <w:tc>
          <w:tcPr>
            <w:tcW w:w="418" w:type="pct"/>
            <w:vMerge w:val="restart"/>
            <w:tcBorders>
              <w:top w:val="single" w:sz="4" w:space="0" w:color="000000"/>
              <w:left w:val="single" w:sz="4" w:space="0" w:color="000000"/>
              <w:right w:val="single" w:sz="4" w:space="0" w:color="000000"/>
            </w:tcBorders>
            <w:shd w:val="clear" w:color="auto" w:fill="D9D9D9" w:themeFill="background1" w:themeFillShade="D9"/>
            <w:vAlign w:val="center"/>
          </w:tcPr>
          <w:p w:rsidR="002E5476" w:rsidRDefault="00423E71">
            <w:pPr>
              <w:widowControl/>
              <w:jc w:val="center"/>
              <w:textAlignment w:val="center"/>
              <w:rPr>
                <w:rFonts w:ascii="Times New Roman" w:eastAsia="宋体" w:hAnsi="Times New Roman" w:cs="Times New Roman"/>
                <w:b/>
                <w:bCs/>
                <w:color w:val="000000" w:themeColor="text1"/>
                <w:kern w:val="0"/>
                <w:szCs w:val="21"/>
              </w:rPr>
            </w:pPr>
            <w:r>
              <w:rPr>
                <w:rFonts w:ascii="Times New Roman" w:eastAsia="宋体" w:hAnsi="Times New Roman" w:cs="Times New Roman"/>
                <w:b/>
                <w:bCs/>
                <w:color w:val="000000" w:themeColor="text1"/>
                <w:kern w:val="0"/>
                <w:szCs w:val="21"/>
              </w:rPr>
              <w:t>CRRT</w:t>
            </w:r>
          </w:p>
        </w:tc>
      </w:tr>
      <w:tr w:rsidR="002E5476">
        <w:trPr>
          <w:trHeight w:val="455"/>
          <w:jc w:val="center"/>
        </w:trPr>
        <w:tc>
          <w:tcPr>
            <w:tcW w:w="760" w:type="pct"/>
            <w:vMerge/>
            <w:tcBorders>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b/>
                <w:bCs/>
                <w:color w:val="000000" w:themeColor="text1"/>
                <w:szCs w:val="21"/>
              </w:rPr>
            </w:pPr>
          </w:p>
        </w:tc>
        <w:tc>
          <w:tcPr>
            <w:tcW w:w="751" w:type="pct"/>
            <w:vMerge/>
            <w:tcBorders>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b/>
                <w:bCs/>
                <w:color w:val="000000" w:themeColor="text1"/>
                <w:szCs w:val="21"/>
              </w:rPr>
            </w:pPr>
          </w:p>
        </w:tc>
        <w:tc>
          <w:tcPr>
            <w:tcW w:w="500" w:type="pct"/>
            <w:vMerge/>
            <w:tcBorders>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b/>
                <w:bCs/>
                <w:color w:val="000000" w:themeColor="text1"/>
                <w:szCs w:val="21"/>
              </w:rPr>
            </w:pPr>
          </w:p>
        </w:tc>
        <w:tc>
          <w:tcPr>
            <w:tcW w:w="585"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2E5476" w:rsidRDefault="00423E71">
            <w:pPr>
              <w:widowControl/>
              <w:jc w:val="center"/>
              <w:textAlignment w:val="center"/>
              <w:rPr>
                <w:rFonts w:ascii="Times New Roman" w:eastAsia="宋体" w:hAnsi="Times New Roman" w:cs="Times New Roman"/>
                <w:b/>
                <w:bCs/>
                <w:color w:val="000000" w:themeColor="text1"/>
                <w:kern w:val="0"/>
                <w:szCs w:val="21"/>
              </w:rPr>
            </w:pPr>
            <w:r>
              <w:rPr>
                <w:rFonts w:ascii="Times New Roman" w:eastAsia="宋体" w:hAnsi="Times New Roman" w:cs="Times New Roman" w:hint="eastAsia"/>
                <w:b/>
                <w:bCs/>
                <w:color w:val="000000" w:themeColor="text1"/>
                <w:kern w:val="0"/>
                <w:szCs w:val="21"/>
              </w:rPr>
              <w:t>轻度</w:t>
            </w:r>
          </w:p>
          <w:p w:rsidR="002E5476" w:rsidRDefault="00423E71">
            <w:pPr>
              <w:widowControl/>
              <w:textAlignment w:val="center"/>
              <w:rPr>
                <w:rFonts w:ascii="Times New Roman" w:eastAsia="宋体" w:hAnsi="Times New Roman" w:cs="Times New Roman"/>
                <w:b/>
                <w:bCs/>
                <w:color w:val="000000" w:themeColor="text1"/>
                <w:kern w:val="0"/>
                <w:szCs w:val="21"/>
                <w:vertAlign w:val="superscript"/>
              </w:rPr>
            </w:pPr>
            <w:r>
              <w:rPr>
                <w:rFonts w:ascii="Times New Roman" w:eastAsia="宋体" w:hAnsi="Times New Roman" w:cs="Times New Roman" w:hint="eastAsia"/>
                <w:b/>
                <w:bCs/>
                <w:color w:val="000000" w:themeColor="text1"/>
                <w:kern w:val="0"/>
                <w:szCs w:val="21"/>
              </w:rPr>
              <w:t>（</w:t>
            </w:r>
            <w:r>
              <w:rPr>
                <w:rFonts w:ascii="Times New Roman" w:eastAsia="宋体" w:hAnsi="Times New Roman" w:cs="Times New Roman"/>
                <w:b/>
                <w:bCs/>
                <w:color w:val="000000" w:themeColor="text1"/>
                <w:kern w:val="0"/>
                <w:szCs w:val="21"/>
              </w:rPr>
              <w:t>eGFR</w:t>
            </w:r>
            <w:r>
              <w:rPr>
                <w:rFonts w:ascii="Times New Roman" w:eastAsia="宋体" w:hAnsi="Times New Roman" w:cs="Times New Roman" w:hint="eastAsia"/>
                <w:b/>
                <w:bCs/>
                <w:color w:val="000000" w:themeColor="text1"/>
                <w:kern w:val="0"/>
                <w:szCs w:val="21"/>
              </w:rPr>
              <w:t>＞</w:t>
            </w:r>
            <w:r>
              <w:rPr>
                <w:rFonts w:ascii="Times New Roman" w:eastAsia="宋体" w:hAnsi="Times New Roman" w:cs="Times New Roman"/>
                <w:b/>
                <w:bCs/>
                <w:color w:val="000000" w:themeColor="text1"/>
                <w:kern w:val="0"/>
                <w:szCs w:val="21"/>
              </w:rPr>
              <w:t>50</w:t>
            </w:r>
            <w:r>
              <w:rPr>
                <w:rFonts w:ascii="Times New Roman" w:eastAsia="宋体" w:hAnsi="Times New Roman" w:cs="Times New Roman" w:hint="eastAsia"/>
                <w:b/>
                <w:bCs/>
                <w:color w:val="000000" w:themeColor="text1"/>
                <w:kern w:val="0"/>
                <w:szCs w:val="21"/>
              </w:rPr>
              <w:t>）</w:t>
            </w:r>
          </w:p>
        </w:tc>
        <w:tc>
          <w:tcPr>
            <w:tcW w:w="584"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2E5476" w:rsidRDefault="00423E71">
            <w:pPr>
              <w:widowControl/>
              <w:jc w:val="center"/>
              <w:textAlignment w:val="center"/>
              <w:rPr>
                <w:rFonts w:ascii="Times New Roman" w:eastAsia="宋体" w:hAnsi="Times New Roman" w:cs="Times New Roman"/>
                <w:b/>
                <w:bCs/>
                <w:color w:val="000000" w:themeColor="text1"/>
                <w:kern w:val="0"/>
                <w:szCs w:val="21"/>
              </w:rPr>
            </w:pPr>
            <w:r>
              <w:rPr>
                <w:rFonts w:ascii="Times New Roman" w:eastAsia="宋体" w:hAnsi="Times New Roman" w:cs="Times New Roman" w:hint="eastAsia"/>
                <w:b/>
                <w:bCs/>
                <w:color w:val="000000" w:themeColor="text1"/>
                <w:kern w:val="0"/>
                <w:szCs w:val="21"/>
              </w:rPr>
              <w:t>中度</w:t>
            </w:r>
          </w:p>
          <w:p w:rsidR="002E5476" w:rsidRDefault="00423E71">
            <w:pPr>
              <w:widowControl/>
              <w:textAlignment w:val="center"/>
              <w:rPr>
                <w:rFonts w:ascii="Times New Roman" w:eastAsia="宋体" w:hAnsi="Times New Roman" w:cs="Times New Roman"/>
                <w:b/>
                <w:bCs/>
                <w:color w:val="000000" w:themeColor="text1"/>
                <w:kern w:val="0"/>
                <w:szCs w:val="21"/>
              </w:rPr>
            </w:pPr>
            <w:r>
              <w:rPr>
                <w:rFonts w:ascii="Times New Roman" w:eastAsia="宋体" w:hAnsi="Times New Roman" w:cs="Times New Roman" w:hint="eastAsia"/>
                <w:b/>
                <w:bCs/>
                <w:color w:val="000000" w:themeColor="text1"/>
                <w:kern w:val="0"/>
                <w:szCs w:val="21"/>
              </w:rPr>
              <w:t>（</w:t>
            </w:r>
            <w:r>
              <w:rPr>
                <w:rFonts w:ascii="Times New Roman" w:eastAsia="宋体" w:hAnsi="Times New Roman" w:cs="Times New Roman"/>
                <w:b/>
                <w:bCs/>
                <w:color w:val="000000" w:themeColor="text1"/>
                <w:kern w:val="0"/>
                <w:szCs w:val="21"/>
              </w:rPr>
              <w:t>eGFR 10~50</w:t>
            </w:r>
            <w:r>
              <w:rPr>
                <w:rFonts w:ascii="Times New Roman" w:eastAsia="宋体" w:hAnsi="Times New Roman" w:cs="Times New Roman" w:hint="eastAsia"/>
                <w:b/>
                <w:bCs/>
                <w:color w:val="000000" w:themeColor="text1"/>
                <w:kern w:val="0"/>
                <w:szCs w:val="21"/>
              </w:rPr>
              <w:t>）</w:t>
            </w:r>
          </w:p>
        </w:tc>
        <w:tc>
          <w:tcPr>
            <w:tcW w:w="567"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2E5476" w:rsidRDefault="00423E71">
            <w:pPr>
              <w:widowControl/>
              <w:jc w:val="center"/>
              <w:textAlignment w:val="center"/>
              <w:rPr>
                <w:rFonts w:ascii="Times New Roman" w:eastAsia="宋体" w:hAnsi="Times New Roman" w:cs="Times New Roman"/>
                <w:b/>
                <w:bCs/>
                <w:color w:val="000000" w:themeColor="text1"/>
                <w:kern w:val="0"/>
                <w:szCs w:val="21"/>
              </w:rPr>
            </w:pPr>
            <w:r>
              <w:rPr>
                <w:rFonts w:ascii="Times New Roman" w:eastAsia="宋体" w:hAnsi="Times New Roman" w:cs="Times New Roman" w:hint="eastAsia"/>
                <w:b/>
                <w:bCs/>
                <w:color w:val="000000" w:themeColor="text1"/>
                <w:kern w:val="0"/>
                <w:szCs w:val="21"/>
              </w:rPr>
              <w:t>重度</w:t>
            </w:r>
          </w:p>
          <w:p w:rsidR="002E5476" w:rsidRDefault="00423E71">
            <w:pPr>
              <w:widowControl/>
              <w:textAlignment w:val="center"/>
              <w:rPr>
                <w:rFonts w:ascii="Times New Roman" w:eastAsia="宋体" w:hAnsi="Times New Roman" w:cs="Times New Roman"/>
                <w:b/>
                <w:bCs/>
                <w:color w:val="000000" w:themeColor="text1"/>
                <w:kern w:val="0"/>
                <w:szCs w:val="21"/>
              </w:rPr>
            </w:pPr>
            <w:r>
              <w:rPr>
                <w:rFonts w:ascii="Times New Roman" w:eastAsia="宋体" w:hAnsi="Times New Roman" w:cs="Times New Roman" w:hint="eastAsia"/>
                <w:b/>
                <w:bCs/>
                <w:color w:val="000000" w:themeColor="text1"/>
                <w:kern w:val="0"/>
                <w:szCs w:val="21"/>
              </w:rPr>
              <w:t>（</w:t>
            </w:r>
            <w:r>
              <w:rPr>
                <w:rFonts w:ascii="Times New Roman" w:eastAsia="宋体" w:hAnsi="Times New Roman" w:cs="Times New Roman"/>
                <w:b/>
                <w:bCs/>
                <w:color w:val="000000" w:themeColor="text1"/>
                <w:kern w:val="0"/>
                <w:szCs w:val="21"/>
              </w:rPr>
              <w:t>eGFR</w:t>
            </w:r>
            <w:r>
              <w:rPr>
                <w:rFonts w:ascii="Times New Roman" w:eastAsia="宋体" w:hAnsi="Times New Roman" w:cs="Times New Roman" w:hint="eastAsia"/>
                <w:b/>
                <w:bCs/>
                <w:color w:val="000000" w:themeColor="text1"/>
                <w:kern w:val="0"/>
                <w:szCs w:val="21"/>
              </w:rPr>
              <w:t>＜</w:t>
            </w:r>
            <w:r>
              <w:rPr>
                <w:rFonts w:ascii="Times New Roman" w:eastAsia="宋体" w:hAnsi="Times New Roman" w:cs="Times New Roman"/>
                <w:b/>
                <w:bCs/>
                <w:color w:val="000000" w:themeColor="text1"/>
                <w:kern w:val="0"/>
                <w:szCs w:val="21"/>
              </w:rPr>
              <w:t>10</w:t>
            </w:r>
            <w:r>
              <w:rPr>
                <w:rFonts w:ascii="Times New Roman" w:eastAsia="宋体" w:hAnsi="Times New Roman" w:cs="Times New Roman" w:hint="eastAsia"/>
                <w:b/>
                <w:bCs/>
                <w:color w:val="000000" w:themeColor="text1"/>
                <w:kern w:val="0"/>
                <w:szCs w:val="21"/>
              </w:rPr>
              <w:t>）</w:t>
            </w:r>
          </w:p>
        </w:tc>
        <w:tc>
          <w:tcPr>
            <w:tcW w:w="435" w:type="pct"/>
            <w:vMerge/>
            <w:tcBorders>
              <w:left w:val="single" w:sz="4" w:space="0" w:color="000000"/>
              <w:bottom w:val="single" w:sz="4" w:space="0" w:color="000000"/>
              <w:right w:val="single" w:sz="4" w:space="0" w:color="000000"/>
            </w:tcBorders>
          </w:tcPr>
          <w:p w:rsidR="002E5476" w:rsidRDefault="002E5476">
            <w:pPr>
              <w:widowControl/>
              <w:textAlignment w:val="center"/>
              <w:rPr>
                <w:rFonts w:ascii="Times New Roman" w:eastAsia="宋体" w:hAnsi="Times New Roman" w:cs="Times New Roman"/>
                <w:b/>
                <w:bCs/>
                <w:color w:val="000000" w:themeColor="text1"/>
                <w:kern w:val="0"/>
                <w:szCs w:val="21"/>
              </w:rPr>
            </w:pPr>
          </w:p>
        </w:tc>
        <w:tc>
          <w:tcPr>
            <w:tcW w:w="400" w:type="pct"/>
            <w:vMerge/>
            <w:tcBorders>
              <w:left w:val="single" w:sz="4" w:space="0" w:color="000000"/>
              <w:bottom w:val="single" w:sz="4" w:space="0" w:color="000000"/>
              <w:right w:val="single" w:sz="4" w:space="0" w:color="000000"/>
            </w:tcBorders>
          </w:tcPr>
          <w:p w:rsidR="002E5476" w:rsidRDefault="002E5476">
            <w:pPr>
              <w:widowControl/>
              <w:textAlignment w:val="center"/>
              <w:rPr>
                <w:rFonts w:ascii="Times New Roman" w:eastAsia="宋体" w:hAnsi="Times New Roman" w:cs="Times New Roman"/>
                <w:b/>
                <w:bCs/>
                <w:color w:val="000000" w:themeColor="text1"/>
                <w:kern w:val="0"/>
                <w:szCs w:val="21"/>
              </w:rPr>
            </w:pPr>
          </w:p>
        </w:tc>
        <w:tc>
          <w:tcPr>
            <w:tcW w:w="418" w:type="pct"/>
            <w:vMerge/>
            <w:tcBorders>
              <w:left w:val="single" w:sz="4" w:space="0" w:color="000000"/>
              <w:bottom w:val="single" w:sz="4" w:space="0" w:color="000000"/>
              <w:right w:val="single" w:sz="4" w:space="0" w:color="000000"/>
            </w:tcBorders>
          </w:tcPr>
          <w:p w:rsidR="002E5476" w:rsidRDefault="002E5476">
            <w:pPr>
              <w:widowControl/>
              <w:textAlignment w:val="center"/>
              <w:rPr>
                <w:rFonts w:ascii="Times New Roman" w:eastAsia="宋体" w:hAnsi="Times New Roman" w:cs="Times New Roman"/>
                <w:b/>
                <w:bCs/>
                <w:color w:val="000000" w:themeColor="text1"/>
                <w:kern w:val="0"/>
                <w:szCs w:val="21"/>
              </w:rPr>
            </w:pPr>
          </w:p>
        </w:tc>
      </w:tr>
      <w:tr w:rsidR="002E5476">
        <w:trPr>
          <w:trHeight w:val="90"/>
          <w:jc w:val="center"/>
        </w:trPr>
        <w:tc>
          <w:tcPr>
            <w:tcW w:w="5000" w:type="pct"/>
            <w:gridSpan w:val="9"/>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rPr>
                <w:rFonts w:ascii="Times New Roman" w:eastAsia="宋体" w:hAnsi="Times New Roman" w:cs="Times New Roman"/>
                <w:b/>
                <w:bCs/>
                <w:color w:val="000000" w:themeColor="text1"/>
                <w:szCs w:val="21"/>
              </w:rPr>
            </w:pPr>
            <w:r>
              <w:rPr>
                <w:rFonts w:ascii="Times New Roman" w:eastAsia="宋体" w:hAnsi="Times New Roman" w:cs="Times New Roman"/>
                <w:b/>
                <w:bCs/>
                <w:color w:val="000000" w:themeColor="text1"/>
                <w:kern w:val="0"/>
                <w:szCs w:val="21"/>
              </w:rPr>
              <w:t>ACEI</w:t>
            </w:r>
            <w:r>
              <w:rPr>
                <w:rFonts w:ascii="Times New Roman" w:eastAsia="宋体" w:hAnsi="Times New Roman" w:cs="Times New Roman" w:hint="eastAsia"/>
                <w:b/>
                <w:bCs/>
                <w:color w:val="000000" w:themeColor="text1"/>
                <w:kern w:val="0"/>
                <w:szCs w:val="21"/>
              </w:rPr>
              <w:t>类</w:t>
            </w:r>
          </w:p>
        </w:tc>
      </w:tr>
      <w:tr w:rsidR="002E5476">
        <w:trPr>
          <w:trHeight w:val="465"/>
          <w:jc w:val="center"/>
        </w:trPr>
        <w:tc>
          <w:tcPr>
            <w:tcW w:w="7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卡托普利</w:t>
            </w:r>
          </w:p>
        </w:tc>
        <w:tc>
          <w:tcPr>
            <w:tcW w:w="7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Style w:val="font41"/>
                <w:rFonts w:eastAsia="宋体"/>
                <w:color w:val="000000" w:themeColor="text1"/>
                <w:sz w:val="21"/>
                <w:szCs w:val="21"/>
              </w:rPr>
            </w:pPr>
            <w:r>
              <w:rPr>
                <w:rStyle w:val="font41"/>
                <w:rFonts w:eastAsia="宋体"/>
                <w:color w:val="000000" w:themeColor="text1"/>
                <w:sz w:val="21"/>
                <w:szCs w:val="21"/>
              </w:rPr>
              <w:t>12.5</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50.0 mg</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tid</w:t>
            </w:r>
          </w:p>
        </w:tc>
        <w:tc>
          <w:tcPr>
            <w:tcW w:w="50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肾</w:t>
            </w:r>
          </w:p>
        </w:tc>
        <w:tc>
          <w:tcPr>
            <w:tcW w:w="585"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100%</w:t>
            </w:r>
          </w:p>
        </w:tc>
        <w:tc>
          <w:tcPr>
            <w:tcW w:w="584"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75%</w:t>
            </w:r>
          </w:p>
        </w:tc>
        <w:tc>
          <w:tcPr>
            <w:tcW w:w="567"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50%</w:t>
            </w:r>
          </w:p>
        </w:tc>
        <w:tc>
          <w:tcPr>
            <w:tcW w:w="435"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50%</w:t>
            </w:r>
          </w:p>
        </w:tc>
        <w:tc>
          <w:tcPr>
            <w:tcW w:w="400"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12.5~25.0 mg</w:t>
            </w:r>
          </w:p>
        </w:tc>
        <w:tc>
          <w:tcPr>
            <w:tcW w:w="418"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75%</w:t>
            </w:r>
          </w:p>
        </w:tc>
      </w:tr>
      <w:tr w:rsidR="002E5476">
        <w:trPr>
          <w:trHeight w:val="465"/>
          <w:jc w:val="center"/>
        </w:trPr>
        <w:tc>
          <w:tcPr>
            <w:tcW w:w="7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依那普利</w:t>
            </w:r>
          </w:p>
        </w:tc>
        <w:tc>
          <w:tcPr>
            <w:tcW w:w="7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Style w:val="font41"/>
                <w:rFonts w:eastAsia="宋体"/>
                <w:color w:val="000000" w:themeColor="text1"/>
                <w:sz w:val="21"/>
                <w:szCs w:val="21"/>
              </w:rPr>
            </w:pPr>
            <w:r>
              <w:rPr>
                <w:rStyle w:val="font41"/>
                <w:rFonts w:eastAsia="宋体"/>
                <w:color w:val="000000" w:themeColor="text1"/>
                <w:sz w:val="21"/>
                <w:szCs w:val="21"/>
              </w:rPr>
              <w:t>2.5~10.0 mg</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q12h</w:t>
            </w:r>
          </w:p>
        </w:tc>
        <w:tc>
          <w:tcPr>
            <w:tcW w:w="50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肾（肝）</w:t>
            </w:r>
          </w:p>
        </w:tc>
        <w:tc>
          <w:tcPr>
            <w:tcW w:w="585"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30</w:t>
            </w: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color w:val="000000" w:themeColor="text1"/>
                <w:kern w:val="0"/>
                <w:szCs w:val="21"/>
              </w:rPr>
              <w:t>eGFR</w:t>
            </w: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color w:val="000000" w:themeColor="text1"/>
                <w:kern w:val="0"/>
                <w:szCs w:val="21"/>
              </w:rPr>
              <w:t>80</w:t>
            </w: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color w:val="000000" w:themeColor="text1"/>
                <w:kern w:val="0"/>
                <w:szCs w:val="21"/>
              </w:rPr>
              <w:t>5~10 mg/d</w:t>
            </w: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color w:val="000000" w:themeColor="text1"/>
                <w:kern w:val="0"/>
                <w:szCs w:val="21"/>
              </w:rPr>
              <w:t>100%</w:t>
            </w:r>
          </w:p>
        </w:tc>
        <w:tc>
          <w:tcPr>
            <w:tcW w:w="584"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10</w:t>
            </w: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color w:val="000000" w:themeColor="text1"/>
                <w:kern w:val="0"/>
                <w:szCs w:val="21"/>
              </w:rPr>
              <w:t>eGFR</w:t>
            </w: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color w:val="000000" w:themeColor="text1"/>
                <w:kern w:val="0"/>
                <w:szCs w:val="21"/>
              </w:rPr>
              <w:t>30</w:t>
            </w: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color w:val="000000" w:themeColor="text1"/>
                <w:kern w:val="0"/>
                <w:szCs w:val="21"/>
              </w:rPr>
              <w:t>2.5~5.0 mg/d</w:t>
            </w: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color w:val="000000" w:themeColor="text1"/>
                <w:kern w:val="0"/>
                <w:szCs w:val="21"/>
              </w:rPr>
              <w:t>75%~100%</w:t>
            </w:r>
          </w:p>
        </w:tc>
        <w:tc>
          <w:tcPr>
            <w:tcW w:w="567"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eGFR</w:t>
            </w: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color w:val="000000" w:themeColor="text1"/>
                <w:kern w:val="0"/>
                <w:szCs w:val="21"/>
              </w:rPr>
              <w:t>10</w:t>
            </w: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color w:val="000000" w:themeColor="text1"/>
                <w:kern w:val="0"/>
                <w:szCs w:val="21"/>
              </w:rPr>
              <w:t>2.5 mg/d</w:t>
            </w:r>
            <w:r>
              <w:rPr>
                <w:rFonts w:ascii="Times New Roman" w:eastAsia="宋体" w:hAnsi="Times New Roman" w:cs="Times New Roman" w:hint="eastAsia"/>
                <w:color w:val="000000" w:themeColor="text1"/>
                <w:kern w:val="0"/>
                <w:szCs w:val="21"/>
              </w:rPr>
              <w:t>（透析）；</w:t>
            </w:r>
            <w:r>
              <w:rPr>
                <w:rFonts w:ascii="Times New Roman" w:eastAsia="宋体" w:hAnsi="Times New Roman" w:cs="Times New Roman"/>
                <w:color w:val="000000" w:themeColor="text1"/>
                <w:szCs w:val="21"/>
              </w:rPr>
              <w:t>50%</w:t>
            </w:r>
          </w:p>
        </w:tc>
        <w:tc>
          <w:tcPr>
            <w:tcW w:w="435"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50%</w:t>
            </w:r>
          </w:p>
        </w:tc>
        <w:tc>
          <w:tcPr>
            <w:tcW w:w="400"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2.5~5.0 mg</w:t>
            </w:r>
          </w:p>
        </w:tc>
        <w:tc>
          <w:tcPr>
            <w:tcW w:w="418"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75%~100%</w:t>
            </w:r>
          </w:p>
        </w:tc>
      </w:tr>
      <w:tr w:rsidR="002E5476">
        <w:trPr>
          <w:trHeight w:val="465"/>
          <w:jc w:val="center"/>
        </w:trPr>
        <w:tc>
          <w:tcPr>
            <w:tcW w:w="7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贝那普利</w:t>
            </w:r>
          </w:p>
        </w:tc>
        <w:tc>
          <w:tcPr>
            <w:tcW w:w="7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Style w:val="font41"/>
                <w:rFonts w:eastAsia="宋体"/>
                <w:color w:val="000000" w:themeColor="text1"/>
                <w:sz w:val="21"/>
                <w:szCs w:val="21"/>
              </w:rPr>
            </w:pPr>
            <w:r>
              <w:rPr>
                <w:rStyle w:val="font41"/>
                <w:rFonts w:eastAsia="宋体"/>
                <w:color w:val="000000" w:themeColor="text1"/>
                <w:sz w:val="21"/>
                <w:szCs w:val="21"/>
              </w:rPr>
              <w:t>5</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40 mg</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qd</w:t>
            </w:r>
          </w:p>
        </w:tc>
        <w:tc>
          <w:tcPr>
            <w:tcW w:w="50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肾（肝）</w:t>
            </w:r>
          </w:p>
        </w:tc>
        <w:tc>
          <w:tcPr>
            <w:tcW w:w="585" w:type="pct"/>
            <w:tcBorders>
              <w:top w:val="single" w:sz="4" w:space="0" w:color="000000"/>
              <w:left w:val="single" w:sz="4" w:space="0" w:color="000000"/>
              <w:bottom w:val="single" w:sz="4" w:space="0" w:color="000000"/>
              <w:right w:val="single" w:sz="4" w:space="0" w:color="000000"/>
            </w:tcBorders>
          </w:tcPr>
          <w:p w:rsidR="002E5476" w:rsidRDefault="00423E71">
            <w:pPr>
              <w:rPr>
                <w:rStyle w:val="font41"/>
                <w:rFonts w:eastAsia="宋体"/>
                <w:color w:val="000000" w:themeColor="text1"/>
                <w:sz w:val="21"/>
                <w:szCs w:val="21"/>
              </w:rPr>
            </w:pPr>
            <w:r>
              <w:rPr>
                <w:rFonts w:ascii="Times New Roman" w:eastAsia="宋体" w:hAnsi="Times New Roman" w:cs="Times New Roman"/>
                <w:color w:val="000000" w:themeColor="text1"/>
                <w:kern w:val="0"/>
                <w:szCs w:val="21"/>
              </w:rPr>
              <w:t>eGFR</w:t>
            </w:r>
            <w:r>
              <w:rPr>
                <w:rStyle w:val="font41"/>
                <w:rFonts w:eastAsia="宋体" w:hint="eastAsia"/>
                <w:color w:val="000000" w:themeColor="text1"/>
                <w:sz w:val="21"/>
                <w:szCs w:val="21"/>
              </w:rPr>
              <w:t>≥</w:t>
            </w:r>
            <w:r>
              <w:rPr>
                <w:rStyle w:val="font41"/>
                <w:rFonts w:eastAsia="宋体"/>
                <w:color w:val="000000" w:themeColor="text1"/>
                <w:sz w:val="21"/>
                <w:szCs w:val="21"/>
              </w:rPr>
              <w:t>30</w:t>
            </w:r>
            <w:r>
              <w:rPr>
                <w:rStyle w:val="font41"/>
                <w:rFonts w:eastAsia="宋体" w:hint="eastAsia"/>
                <w:color w:val="000000" w:themeColor="text1"/>
                <w:sz w:val="21"/>
                <w:szCs w:val="21"/>
              </w:rPr>
              <w:t>常用剂量；</w:t>
            </w:r>
            <w:r>
              <w:rPr>
                <w:rFonts w:ascii="Times New Roman" w:eastAsia="宋体" w:hAnsi="Times New Roman" w:cs="Times New Roman"/>
                <w:color w:val="000000" w:themeColor="text1"/>
                <w:kern w:val="0"/>
                <w:szCs w:val="21"/>
              </w:rPr>
              <w:t>100%</w:t>
            </w:r>
          </w:p>
        </w:tc>
        <w:tc>
          <w:tcPr>
            <w:tcW w:w="584" w:type="pct"/>
            <w:tcBorders>
              <w:top w:val="single" w:sz="4" w:space="0" w:color="000000"/>
              <w:left w:val="single" w:sz="4" w:space="0" w:color="000000"/>
              <w:bottom w:val="single" w:sz="4" w:space="0" w:color="000000"/>
              <w:right w:val="single" w:sz="4" w:space="0" w:color="000000"/>
            </w:tcBorders>
          </w:tcPr>
          <w:p w:rsidR="002E5476" w:rsidRDefault="00423E71">
            <w:pPr>
              <w:rPr>
                <w:rStyle w:val="font41"/>
                <w:rFonts w:eastAsia="宋体"/>
                <w:color w:val="000000" w:themeColor="text1"/>
                <w:sz w:val="21"/>
                <w:szCs w:val="21"/>
              </w:rPr>
            </w:pPr>
            <w:r>
              <w:rPr>
                <w:rFonts w:ascii="Times New Roman" w:eastAsia="宋体" w:hAnsi="Times New Roman" w:cs="Times New Roman"/>
                <w:color w:val="000000" w:themeColor="text1"/>
                <w:kern w:val="0"/>
                <w:szCs w:val="21"/>
              </w:rPr>
              <w:t>eGFR</w:t>
            </w:r>
            <w:r>
              <w:rPr>
                <w:rStyle w:val="font41"/>
                <w:rFonts w:eastAsia="宋体" w:hint="eastAsia"/>
                <w:color w:val="000000" w:themeColor="text1"/>
                <w:sz w:val="21"/>
                <w:szCs w:val="21"/>
              </w:rPr>
              <w:t>＜</w:t>
            </w:r>
            <w:r>
              <w:rPr>
                <w:rStyle w:val="font41"/>
                <w:rFonts w:eastAsia="宋体"/>
                <w:color w:val="000000" w:themeColor="text1"/>
                <w:sz w:val="21"/>
                <w:szCs w:val="21"/>
              </w:rPr>
              <w:t>30</w:t>
            </w:r>
            <w:r>
              <w:rPr>
                <w:rStyle w:val="font41"/>
                <w:rFonts w:eastAsia="宋体" w:hint="eastAsia"/>
                <w:color w:val="000000" w:themeColor="text1"/>
                <w:sz w:val="21"/>
                <w:szCs w:val="21"/>
              </w:rPr>
              <w:t>：</w:t>
            </w:r>
            <w:r>
              <w:rPr>
                <w:rStyle w:val="font41"/>
                <w:rFonts w:eastAsia="宋体"/>
                <w:color w:val="000000" w:themeColor="text1"/>
                <w:sz w:val="21"/>
                <w:szCs w:val="21"/>
              </w:rPr>
              <w:t>5~10 mg/d</w:t>
            </w:r>
            <w:r>
              <w:rPr>
                <w:rStyle w:val="font41"/>
                <w:rFonts w:eastAsia="宋体" w:hint="eastAsia"/>
                <w:color w:val="000000" w:themeColor="text1"/>
                <w:sz w:val="21"/>
                <w:szCs w:val="21"/>
              </w:rPr>
              <w:t>；</w:t>
            </w:r>
            <w:r>
              <w:rPr>
                <w:rFonts w:ascii="Times New Roman" w:eastAsia="宋体" w:hAnsi="Times New Roman" w:cs="Times New Roman"/>
                <w:color w:val="000000" w:themeColor="text1"/>
                <w:kern w:val="0"/>
                <w:szCs w:val="21"/>
              </w:rPr>
              <w:t>50%~75%</w:t>
            </w:r>
          </w:p>
        </w:tc>
        <w:tc>
          <w:tcPr>
            <w:tcW w:w="567" w:type="pct"/>
            <w:tcBorders>
              <w:top w:val="single" w:sz="4" w:space="0" w:color="000000"/>
              <w:left w:val="single" w:sz="4" w:space="0" w:color="000000"/>
              <w:bottom w:val="single" w:sz="4" w:space="0" w:color="000000"/>
              <w:right w:val="single" w:sz="4" w:space="0" w:color="000000"/>
            </w:tcBorders>
          </w:tcPr>
          <w:p w:rsidR="002E5476" w:rsidRDefault="00423E71">
            <w:pPr>
              <w:rPr>
                <w:rStyle w:val="font41"/>
                <w:rFonts w:eastAsia="宋体"/>
                <w:color w:val="000000" w:themeColor="text1"/>
                <w:sz w:val="21"/>
                <w:szCs w:val="21"/>
              </w:rPr>
            </w:pPr>
            <w:r>
              <w:rPr>
                <w:rStyle w:val="font41"/>
                <w:rFonts w:eastAsia="宋体"/>
                <w:color w:val="000000" w:themeColor="text1"/>
                <w:sz w:val="21"/>
                <w:szCs w:val="21"/>
              </w:rPr>
              <w:t>50%~75%</w:t>
            </w:r>
          </w:p>
        </w:tc>
        <w:tc>
          <w:tcPr>
            <w:tcW w:w="435" w:type="pct"/>
            <w:tcBorders>
              <w:top w:val="single" w:sz="4" w:space="0" w:color="000000"/>
              <w:left w:val="single" w:sz="4" w:space="0" w:color="000000"/>
              <w:bottom w:val="single" w:sz="4" w:space="0" w:color="000000"/>
              <w:right w:val="single" w:sz="4" w:space="0" w:color="000000"/>
            </w:tcBorders>
          </w:tcPr>
          <w:p w:rsidR="002E5476" w:rsidRDefault="00423E71">
            <w:pPr>
              <w:rPr>
                <w:rStyle w:val="font41"/>
                <w:rFonts w:eastAsia="宋体"/>
                <w:color w:val="000000" w:themeColor="text1"/>
                <w:sz w:val="21"/>
                <w:szCs w:val="21"/>
              </w:rPr>
            </w:pPr>
            <w:r>
              <w:rPr>
                <w:rStyle w:val="font41"/>
                <w:rFonts w:eastAsia="宋体"/>
                <w:color w:val="000000" w:themeColor="text1"/>
                <w:sz w:val="21"/>
                <w:szCs w:val="21"/>
              </w:rPr>
              <w:t>50%~75%</w:t>
            </w:r>
          </w:p>
        </w:tc>
        <w:tc>
          <w:tcPr>
            <w:tcW w:w="400" w:type="pct"/>
            <w:tcBorders>
              <w:top w:val="single" w:sz="4" w:space="0" w:color="000000"/>
              <w:left w:val="single" w:sz="4" w:space="0" w:color="000000"/>
              <w:bottom w:val="single" w:sz="4" w:space="0" w:color="000000"/>
              <w:right w:val="single" w:sz="4" w:space="0" w:color="000000"/>
            </w:tcBorders>
          </w:tcPr>
          <w:p w:rsidR="002E5476" w:rsidRDefault="00423E71">
            <w:pPr>
              <w:rPr>
                <w:rStyle w:val="font41"/>
                <w:rFonts w:eastAsia="宋体"/>
                <w:color w:val="000000" w:themeColor="text1"/>
                <w:sz w:val="21"/>
                <w:szCs w:val="21"/>
              </w:rPr>
            </w:pPr>
            <w:r>
              <w:rPr>
                <w:rStyle w:val="font41"/>
                <w:rFonts w:eastAsia="宋体"/>
                <w:color w:val="000000" w:themeColor="text1"/>
                <w:sz w:val="21"/>
                <w:szCs w:val="21"/>
              </w:rPr>
              <w:t>5~10 mg</w:t>
            </w:r>
          </w:p>
        </w:tc>
        <w:tc>
          <w:tcPr>
            <w:tcW w:w="418" w:type="pct"/>
            <w:tcBorders>
              <w:top w:val="single" w:sz="4" w:space="0" w:color="000000"/>
              <w:left w:val="single" w:sz="4" w:space="0" w:color="000000"/>
              <w:bottom w:val="single" w:sz="4" w:space="0" w:color="000000"/>
              <w:right w:val="single" w:sz="4" w:space="0" w:color="000000"/>
            </w:tcBorders>
          </w:tcPr>
          <w:p w:rsidR="002E5476" w:rsidRDefault="00423E71">
            <w:pPr>
              <w:rPr>
                <w:rStyle w:val="font41"/>
                <w:rFonts w:eastAsia="宋体"/>
                <w:color w:val="000000" w:themeColor="text1"/>
                <w:sz w:val="21"/>
                <w:szCs w:val="21"/>
              </w:rPr>
            </w:pPr>
            <w:r>
              <w:rPr>
                <w:rStyle w:val="font41"/>
                <w:rFonts w:eastAsia="宋体"/>
                <w:color w:val="000000" w:themeColor="text1"/>
                <w:sz w:val="21"/>
                <w:szCs w:val="21"/>
              </w:rPr>
              <w:t>50%~75%</w:t>
            </w:r>
          </w:p>
        </w:tc>
      </w:tr>
      <w:tr w:rsidR="002E5476">
        <w:trPr>
          <w:trHeight w:val="465"/>
          <w:jc w:val="center"/>
        </w:trPr>
        <w:tc>
          <w:tcPr>
            <w:tcW w:w="7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赖诺普利</w:t>
            </w:r>
          </w:p>
        </w:tc>
        <w:tc>
          <w:tcPr>
            <w:tcW w:w="7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Style w:val="font41"/>
                <w:rFonts w:eastAsia="宋体"/>
                <w:color w:val="000000" w:themeColor="text1"/>
                <w:sz w:val="21"/>
                <w:szCs w:val="21"/>
              </w:rPr>
            </w:pPr>
            <w:r>
              <w:rPr>
                <w:rStyle w:val="font41"/>
                <w:rFonts w:eastAsia="宋体"/>
                <w:color w:val="000000" w:themeColor="text1"/>
                <w:sz w:val="21"/>
                <w:szCs w:val="21"/>
              </w:rPr>
              <w:t>2.5</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10.0 mg</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qd</w:t>
            </w:r>
          </w:p>
        </w:tc>
        <w:tc>
          <w:tcPr>
            <w:tcW w:w="50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肾</w:t>
            </w:r>
          </w:p>
        </w:tc>
        <w:tc>
          <w:tcPr>
            <w:tcW w:w="585"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30</w:t>
            </w: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color w:val="000000" w:themeColor="text1"/>
                <w:kern w:val="0"/>
                <w:szCs w:val="21"/>
              </w:rPr>
              <w:t>eGFR</w:t>
            </w: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color w:val="000000" w:themeColor="text1"/>
                <w:kern w:val="0"/>
                <w:szCs w:val="21"/>
              </w:rPr>
              <w:t>80</w:t>
            </w: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color w:val="000000" w:themeColor="text1"/>
                <w:kern w:val="0"/>
                <w:szCs w:val="21"/>
              </w:rPr>
              <w:t>5~10 mg/d</w:t>
            </w: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color w:val="000000" w:themeColor="text1"/>
                <w:kern w:val="0"/>
                <w:szCs w:val="21"/>
              </w:rPr>
              <w:t>100%</w:t>
            </w:r>
          </w:p>
        </w:tc>
        <w:tc>
          <w:tcPr>
            <w:tcW w:w="584"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10</w:t>
            </w: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color w:val="000000" w:themeColor="text1"/>
                <w:kern w:val="0"/>
                <w:szCs w:val="21"/>
              </w:rPr>
              <w:t>eGFR</w:t>
            </w: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color w:val="000000" w:themeColor="text1"/>
                <w:kern w:val="0"/>
                <w:szCs w:val="21"/>
              </w:rPr>
              <w:t>30</w:t>
            </w: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color w:val="000000" w:themeColor="text1"/>
                <w:kern w:val="0"/>
                <w:szCs w:val="21"/>
              </w:rPr>
              <w:t>2.5~5.0 mg/d</w:t>
            </w: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color w:val="000000" w:themeColor="text1"/>
                <w:kern w:val="0"/>
                <w:szCs w:val="21"/>
              </w:rPr>
              <w:t>50%~75%</w:t>
            </w:r>
          </w:p>
        </w:tc>
        <w:tc>
          <w:tcPr>
            <w:tcW w:w="567"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eGFR</w:t>
            </w: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color w:val="000000" w:themeColor="text1"/>
                <w:kern w:val="0"/>
                <w:szCs w:val="21"/>
              </w:rPr>
              <w:t>10</w:t>
            </w: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color w:val="000000" w:themeColor="text1"/>
                <w:kern w:val="0"/>
                <w:szCs w:val="21"/>
              </w:rPr>
              <w:t>2.5 mg/d</w:t>
            </w: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color w:val="000000" w:themeColor="text1"/>
                <w:szCs w:val="21"/>
              </w:rPr>
              <w:t>25%~50%</w:t>
            </w:r>
          </w:p>
        </w:tc>
        <w:tc>
          <w:tcPr>
            <w:tcW w:w="435"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szCs w:val="21"/>
              </w:rPr>
              <w:t>25%~50%</w:t>
            </w:r>
          </w:p>
        </w:tc>
        <w:tc>
          <w:tcPr>
            <w:tcW w:w="400"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2.5~5.0 mg</w:t>
            </w:r>
          </w:p>
        </w:tc>
        <w:tc>
          <w:tcPr>
            <w:tcW w:w="418"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kern w:val="0"/>
                <w:szCs w:val="21"/>
              </w:rPr>
            </w:pPr>
            <w:r>
              <w:rPr>
                <w:rStyle w:val="font41"/>
                <w:rFonts w:eastAsia="宋体"/>
                <w:color w:val="000000" w:themeColor="text1"/>
                <w:sz w:val="21"/>
                <w:szCs w:val="21"/>
              </w:rPr>
              <w:t>50%~75%</w:t>
            </w:r>
          </w:p>
        </w:tc>
      </w:tr>
      <w:tr w:rsidR="002E5476">
        <w:trPr>
          <w:trHeight w:val="465"/>
          <w:jc w:val="center"/>
        </w:trPr>
        <w:tc>
          <w:tcPr>
            <w:tcW w:w="7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雷米普利</w:t>
            </w:r>
          </w:p>
        </w:tc>
        <w:tc>
          <w:tcPr>
            <w:tcW w:w="7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Style w:val="font41"/>
                <w:rFonts w:eastAsia="宋体"/>
                <w:color w:val="000000" w:themeColor="text1"/>
                <w:sz w:val="21"/>
                <w:szCs w:val="21"/>
              </w:rPr>
            </w:pPr>
            <w:r>
              <w:rPr>
                <w:rStyle w:val="font41"/>
                <w:rFonts w:eastAsia="宋体"/>
                <w:color w:val="000000" w:themeColor="text1"/>
                <w:sz w:val="21"/>
                <w:szCs w:val="21"/>
              </w:rPr>
              <w:t>5</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10 mg</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qd</w:t>
            </w:r>
          </w:p>
        </w:tc>
        <w:tc>
          <w:tcPr>
            <w:tcW w:w="50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肾（肝）</w:t>
            </w:r>
          </w:p>
        </w:tc>
        <w:tc>
          <w:tcPr>
            <w:tcW w:w="585" w:type="pct"/>
            <w:tcBorders>
              <w:top w:val="single" w:sz="4" w:space="0" w:color="000000"/>
              <w:left w:val="single" w:sz="4" w:space="0" w:color="000000"/>
              <w:bottom w:val="single" w:sz="4" w:space="0" w:color="000000"/>
              <w:right w:val="single" w:sz="4" w:space="0" w:color="000000"/>
            </w:tcBorders>
          </w:tcPr>
          <w:p w:rsidR="002E5476" w:rsidRDefault="00423E71">
            <w:pPr>
              <w:rPr>
                <w:rStyle w:val="font41"/>
                <w:rFonts w:eastAsia="宋体"/>
                <w:color w:val="000000" w:themeColor="text1"/>
                <w:sz w:val="21"/>
                <w:szCs w:val="21"/>
              </w:rPr>
            </w:pPr>
            <w:r>
              <w:rPr>
                <w:rFonts w:ascii="Times New Roman" w:eastAsia="宋体" w:hAnsi="Times New Roman" w:cs="Times New Roman"/>
                <w:color w:val="000000" w:themeColor="text1"/>
                <w:kern w:val="0"/>
                <w:szCs w:val="21"/>
              </w:rPr>
              <w:t>100%</w:t>
            </w:r>
          </w:p>
        </w:tc>
        <w:tc>
          <w:tcPr>
            <w:tcW w:w="584" w:type="pct"/>
            <w:tcBorders>
              <w:top w:val="single" w:sz="4" w:space="0" w:color="000000"/>
              <w:left w:val="single" w:sz="4" w:space="0" w:color="000000"/>
              <w:bottom w:val="single" w:sz="4" w:space="0" w:color="000000"/>
              <w:right w:val="single" w:sz="4" w:space="0" w:color="000000"/>
            </w:tcBorders>
          </w:tcPr>
          <w:p w:rsidR="002E5476" w:rsidRDefault="00423E71">
            <w:pPr>
              <w:rPr>
                <w:rStyle w:val="font41"/>
                <w:rFonts w:eastAsia="宋体"/>
                <w:color w:val="000000" w:themeColor="text1"/>
                <w:sz w:val="21"/>
                <w:szCs w:val="21"/>
              </w:rPr>
            </w:pPr>
            <w:r>
              <w:rPr>
                <w:rFonts w:ascii="Times New Roman" w:eastAsia="宋体" w:hAnsi="Times New Roman" w:cs="Times New Roman"/>
                <w:color w:val="000000" w:themeColor="text1"/>
                <w:kern w:val="0"/>
                <w:szCs w:val="21"/>
              </w:rPr>
              <w:t>50%~75%</w:t>
            </w:r>
          </w:p>
        </w:tc>
        <w:tc>
          <w:tcPr>
            <w:tcW w:w="567" w:type="pct"/>
            <w:tcBorders>
              <w:top w:val="single" w:sz="4" w:space="0" w:color="000000"/>
              <w:left w:val="single" w:sz="4" w:space="0" w:color="000000"/>
              <w:bottom w:val="single" w:sz="4" w:space="0" w:color="000000"/>
              <w:right w:val="single" w:sz="4" w:space="0" w:color="000000"/>
            </w:tcBorders>
          </w:tcPr>
          <w:p w:rsidR="002E5476" w:rsidRDefault="00423E71">
            <w:pPr>
              <w:rPr>
                <w:rStyle w:val="font41"/>
                <w:rFonts w:eastAsia="宋体"/>
                <w:color w:val="000000" w:themeColor="text1"/>
                <w:sz w:val="21"/>
                <w:szCs w:val="21"/>
              </w:rPr>
            </w:pPr>
            <w:r>
              <w:rPr>
                <w:rFonts w:ascii="Times New Roman" w:eastAsia="宋体" w:hAnsi="Times New Roman" w:cs="Times New Roman"/>
                <w:color w:val="000000" w:themeColor="text1"/>
                <w:szCs w:val="21"/>
              </w:rPr>
              <w:t>25%~50%</w:t>
            </w:r>
          </w:p>
        </w:tc>
        <w:tc>
          <w:tcPr>
            <w:tcW w:w="435" w:type="pct"/>
            <w:tcBorders>
              <w:top w:val="single" w:sz="4" w:space="0" w:color="000000"/>
              <w:left w:val="single" w:sz="4" w:space="0" w:color="000000"/>
              <w:bottom w:val="single" w:sz="4" w:space="0" w:color="000000"/>
              <w:right w:val="single" w:sz="4" w:space="0" w:color="000000"/>
            </w:tcBorders>
          </w:tcPr>
          <w:p w:rsidR="002E5476" w:rsidRDefault="00423E71">
            <w:pPr>
              <w:rPr>
                <w:rStyle w:val="font41"/>
                <w:rFonts w:eastAsia="宋体"/>
                <w:color w:val="000000" w:themeColor="text1"/>
                <w:sz w:val="21"/>
                <w:szCs w:val="21"/>
              </w:rPr>
            </w:pPr>
            <w:r>
              <w:rPr>
                <w:rFonts w:ascii="Times New Roman" w:eastAsia="宋体" w:hAnsi="Times New Roman" w:cs="Times New Roman"/>
                <w:color w:val="000000" w:themeColor="text1"/>
                <w:szCs w:val="21"/>
              </w:rPr>
              <w:t>25%~50%</w:t>
            </w:r>
          </w:p>
        </w:tc>
        <w:tc>
          <w:tcPr>
            <w:tcW w:w="400" w:type="pct"/>
            <w:tcBorders>
              <w:top w:val="single" w:sz="4" w:space="0" w:color="000000"/>
              <w:left w:val="single" w:sz="4" w:space="0" w:color="000000"/>
              <w:bottom w:val="single" w:sz="4" w:space="0" w:color="000000"/>
              <w:right w:val="single" w:sz="4" w:space="0" w:color="000000"/>
            </w:tcBorders>
          </w:tcPr>
          <w:p w:rsidR="002E5476" w:rsidRDefault="00423E71">
            <w:pPr>
              <w:rPr>
                <w:rStyle w:val="font41"/>
                <w:rFonts w:eastAsia="宋体"/>
                <w:color w:val="000000" w:themeColor="text1"/>
                <w:sz w:val="21"/>
                <w:szCs w:val="21"/>
              </w:rPr>
            </w:pPr>
            <w:r>
              <w:rPr>
                <w:rStyle w:val="font41"/>
                <w:rFonts w:eastAsia="宋体"/>
                <w:color w:val="000000" w:themeColor="text1"/>
                <w:sz w:val="21"/>
                <w:szCs w:val="21"/>
              </w:rPr>
              <w:t>2.5 mg</w:t>
            </w:r>
          </w:p>
        </w:tc>
        <w:tc>
          <w:tcPr>
            <w:tcW w:w="418" w:type="pct"/>
            <w:tcBorders>
              <w:top w:val="single" w:sz="4" w:space="0" w:color="000000"/>
              <w:left w:val="single" w:sz="4" w:space="0" w:color="000000"/>
              <w:bottom w:val="single" w:sz="4" w:space="0" w:color="000000"/>
              <w:right w:val="single" w:sz="4" w:space="0" w:color="000000"/>
            </w:tcBorders>
          </w:tcPr>
          <w:p w:rsidR="002E5476" w:rsidRDefault="00423E71">
            <w:pPr>
              <w:rPr>
                <w:rStyle w:val="font41"/>
                <w:rFonts w:eastAsia="宋体"/>
                <w:color w:val="000000" w:themeColor="text1"/>
                <w:sz w:val="21"/>
                <w:szCs w:val="21"/>
              </w:rPr>
            </w:pPr>
            <w:r>
              <w:rPr>
                <w:rFonts w:ascii="Times New Roman" w:eastAsia="宋体" w:hAnsi="Times New Roman" w:cs="Times New Roman"/>
                <w:color w:val="000000" w:themeColor="text1"/>
                <w:kern w:val="0"/>
                <w:szCs w:val="21"/>
              </w:rPr>
              <w:t>50%~75%</w:t>
            </w:r>
          </w:p>
        </w:tc>
      </w:tr>
      <w:tr w:rsidR="002E5476">
        <w:trPr>
          <w:trHeight w:val="465"/>
          <w:jc w:val="center"/>
        </w:trPr>
        <w:tc>
          <w:tcPr>
            <w:tcW w:w="7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福辛普利</w:t>
            </w:r>
          </w:p>
        </w:tc>
        <w:tc>
          <w:tcPr>
            <w:tcW w:w="7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Style w:val="font41"/>
                <w:rFonts w:eastAsia="宋体"/>
                <w:color w:val="000000" w:themeColor="text1"/>
                <w:sz w:val="21"/>
                <w:szCs w:val="21"/>
              </w:rPr>
            </w:pPr>
            <w:r>
              <w:rPr>
                <w:rStyle w:val="font41"/>
                <w:rFonts w:eastAsia="宋体"/>
                <w:color w:val="000000" w:themeColor="text1"/>
                <w:sz w:val="21"/>
                <w:szCs w:val="21"/>
              </w:rPr>
              <w:t>10 mg</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qd</w:t>
            </w:r>
          </w:p>
        </w:tc>
        <w:tc>
          <w:tcPr>
            <w:tcW w:w="50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肾（肝）</w:t>
            </w:r>
          </w:p>
        </w:tc>
        <w:tc>
          <w:tcPr>
            <w:tcW w:w="585"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100%</w:t>
            </w:r>
          </w:p>
        </w:tc>
        <w:tc>
          <w:tcPr>
            <w:tcW w:w="584"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100%</w:t>
            </w:r>
          </w:p>
        </w:tc>
        <w:tc>
          <w:tcPr>
            <w:tcW w:w="567"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75%</w:t>
            </w:r>
          </w:p>
        </w:tc>
        <w:tc>
          <w:tcPr>
            <w:tcW w:w="435"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75%~</w:t>
            </w:r>
          </w:p>
        </w:tc>
        <w:tc>
          <w:tcPr>
            <w:tcW w:w="400"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不用</w:t>
            </w:r>
          </w:p>
        </w:tc>
        <w:tc>
          <w:tcPr>
            <w:tcW w:w="418"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100%</w:t>
            </w:r>
          </w:p>
        </w:tc>
      </w:tr>
      <w:tr w:rsidR="002E5476">
        <w:trPr>
          <w:trHeight w:val="465"/>
          <w:jc w:val="center"/>
        </w:trPr>
        <w:tc>
          <w:tcPr>
            <w:tcW w:w="7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培哚普利</w:t>
            </w:r>
          </w:p>
        </w:tc>
        <w:tc>
          <w:tcPr>
            <w:tcW w:w="7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Style w:val="font41"/>
                <w:rFonts w:eastAsia="宋体"/>
                <w:color w:val="000000" w:themeColor="text1"/>
                <w:sz w:val="21"/>
                <w:szCs w:val="21"/>
              </w:rPr>
            </w:pPr>
            <w:r>
              <w:rPr>
                <w:rStyle w:val="font41"/>
                <w:rFonts w:eastAsia="宋体"/>
                <w:color w:val="000000" w:themeColor="text1"/>
                <w:sz w:val="21"/>
                <w:szCs w:val="21"/>
              </w:rPr>
              <w:t>2</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8 mg</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qd</w:t>
            </w:r>
          </w:p>
        </w:tc>
        <w:tc>
          <w:tcPr>
            <w:tcW w:w="50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肾（肝）</w:t>
            </w:r>
          </w:p>
        </w:tc>
        <w:tc>
          <w:tcPr>
            <w:tcW w:w="585"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eGFR</w:t>
            </w:r>
            <w:r>
              <w:rPr>
                <w:rFonts w:ascii="Times New Roman" w:eastAsia="宋体" w:hAnsi="Times New Roman" w:cs="Times New Roman" w:hint="eastAsia"/>
                <w:color w:val="000000" w:themeColor="text1"/>
                <w:szCs w:val="21"/>
              </w:rPr>
              <w:t>≥</w:t>
            </w:r>
            <w:r>
              <w:rPr>
                <w:rFonts w:ascii="Times New Roman" w:eastAsia="宋体" w:hAnsi="Times New Roman" w:cs="Times New Roman"/>
                <w:color w:val="000000" w:themeColor="text1"/>
                <w:szCs w:val="21"/>
              </w:rPr>
              <w:t>60</w:t>
            </w:r>
            <w:r>
              <w:rPr>
                <w:rFonts w:ascii="Times New Roman" w:eastAsia="宋体" w:hAnsi="Times New Roman" w:cs="Times New Roman" w:hint="eastAsia"/>
                <w:color w:val="000000" w:themeColor="text1"/>
                <w:szCs w:val="21"/>
              </w:rPr>
              <w:t>：</w:t>
            </w:r>
            <w:r>
              <w:rPr>
                <w:rFonts w:ascii="Times New Roman" w:eastAsia="宋体" w:hAnsi="Times New Roman" w:cs="Times New Roman"/>
                <w:color w:val="000000" w:themeColor="text1"/>
                <w:szCs w:val="21"/>
              </w:rPr>
              <w:t>4 mg/d</w:t>
            </w:r>
            <w:r>
              <w:rPr>
                <w:rFonts w:ascii="Times New Roman" w:eastAsia="宋体" w:hAnsi="Times New Roman" w:cs="Times New Roman" w:hint="eastAsia"/>
                <w:color w:val="000000" w:themeColor="text1"/>
                <w:szCs w:val="21"/>
              </w:rPr>
              <w:t>；</w:t>
            </w:r>
            <w:r>
              <w:rPr>
                <w:rFonts w:ascii="Times New Roman" w:eastAsia="宋体" w:hAnsi="Times New Roman" w:cs="Times New Roman"/>
                <w:color w:val="000000" w:themeColor="text1"/>
                <w:kern w:val="0"/>
                <w:szCs w:val="21"/>
              </w:rPr>
              <w:t>100%</w:t>
            </w:r>
          </w:p>
        </w:tc>
        <w:tc>
          <w:tcPr>
            <w:tcW w:w="584"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eGFR</w:t>
            </w:r>
            <w:r>
              <w:rPr>
                <w:rFonts w:ascii="Times New Roman" w:eastAsia="宋体" w:hAnsi="Times New Roman" w:cs="Times New Roman"/>
                <w:color w:val="000000" w:themeColor="text1"/>
                <w:szCs w:val="21"/>
              </w:rPr>
              <w:t xml:space="preserve"> 30~60</w:t>
            </w:r>
            <w:r>
              <w:rPr>
                <w:rFonts w:ascii="Times New Roman" w:eastAsia="宋体" w:hAnsi="Times New Roman" w:cs="Times New Roman" w:hint="eastAsia"/>
                <w:color w:val="000000" w:themeColor="text1"/>
                <w:szCs w:val="21"/>
              </w:rPr>
              <w:t>：</w:t>
            </w:r>
            <w:r>
              <w:rPr>
                <w:rFonts w:ascii="Times New Roman" w:eastAsia="宋体" w:hAnsi="Times New Roman" w:cs="Times New Roman"/>
                <w:color w:val="000000" w:themeColor="text1"/>
                <w:szCs w:val="21"/>
              </w:rPr>
              <w:t>2 mg/d</w:t>
            </w:r>
            <w:r>
              <w:rPr>
                <w:rFonts w:ascii="Times New Roman" w:eastAsia="宋体" w:hAnsi="Times New Roman" w:cs="Times New Roman" w:hint="eastAsia"/>
                <w:color w:val="000000" w:themeColor="text1"/>
                <w:szCs w:val="21"/>
              </w:rPr>
              <w:t>；</w:t>
            </w:r>
            <w:r>
              <w:rPr>
                <w:rFonts w:ascii="Times New Roman" w:eastAsia="宋体" w:hAnsi="Times New Roman" w:cs="Times New Roman"/>
                <w:color w:val="000000" w:themeColor="text1"/>
                <w:kern w:val="0"/>
                <w:szCs w:val="21"/>
              </w:rPr>
              <w:t>75%</w:t>
            </w:r>
          </w:p>
        </w:tc>
        <w:tc>
          <w:tcPr>
            <w:tcW w:w="567"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 xml:space="preserve">eGFR </w:t>
            </w:r>
            <w:r>
              <w:rPr>
                <w:rFonts w:ascii="Times New Roman" w:eastAsia="宋体" w:hAnsi="Times New Roman" w:cs="Times New Roman"/>
                <w:color w:val="000000" w:themeColor="text1"/>
                <w:szCs w:val="21"/>
              </w:rPr>
              <w:t>15~30:</w:t>
            </w:r>
            <w:r>
              <w:rPr>
                <w:rFonts w:ascii="Times New Roman" w:eastAsia="宋体" w:hAnsi="Times New Roman" w:cs="Times New Roman" w:hint="eastAsia"/>
                <w:color w:val="000000" w:themeColor="text1"/>
                <w:szCs w:val="21"/>
              </w:rPr>
              <w:t>隔天</w:t>
            </w:r>
            <w:r>
              <w:rPr>
                <w:rFonts w:ascii="Times New Roman" w:eastAsia="宋体" w:hAnsi="Times New Roman" w:cs="Times New Roman"/>
                <w:color w:val="000000" w:themeColor="text1"/>
                <w:szCs w:val="21"/>
              </w:rPr>
              <w:t>2 mg</w:t>
            </w:r>
            <w:r>
              <w:rPr>
                <w:rFonts w:ascii="Times New Roman" w:eastAsia="宋体" w:hAnsi="Times New Roman" w:cs="Times New Roman" w:hint="eastAsia"/>
                <w:color w:val="000000" w:themeColor="text1"/>
                <w:szCs w:val="21"/>
              </w:rPr>
              <w:t>；</w:t>
            </w:r>
            <w:r>
              <w:rPr>
                <w:rFonts w:ascii="Times New Roman" w:eastAsia="宋体" w:hAnsi="Times New Roman" w:cs="Times New Roman"/>
                <w:color w:val="000000" w:themeColor="text1"/>
                <w:szCs w:val="21"/>
              </w:rPr>
              <w:t>25%~50%</w:t>
            </w:r>
          </w:p>
        </w:tc>
        <w:tc>
          <w:tcPr>
            <w:tcW w:w="435"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25%~50%</w:t>
            </w:r>
          </w:p>
        </w:tc>
        <w:tc>
          <w:tcPr>
            <w:tcW w:w="400"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2 mg</w:t>
            </w:r>
          </w:p>
        </w:tc>
        <w:tc>
          <w:tcPr>
            <w:tcW w:w="418"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75%</w:t>
            </w:r>
          </w:p>
        </w:tc>
      </w:tr>
      <w:tr w:rsidR="002E5476">
        <w:trPr>
          <w:trHeight w:val="465"/>
          <w:jc w:val="center"/>
        </w:trPr>
        <w:tc>
          <w:tcPr>
            <w:tcW w:w="7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咪达普利</w:t>
            </w:r>
          </w:p>
        </w:tc>
        <w:tc>
          <w:tcPr>
            <w:tcW w:w="7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Style w:val="font41"/>
                <w:rFonts w:eastAsia="宋体"/>
                <w:color w:val="000000" w:themeColor="text1"/>
                <w:sz w:val="21"/>
                <w:szCs w:val="21"/>
              </w:rPr>
            </w:pPr>
            <w:r>
              <w:rPr>
                <w:rStyle w:val="font41"/>
                <w:rFonts w:eastAsia="宋体"/>
                <w:color w:val="000000" w:themeColor="text1"/>
                <w:sz w:val="21"/>
                <w:szCs w:val="21"/>
              </w:rPr>
              <w:t>2.5</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10.0 mg</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qd</w:t>
            </w:r>
          </w:p>
        </w:tc>
        <w:tc>
          <w:tcPr>
            <w:tcW w:w="50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肾（肝）</w:t>
            </w:r>
          </w:p>
        </w:tc>
        <w:tc>
          <w:tcPr>
            <w:tcW w:w="585"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无需调整</w:t>
            </w:r>
          </w:p>
        </w:tc>
        <w:tc>
          <w:tcPr>
            <w:tcW w:w="584"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eGFR</w:t>
            </w:r>
            <w:r>
              <w:rPr>
                <w:rFonts w:ascii="Times New Roman" w:eastAsia="宋体" w:hAnsi="Times New Roman" w:cs="Times New Roman" w:hint="eastAsia"/>
                <w:color w:val="000000" w:themeColor="text1"/>
                <w:szCs w:val="21"/>
              </w:rPr>
              <w:t>＜</w:t>
            </w:r>
            <w:r>
              <w:rPr>
                <w:rFonts w:ascii="Times New Roman" w:eastAsia="宋体" w:hAnsi="Times New Roman" w:cs="Times New Roman"/>
                <w:color w:val="000000" w:themeColor="text1"/>
                <w:szCs w:val="21"/>
              </w:rPr>
              <w:t>30</w:t>
            </w:r>
            <w:r>
              <w:rPr>
                <w:rFonts w:ascii="Times New Roman" w:eastAsia="宋体" w:hAnsi="Times New Roman" w:cs="Times New Roman" w:hint="eastAsia"/>
                <w:color w:val="000000" w:themeColor="text1"/>
                <w:szCs w:val="21"/>
              </w:rPr>
              <w:t>：剂量减半</w:t>
            </w:r>
          </w:p>
        </w:tc>
        <w:tc>
          <w:tcPr>
            <w:tcW w:w="567"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剂量减半</w:t>
            </w:r>
          </w:p>
        </w:tc>
        <w:tc>
          <w:tcPr>
            <w:tcW w:w="435"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无资料</w:t>
            </w:r>
          </w:p>
        </w:tc>
        <w:tc>
          <w:tcPr>
            <w:tcW w:w="400"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无资料</w:t>
            </w:r>
          </w:p>
        </w:tc>
        <w:tc>
          <w:tcPr>
            <w:tcW w:w="418"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无资料</w:t>
            </w:r>
          </w:p>
        </w:tc>
      </w:tr>
      <w:tr w:rsidR="002E5476">
        <w:trPr>
          <w:trHeight w:val="465"/>
          <w:jc w:val="center"/>
        </w:trPr>
        <w:tc>
          <w:tcPr>
            <w:tcW w:w="5000" w:type="pct"/>
            <w:gridSpan w:val="9"/>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rPr>
                <w:rFonts w:ascii="Times New Roman" w:eastAsia="宋体" w:hAnsi="Times New Roman" w:cs="Times New Roman"/>
                <w:b/>
                <w:bCs/>
                <w:color w:val="000000" w:themeColor="text1"/>
                <w:szCs w:val="21"/>
              </w:rPr>
            </w:pPr>
            <w:r>
              <w:rPr>
                <w:rFonts w:ascii="Times New Roman" w:eastAsia="宋体" w:hAnsi="Times New Roman" w:cs="Times New Roman"/>
                <w:b/>
                <w:bCs/>
                <w:color w:val="000000" w:themeColor="text1"/>
                <w:kern w:val="0"/>
                <w:szCs w:val="21"/>
              </w:rPr>
              <w:t>ARB</w:t>
            </w:r>
            <w:r>
              <w:rPr>
                <w:rFonts w:ascii="Times New Roman" w:eastAsia="宋体" w:hAnsi="Times New Roman" w:cs="Times New Roman" w:hint="eastAsia"/>
                <w:b/>
                <w:bCs/>
                <w:color w:val="000000" w:themeColor="text1"/>
                <w:kern w:val="0"/>
                <w:szCs w:val="21"/>
              </w:rPr>
              <w:t>类</w:t>
            </w:r>
          </w:p>
        </w:tc>
      </w:tr>
      <w:tr w:rsidR="002E5476">
        <w:trPr>
          <w:trHeight w:val="465"/>
          <w:jc w:val="center"/>
        </w:trPr>
        <w:tc>
          <w:tcPr>
            <w:tcW w:w="7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氯沙坦</w:t>
            </w:r>
          </w:p>
        </w:tc>
        <w:tc>
          <w:tcPr>
            <w:tcW w:w="7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Style w:val="font41"/>
                <w:rFonts w:eastAsia="宋体"/>
                <w:color w:val="000000" w:themeColor="text1"/>
                <w:sz w:val="21"/>
                <w:szCs w:val="21"/>
              </w:rPr>
            </w:pPr>
            <w:r>
              <w:rPr>
                <w:rStyle w:val="font41"/>
                <w:rFonts w:eastAsia="宋体"/>
                <w:color w:val="000000" w:themeColor="text1"/>
                <w:sz w:val="21"/>
                <w:szCs w:val="21"/>
              </w:rPr>
              <w:t>50</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100 mg</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qd</w:t>
            </w:r>
          </w:p>
        </w:tc>
        <w:tc>
          <w:tcPr>
            <w:tcW w:w="50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肾（肝）</w:t>
            </w:r>
          </w:p>
        </w:tc>
        <w:tc>
          <w:tcPr>
            <w:tcW w:w="585" w:type="pct"/>
            <w:tcBorders>
              <w:top w:val="single" w:sz="4" w:space="0" w:color="000000"/>
              <w:left w:val="single" w:sz="4" w:space="0" w:color="000000"/>
              <w:bottom w:val="single" w:sz="4" w:space="0" w:color="000000"/>
              <w:right w:val="single" w:sz="4" w:space="0" w:color="000000"/>
            </w:tcBorders>
          </w:tcPr>
          <w:p w:rsidR="002E5476" w:rsidRDefault="00423E71">
            <w:pPr>
              <w:rPr>
                <w:rStyle w:val="font41"/>
                <w:rFonts w:eastAsia="宋体"/>
                <w:color w:val="000000" w:themeColor="text1"/>
                <w:sz w:val="21"/>
                <w:szCs w:val="21"/>
              </w:rPr>
            </w:pPr>
            <w:r>
              <w:rPr>
                <w:rStyle w:val="font41"/>
                <w:rFonts w:eastAsia="宋体" w:hint="eastAsia"/>
                <w:color w:val="000000" w:themeColor="text1"/>
                <w:sz w:val="21"/>
                <w:szCs w:val="21"/>
              </w:rPr>
              <w:t>无需调整，</w:t>
            </w:r>
            <w:r>
              <w:rPr>
                <w:rFonts w:ascii="Times New Roman" w:eastAsia="宋体" w:hAnsi="Times New Roman" w:cs="Times New Roman"/>
                <w:color w:val="000000" w:themeColor="text1"/>
                <w:kern w:val="0"/>
                <w:szCs w:val="21"/>
              </w:rPr>
              <w:t>100%</w:t>
            </w:r>
          </w:p>
        </w:tc>
        <w:tc>
          <w:tcPr>
            <w:tcW w:w="584" w:type="pct"/>
            <w:tcBorders>
              <w:top w:val="single" w:sz="4" w:space="0" w:color="000000"/>
              <w:left w:val="single" w:sz="4" w:space="0" w:color="000000"/>
              <w:bottom w:val="single" w:sz="4" w:space="0" w:color="000000"/>
              <w:right w:val="single" w:sz="4" w:space="0" w:color="000000"/>
            </w:tcBorders>
          </w:tcPr>
          <w:p w:rsidR="002E5476" w:rsidRDefault="00423E71">
            <w:pPr>
              <w:rPr>
                <w:rStyle w:val="font41"/>
                <w:rFonts w:eastAsia="宋体"/>
                <w:color w:val="000000" w:themeColor="text1"/>
                <w:sz w:val="21"/>
                <w:szCs w:val="21"/>
              </w:rPr>
            </w:pPr>
            <w:r>
              <w:rPr>
                <w:rStyle w:val="font41"/>
                <w:rFonts w:eastAsia="宋体" w:hint="eastAsia"/>
                <w:color w:val="000000" w:themeColor="text1"/>
                <w:sz w:val="21"/>
                <w:szCs w:val="21"/>
              </w:rPr>
              <w:t>无需调整，</w:t>
            </w:r>
            <w:r>
              <w:rPr>
                <w:rFonts w:ascii="Times New Roman" w:eastAsia="宋体" w:hAnsi="Times New Roman" w:cs="Times New Roman"/>
                <w:color w:val="000000" w:themeColor="text1"/>
                <w:kern w:val="0"/>
                <w:szCs w:val="21"/>
              </w:rPr>
              <w:t>100%</w:t>
            </w:r>
          </w:p>
        </w:tc>
        <w:tc>
          <w:tcPr>
            <w:tcW w:w="567" w:type="pct"/>
            <w:tcBorders>
              <w:top w:val="single" w:sz="4" w:space="0" w:color="000000"/>
              <w:left w:val="single" w:sz="4" w:space="0" w:color="000000"/>
              <w:bottom w:val="single" w:sz="4" w:space="0" w:color="000000"/>
              <w:right w:val="single" w:sz="4" w:space="0" w:color="000000"/>
            </w:tcBorders>
          </w:tcPr>
          <w:p w:rsidR="002E5476" w:rsidRDefault="00423E71">
            <w:pPr>
              <w:rPr>
                <w:rStyle w:val="font41"/>
                <w:rFonts w:eastAsia="宋体"/>
                <w:color w:val="000000" w:themeColor="text1"/>
                <w:sz w:val="21"/>
                <w:szCs w:val="21"/>
              </w:rPr>
            </w:pPr>
            <w:r>
              <w:rPr>
                <w:rStyle w:val="font41"/>
                <w:rFonts w:eastAsia="宋体" w:hint="eastAsia"/>
                <w:color w:val="000000" w:themeColor="text1"/>
                <w:sz w:val="21"/>
                <w:szCs w:val="21"/>
              </w:rPr>
              <w:t>无需调整，</w:t>
            </w:r>
            <w:r>
              <w:rPr>
                <w:rFonts w:ascii="Times New Roman" w:eastAsia="宋体" w:hAnsi="Times New Roman" w:cs="Times New Roman"/>
                <w:color w:val="000000" w:themeColor="text1"/>
                <w:kern w:val="0"/>
                <w:szCs w:val="21"/>
              </w:rPr>
              <w:t>100%</w:t>
            </w:r>
          </w:p>
        </w:tc>
        <w:tc>
          <w:tcPr>
            <w:tcW w:w="435" w:type="pct"/>
            <w:tcBorders>
              <w:top w:val="single" w:sz="4" w:space="0" w:color="000000"/>
              <w:left w:val="single" w:sz="4" w:space="0" w:color="000000"/>
              <w:bottom w:val="single" w:sz="4" w:space="0" w:color="000000"/>
              <w:right w:val="single" w:sz="4" w:space="0" w:color="000000"/>
            </w:tcBorders>
          </w:tcPr>
          <w:p w:rsidR="002E5476" w:rsidRDefault="00423E71">
            <w:pPr>
              <w:rPr>
                <w:rStyle w:val="font41"/>
                <w:rFonts w:eastAsia="宋体"/>
                <w:color w:val="000000" w:themeColor="text1"/>
                <w:sz w:val="21"/>
                <w:szCs w:val="21"/>
              </w:rPr>
            </w:pPr>
            <w:r>
              <w:rPr>
                <w:rFonts w:ascii="Times New Roman" w:eastAsia="宋体" w:hAnsi="Times New Roman" w:cs="Times New Roman"/>
                <w:color w:val="000000" w:themeColor="text1"/>
                <w:kern w:val="0"/>
                <w:szCs w:val="21"/>
              </w:rPr>
              <w:t>100%</w:t>
            </w:r>
          </w:p>
        </w:tc>
        <w:tc>
          <w:tcPr>
            <w:tcW w:w="400" w:type="pct"/>
            <w:tcBorders>
              <w:top w:val="single" w:sz="4" w:space="0" w:color="000000"/>
              <w:left w:val="single" w:sz="4" w:space="0" w:color="000000"/>
              <w:bottom w:val="single" w:sz="4" w:space="0" w:color="000000"/>
              <w:right w:val="single" w:sz="4" w:space="0" w:color="000000"/>
            </w:tcBorders>
          </w:tcPr>
          <w:p w:rsidR="002E5476" w:rsidRDefault="00423E71">
            <w:pPr>
              <w:rPr>
                <w:rStyle w:val="font41"/>
                <w:rFonts w:eastAsia="宋体"/>
                <w:color w:val="000000" w:themeColor="text1"/>
                <w:sz w:val="21"/>
                <w:szCs w:val="21"/>
              </w:rPr>
            </w:pPr>
            <w:r>
              <w:rPr>
                <w:rStyle w:val="font41"/>
                <w:rFonts w:eastAsia="宋体" w:hint="eastAsia"/>
                <w:color w:val="000000" w:themeColor="text1"/>
                <w:sz w:val="21"/>
                <w:szCs w:val="21"/>
              </w:rPr>
              <w:t>不用</w:t>
            </w:r>
          </w:p>
        </w:tc>
        <w:tc>
          <w:tcPr>
            <w:tcW w:w="418" w:type="pct"/>
            <w:tcBorders>
              <w:top w:val="single" w:sz="4" w:space="0" w:color="000000"/>
              <w:left w:val="single" w:sz="4" w:space="0" w:color="000000"/>
              <w:bottom w:val="single" w:sz="4" w:space="0" w:color="000000"/>
              <w:right w:val="single" w:sz="4" w:space="0" w:color="000000"/>
            </w:tcBorders>
          </w:tcPr>
          <w:p w:rsidR="002E5476" w:rsidRDefault="00423E71">
            <w:pPr>
              <w:rPr>
                <w:rStyle w:val="font41"/>
                <w:rFonts w:eastAsia="宋体"/>
                <w:color w:val="000000" w:themeColor="text1"/>
                <w:sz w:val="21"/>
                <w:szCs w:val="21"/>
              </w:rPr>
            </w:pPr>
            <w:r>
              <w:rPr>
                <w:rFonts w:ascii="Times New Roman" w:eastAsia="宋体" w:hAnsi="Times New Roman" w:cs="Times New Roman"/>
                <w:color w:val="000000" w:themeColor="text1"/>
                <w:kern w:val="0"/>
                <w:szCs w:val="21"/>
              </w:rPr>
              <w:t>100%</w:t>
            </w:r>
          </w:p>
        </w:tc>
      </w:tr>
      <w:tr w:rsidR="002E5476">
        <w:trPr>
          <w:trHeight w:val="465"/>
          <w:jc w:val="center"/>
        </w:trPr>
        <w:tc>
          <w:tcPr>
            <w:tcW w:w="7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缬沙坦</w:t>
            </w:r>
          </w:p>
        </w:tc>
        <w:tc>
          <w:tcPr>
            <w:tcW w:w="7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Style w:val="font41"/>
                <w:rFonts w:eastAsia="宋体"/>
                <w:color w:val="000000" w:themeColor="text1"/>
                <w:sz w:val="21"/>
                <w:szCs w:val="21"/>
              </w:rPr>
            </w:pPr>
            <w:r>
              <w:rPr>
                <w:rStyle w:val="font41"/>
                <w:rFonts w:eastAsia="宋体"/>
                <w:color w:val="000000" w:themeColor="text1"/>
                <w:sz w:val="21"/>
                <w:szCs w:val="21"/>
              </w:rPr>
              <w:t>80</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320 mg</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qd</w:t>
            </w:r>
          </w:p>
        </w:tc>
        <w:tc>
          <w:tcPr>
            <w:tcW w:w="50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肝（肾）</w:t>
            </w:r>
          </w:p>
        </w:tc>
        <w:tc>
          <w:tcPr>
            <w:tcW w:w="585"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kern w:val="0"/>
                <w:szCs w:val="21"/>
              </w:rPr>
            </w:pPr>
            <w:r>
              <w:rPr>
                <w:rStyle w:val="font41"/>
                <w:rFonts w:eastAsia="宋体" w:hint="eastAsia"/>
                <w:color w:val="000000" w:themeColor="text1"/>
                <w:sz w:val="21"/>
                <w:szCs w:val="21"/>
              </w:rPr>
              <w:t>无需调整，</w:t>
            </w:r>
            <w:r>
              <w:rPr>
                <w:rFonts w:ascii="Times New Roman" w:eastAsia="宋体" w:hAnsi="Times New Roman" w:cs="Times New Roman"/>
                <w:color w:val="000000" w:themeColor="text1"/>
                <w:kern w:val="0"/>
                <w:szCs w:val="21"/>
              </w:rPr>
              <w:t>100%</w:t>
            </w:r>
          </w:p>
        </w:tc>
        <w:tc>
          <w:tcPr>
            <w:tcW w:w="584"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kern w:val="0"/>
                <w:szCs w:val="21"/>
              </w:rPr>
            </w:pPr>
            <w:r>
              <w:rPr>
                <w:rStyle w:val="font41"/>
                <w:rFonts w:eastAsia="宋体" w:hint="eastAsia"/>
                <w:color w:val="000000" w:themeColor="text1"/>
                <w:sz w:val="21"/>
                <w:szCs w:val="21"/>
              </w:rPr>
              <w:t>无需调整，</w:t>
            </w:r>
            <w:r>
              <w:rPr>
                <w:rFonts w:ascii="Times New Roman" w:eastAsia="宋体" w:hAnsi="Times New Roman" w:cs="Times New Roman"/>
                <w:color w:val="000000" w:themeColor="text1"/>
                <w:kern w:val="0"/>
                <w:szCs w:val="21"/>
              </w:rPr>
              <w:t>100%</w:t>
            </w:r>
          </w:p>
        </w:tc>
        <w:tc>
          <w:tcPr>
            <w:tcW w:w="567"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eGFR</w:t>
            </w: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color w:val="000000" w:themeColor="text1"/>
                <w:kern w:val="0"/>
                <w:szCs w:val="21"/>
              </w:rPr>
              <w:t>10</w:t>
            </w:r>
            <w:r>
              <w:rPr>
                <w:rFonts w:ascii="Times New Roman" w:eastAsia="宋体" w:hAnsi="Times New Roman" w:cs="Times New Roman" w:hint="eastAsia"/>
                <w:color w:val="000000" w:themeColor="text1"/>
                <w:kern w:val="0"/>
                <w:szCs w:val="21"/>
              </w:rPr>
              <w:t>无经验，</w:t>
            </w:r>
            <w:r>
              <w:rPr>
                <w:rFonts w:ascii="Times New Roman" w:eastAsia="宋体" w:hAnsi="Times New Roman" w:cs="Times New Roman"/>
                <w:color w:val="000000" w:themeColor="text1"/>
                <w:szCs w:val="21"/>
              </w:rPr>
              <w:t>100%</w:t>
            </w:r>
          </w:p>
        </w:tc>
        <w:tc>
          <w:tcPr>
            <w:tcW w:w="435"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100%</w:t>
            </w:r>
          </w:p>
        </w:tc>
        <w:tc>
          <w:tcPr>
            <w:tcW w:w="400"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szCs w:val="21"/>
              </w:rPr>
              <w:t>不用</w:t>
            </w:r>
          </w:p>
        </w:tc>
        <w:tc>
          <w:tcPr>
            <w:tcW w:w="418"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无资料</w:t>
            </w:r>
          </w:p>
        </w:tc>
      </w:tr>
      <w:tr w:rsidR="002E5476">
        <w:trPr>
          <w:trHeight w:val="465"/>
          <w:jc w:val="center"/>
        </w:trPr>
        <w:tc>
          <w:tcPr>
            <w:tcW w:w="7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厄贝沙坦</w:t>
            </w:r>
          </w:p>
        </w:tc>
        <w:tc>
          <w:tcPr>
            <w:tcW w:w="7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Style w:val="font41"/>
                <w:rFonts w:eastAsia="宋体"/>
                <w:color w:val="000000" w:themeColor="text1"/>
                <w:sz w:val="21"/>
                <w:szCs w:val="21"/>
              </w:rPr>
            </w:pPr>
            <w:r>
              <w:rPr>
                <w:rStyle w:val="font41"/>
                <w:rFonts w:eastAsia="宋体"/>
                <w:color w:val="000000" w:themeColor="text1"/>
                <w:sz w:val="21"/>
                <w:szCs w:val="21"/>
              </w:rPr>
              <w:t>75</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300 mg</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qd</w:t>
            </w:r>
          </w:p>
        </w:tc>
        <w:tc>
          <w:tcPr>
            <w:tcW w:w="50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肝</w:t>
            </w:r>
          </w:p>
        </w:tc>
        <w:tc>
          <w:tcPr>
            <w:tcW w:w="585"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Style w:val="font41"/>
                <w:rFonts w:eastAsia="宋体" w:hint="eastAsia"/>
                <w:color w:val="000000" w:themeColor="text1"/>
                <w:sz w:val="21"/>
                <w:szCs w:val="21"/>
              </w:rPr>
              <w:t>无需调整，</w:t>
            </w:r>
            <w:r>
              <w:rPr>
                <w:rFonts w:ascii="Times New Roman" w:eastAsia="宋体" w:hAnsi="Times New Roman" w:cs="Times New Roman"/>
                <w:color w:val="000000" w:themeColor="text1"/>
                <w:kern w:val="0"/>
                <w:szCs w:val="21"/>
              </w:rPr>
              <w:t>100%</w:t>
            </w:r>
          </w:p>
        </w:tc>
        <w:tc>
          <w:tcPr>
            <w:tcW w:w="584"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Style w:val="font41"/>
                <w:rFonts w:eastAsia="宋体" w:hint="eastAsia"/>
                <w:color w:val="000000" w:themeColor="text1"/>
                <w:sz w:val="21"/>
                <w:szCs w:val="21"/>
              </w:rPr>
              <w:t>无需调整，</w:t>
            </w:r>
            <w:r>
              <w:rPr>
                <w:rFonts w:ascii="Times New Roman" w:eastAsia="宋体" w:hAnsi="Times New Roman" w:cs="Times New Roman"/>
                <w:color w:val="000000" w:themeColor="text1"/>
                <w:kern w:val="0"/>
                <w:szCs w:val="21"/>
              </w:rPr>
              <w:t>100%</w:t>
            </w:r>
          </w:p>
        </w:tc>
        <w:tc>
          <w:tcPr>
            <w:tcW w:w="567"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Style w:val="font41"/>
                <w:rFonts w:eastAsia="宋体" w:hint="eastAsia"/>
                <w:color w:val="000000" w:themeColor="text1"/>
                <w:sz w:val="21"/>
                <w:szCs w:val="21"/>
              </w:rPr>
              <w:t>无需调整，</w:t>
            </w:r>
            <w:r>
              <w:rPr>
                <w:rFonts w:ascii="Times New Roman" w:eastAsia="宋体" w:hAnsi="Times New Roman" w:cs="Times New Roman"/>
                <w:color w:val="000000" w:themeColor="text1"/>
                <w:kern w:val="0"/>
                <w:szCs w:val="21"/>
              </w:rPr>
              <w:t>100%</w:t>
            </w:r>
          </w:p>
        </w:tc>
        <w:tc>
          <w:tcPr>
            <w:tcW w:w="435"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100%</w:t>
            </w:r>
          </w:p>
        </w:tc>
        <w:tc>
          <w:tcPr>
            <w:tcW w:w="400"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不用</w:t>
            </w:r>
          </w:p>
        </w:tc>
        <w:tc>
          <w:tcPr>
            <w:tcW w:w="418"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无资料</w:t>
            </w:r>
          </w:p>
        </w:tc>
      </w:tr>
      <w:tr w:rsidR="002E5476">
        <w:trPr>
          <w:trHeight w:val="465"/>
          <w:jc w:val="center"/>
        </w:trPr>
        <w:tc>
          <w:tcPr>
            <w:tcW w:w="7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替米沙坦</w:t>
            </w:r>
          </w:p>
        </w:tc>
        <w:tc>
          <w:tcPr>
            <w:tcW w:w="7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Style w:val="font41"/>
                <w:rFonts w:eastAsia="宋体"/>
                <w:color w:val="000000" w:themeColor="text1"/>
                <w:sz w:val="21"/>
                <w:szCs w:val="21"/>
              </w:rPr>
            </w:pPr>
            <w:r>
              <w:rPr>
                <w:rStyle w:val="font41"/>
                <w:rFonts w:eastAsia="宋体"/>
                <w:color w:val="000000" w:themeColor="text1"/>
                <w:sz w:val="21"/>
                <w:szCs w:val="21"/>
              </w:rPr>
              <w:t>40</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80 mg</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qd</w:t>
            </w:r>
          </w:p>
        </w:tc>
        <w:tc>
          <w:tcPr>
            <w:tcW w:w="50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肝</w:t>
            </w:r>
          </w:p>
        </w:tc>
        <w:tc>
          <w:tcPr>
            <w:tcW w:w="585" w:type="pct"/>
            <w:tcBorders>
              <w:top w:val="single" w:sz="4" w:space="0" w:color="000000"/>
              <w:left w:val="single" w:sz="4" w:space="0" w:color="000000"/>
              <w:bottom w:val="single" w:sz="4" w:space="0" w:color="000000"/>
              <w:right w:val="single" w:sz="4" w:space="0" w:color="000000"/>
            </w:tcBorders>
          </w:tcPr>
          <w:p w:rsidR="002E5476" w:rsidRDefault="00423E71">
            <w:pPr>
              <w:rPr>
                <w:rStyle w:val="font41"/>
                <w:rFonts w:eastAsia="宋体"/>
                <w:color w:val="000000" w:themeColor="text1"/>
                <w:sz w:val="21"/>
                <w:szCs w:val="21"/>
              </w:rPr>
            </w:pPr>
            <w:r>
              <w:rPr>
                <w:rStyle w:val="font41"/>
                <w:rFonts w:eastAsia="宋体" w:hint="eastAsia"/>
                <w:color w:val="000000" w:themeColor="text1"/>
                <w:sz w:val="21"/>
                <w:szCs w:val="21"/>
              </w:rPr>
              <w:t>无需调整，</w:t>
            </w:r>
            <w:r>
              <w:rPr>
                <w:rFonts w:ascii="Times New Roman" w:eastAsia="宋体" w:hAnsi="Times New Roman" w:cs="Times New Roman"/>
                <w:color w:val="000000" w:themeColor="text1"/>
                <w:kern w:val="0"/>
                <w:szCs w:val="21"/>
              </w:rPr>
              <w:t>100%</w:t>
            </w:r>
          </w:p>
        </w:tc>
        <w:tc>
          <w:tcPr>
            <w:tcW w:w="584" w:type="pct"/>
            <w:tcBorders>
              <w:top w:val="single" w:sz="4" w:space="0" w:color="000000"/>
              <w:left w:val="single" w:sz="4" w:space="0" w:color="000000"/>
              <w:bottom w:val="single" w:sz="4" w:space="0" w:color="000000"/>
              <w:right w:val="single" w:sz="4" w:space="0" w:color="000000"/>
            </w:tcBorders>
          </w:tcPr>
          <w:p w:rsidR="002E5476" w:rsidRDefault="00423E71">
            <w:pPr>
              <w:rPr>
                <w:rStyle w:val="font41"/>
                <w:rFonts w:eastAsia="宋体"/>
                <w:color w:val="000000" w:themeColor="text1"/>
                <w:sz w:val="21"/>
                <w:szCs w:val="21"/>
              </w:rPr>
            </w:pPr>
            <w:r>
              <w:rPr>
                <w:rStyle w:val="font41"/>
                <w:rFonts w:eastAsia="宋体" w:hint="eastAsia"/>
                <w:color w:val="000000" w:themeColor="text1"/>
                <w:sz w:val="21"/>
                <w:szCs w:val="21"/>
              </w:rPr>
              <w:t>无需调整，</w:t>
            </w:r>
            <w:r>
              <w:rPr>
                <w:rFonts w:ascii="Times New Roman" w:eastAsia="宋体" w:hAnsi="Times New Roman" w:cs="Times New Roman"/>
                <w:color w:val="000000" w:themeColor="text1"/>
                <w:kern w:val="0"/>
                <w:szCs w:val="21"/>
              </w:rPr>
              <w:t>100%</w:t>
            </w:r>
          </w:p>
        </w:tc>
        <w:tc>
          <w:tcPr>
            <w:tcW w:w="567"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20 mg/d</w:t>
            </w:r>
            <w:r>
              <w:rPr>
                <w:rFonts w:ascii="Times New Roman" w:eastAsia="宋体" w:hAnsi="Times New Roman" w:cs="Times New Roman" w:hint="eastAsia"/>
                <w:color w:val="000000" w:themeColor="text1"/>
                <w:szCs w:val="21"/>
              </w:rPr>
              <w:t>，</w:t>
            </w:r>
            <w:r>
              <w:rPr>
                <w:rFonts w:ascii="Times New Roman" w:eastAsia="宋体" w:hAnsi="Times New Roman" w:cs="Times New Roman"/>
                <w:color w:val="000000" w:themeColor="text1"/>
                <w:szCs w:val="21"/>
              </w:rPr>
              <w:t>100%</w:t>
            </w:r>
          </w:p>
        </w:tc>
        <w:tc>
          <w:tcPr>
            <w:tcW w:w="435"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100%</w:t>
            </w:r>
          </w:p>
        </w:tc>
        <w:tc>
          <w:tcPr>
            <w:tcW w:w="400"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不用</w:t>
            </w:r>
          </w:p>
        </w:tc>
        <w:tc>
          <w:tcPr>
            <w:tcW w:w="418"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无资料</w:t>
            </w:r>
          </w:p>
        </w:tc>
      </w:tr>
      <w:tr w:rsidR="002E5476">
        <w:trPr>
          <w:trHeight w:val="465"/>
          <w:jc w:val="center"/>
        </w:trPr>
        <w:tc>
          <w:tcPr>
            <w:tcW w:w="7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Style w:val="font31"/>
                <w:rFonts w:ascii="Times New Roman" w:hAnsi="Times New Roman" w:cs="Times New Roman" w:hint="default"/>
                <w:color w:val="000000" w:themeColor="text1"/>
                <w:sz w:val="21"/>
                <w:szCs w:val="21"/>
              </w:rPr>
            </w:pPr>
            <w:r>
              <w:rPr>
                <w:rStyle w:val="font31"/>
                <w:rFonts w:ascii="Times New Roman" w:hAnsi="Times New Roman" w:cs="Times New Roman" w:hint="default"/>
                <w:color w:val="000000" w:themeColor="text1"/>
                <w:sz w:val="21"/>
                <w:szCs w:val="21"/>
              </w:rPr>
              <w:t>坎地沙坦</w:t>
            </w:r>
          </w:p>
        </w:tc>
        <w:tc>
          <w:tcPr>
            <w:tcW w:w="7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Style w:val="font31"/>
                <w:rFonts w:ascii="Times New Roman" w:hAnsi="Times New Roman" w:cs="Times New Roman" w:hint="default"/>
                <w:color w:val="000000" w:themeColor="text1"/>
                <w:sz w:val="21"/>
                <w:szCs w:val="21"/>
              </w:rPr>
            </w:pPr>
            <w:r>
              <w:rPr>
                <w:rStyle w:val="font31"/>
                <w:rFonts w:ascii="Times New Roman" w:hAnsi="Times New Roman" w:cs="Times New Roman" w:hint="default"/>
                <w:color w:val="000000" w:themeColor="text1"/>
                <w:sz w:val="21"/>
                <w:szCs w:val="21"/>
              </w:rPr>
              <w:t>8~35 mg</w:t>
            </w:r>
            <w:r>
              <w:rPr>
                <w:rStyle w:val="font31"/>
                <w:rFonts w:ascii="Times New Roman" w:hAnsi="Times New Roman" w:cs="Times New Roman" w:hint="default"/>
                <w:color w:val="000000" w:themeColor="text1"/>
                <w:sz w:val="21"/>
                <w:szCs w:val="21"/>
              </w:rPr>
              <w:t>，</w:t>
            </w:r>
            <w:r>
              <w:rPr>
                <w:rStyle w:val="font31"/>
                <w:rFonts w:ascii="Times New Roman" w:hAnsi="Times New Roman" w:cs="Times New Roman" w:hint="default"/>
                <w:color w:val="000000" w:themeColor="text1"/>
                <w:sz w:val="21"/>
                <w:szCs w:val="21"/>
              </w:rPr>
              <w:t>qd</w:t>
            </w:r>
          </w:p>
        </w:tc>
        <w:tc>
          <w:tcPr>
            <w:tcW w:w="50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肾（肝）</w:t>
            </w:r>
          </w:p>
        </w:tc>
        <w:tc>
          <w:tcPr>
            <w:tcW w:w="585"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100%</w:t>
            </w:r>
          </w:p>
        </w:tc>
        <w:tc>
          <w:tcPr>
            <w:tcW w:w="584"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无研究，</w:t>
            </w:r>
            <w:r>
              <w:rPr>
                <w:rFonts w:ascii="Times New Roman" w:eastAsia="宋体" w:hAnsi="Times New Roman" w:cs="Times New Roman"/>
                <w:color w:val="000000" w:themeColor="text1"/>
                <w:kern w:val="0"/>
                <w:szCs w:val="21"/>
              </w:rPr>
              <w:t>100%</w:t>
            </w:r>
          </w:p>
        </w:tc>
        <w:tc>
          <w:tcPr>
            <w:tcW w:w="567"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无研究，</w:t>
            </w:r>
            <w:r>
              <w:rPr>
                <w:rFonts w:ascii="Times New Roman" w:eastAsia="宋体" w:hAnsi="Times New Roman" w:cs="Times New Roman"/>
                <w:color w:val="000000" w:themeColor="text1"/>
                <w:szCs w:val="21"/>
              </w:rPr>
              <w:t>100%</w:t>
            </w:r>
          </w:p>
        </w:tc>
        <w:tc>
          <w:tcPr>
            <w:tcW w:w="435"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100%</w:t>
            </w:r>
          </w:p>
        </w:tc>
        <w:tc>
          <w:tcPr>
            <w:tcW w:w="400"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不用</w:t>
            </w:r>
          </w:p>
        </w:tc>
        <w:tc>
          <w:tcPr>
            <w:tcW w:w="418"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无资料</w:t>
            </w:r>
          </w:p>
        </w:tc>
      </w:tr>
      <w:tr w:rsidR="002E5476">
        <w:trPr>
          <w:trHeight w:val="465"/>
          <w:jc w:val="center"/>
        </w:trPr>
        <w:tc>
          <w:tcPr>
            <w:tcW w:w="7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Style w:val="font31"/>
                <w:rFonts w:ascii="Times New Roman" w:hAnsi="Times New Roman" w:cs="Times New Roman" w:hint="default"/>
                <w:color w:val="000000" w:themeColor="text1"/>
                <w:sz w:val="21"/>
                <w:szCs w:val="21"/>
              </w:rPr>
            </w:pPr>
            <w:r>
              <w:rPr>
                <w:rStyle w:val="font31"/>
                <w:rFonts w:ascii="Times New Roman" w:hAnsi="Times New Roman" w:cs="Times New Roman" w:hint="default"/>
                <w:color w:val="000000" w:themeColor="text1"/>
                <w:sz w:val="21"/>
                <w:szCs w:val="21"/>
              </w:rPr>
              <w:t>奥美沙坦</w:t>
            </w:r>
          </w:p>
        </w:tc>
        <w:tc>
          <w:tcPr>
            <w:tcW w:w="7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Style w:val="font31"/>
                <w:rFonts w:ascii="Times New Roman" w:hAnsi="Times New Roman" w:cs="Times New Roman" w:hint="default"/>
                <w:color w:val="000000" w:themeColor="text1"/>
                <w:sz w:val="21"/>
                <w:szCs w:val="21"/>
              </w:rPr>
            </w:pPr>
            <w:r>
              <w:rPr>
                <w:rStyle w:val="font31"/>
                <w:rFonts w:ascii="Times New Roman" w:hAnsi="Times New Roman" w:cs="Times New Roman" w:hint="default"/>
                <w:color w:val="000000" w:themeColor="text1"/>
                <w:sz w:val="21"/>
                <w:szCs w:val="21"/>
              </w:rPr>
              <w:t>10~40 mg</w:t>
            </w:r>
            <w:r>
              <w:rPr>
                <w:rStyle w:val="font31"/>
                <w:rFonts w:ascii="Times New Roman" w:hAnsi="Times New Roman" w:cs="Times New Roman" w:hint="default"/>
                <w:color w:val="000000" w:themeColor="text1"/>
                <w:sz w:val="21"/>
                <w:szCs w:val="21"/>
              </w:rPr>
              <w:t>，</w:t>
            </w:r>
            <w:r>
              <w:rPr>
                <w:rStyle w:val="font31"/>
                <w:rFonts w:ascii="Times New Roman" w:hAnsi="Times New Roman" w:cs="Times New Roman" w:hint="default"/>
                <w:color w:val="000000" w:themeColor="text1"/>
                <w:sz w:val="21"/>
                <w:szCs w:val="21"/>
              </w:rPr>
              <w:t>qd</w:t>
            </w:r>
          </w:p>
        </w:tc>
        <w:tc>
          <w:tcPr>
            <w:tcW w:w="50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rPr>
                <w:rStyle w:val="font31"/>
                <w:rFonts w:ascii="Times New Roman" w:hAnsi="Times New Roman" w:cs="Times New Roman" w:hint="default"/>
                <w:color w:val="000000" w:themeColor="text1"/>
                <w:sz w:val="21"/>
                <w:szCs w:val="21"/>
              </w:rPr>
            </w:pPr>
            <w:r>
              <w:rPr>
                <w:rFonts w:ascii="Times New Roman" w:eastAsia="宋体" w:hAnsi="Times New Roman" w:cs="Times New Roman" w:hint="eastAsia"/>
                <w:color w:val="000000" w:themeColor="text1"/>
                <w:kern w:val="0"/>
                <w:szCs w:val="21"/>
              </w:rPr>
              <w:t>肾（肝）</w:t>
            </w:r>
          </w:p>
        </w:tc>
        <w:tc>
          <w:tcPr>
            <w:tcW w:w="585"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100%</w:t>
            </w:r>
          </w:p>
        </w:tc>
        <w:tc>
          <w:tcPr>
            <w:tcW w:w="584"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100%</w:t>
            </w:r>
          </w:p>
        </w:tc>
        <w:tc>
          <w:tcPr>
            <w:tcW w:w="567"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eGFR</w:t>
            </w: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color w:val="000000" w:themeColor="text1"/>
                <w:kern w:val="0"/>
                <w:szCs w:val="21"/>
              </w:rPr>
              <w:t>20</w:t>
            </w: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color w:val="000000" w:themeColor="text1"/>
                <w:kern w:val="0"/>
                <w:szCs w:val="21"/>
              </w:rPr>
              <w:t>AUC</w:t>
            </w:r>
            <w:r>
              <w:rPr>
                <w:rFonts w:ascii="Times New Roman" w:eastAsia="宋体" w:hAnsi="Times New Roman" w:cs="Times New Roman" w:hint="eastAsia"/>
                <w:color w:val="000000" w:themeColor="text1"/>
                <w:kern w:val="0"/>
                <w:szCs w:val="21"/>
              </w:rPr>
              <w:t>为正常人的</w:t>
            </w:r>
            <w:r>
              <w:rPr>
                <w:rFonts w:ascii="Times New Roman" w:eastAsia="宋体" w:hAnsi="Times New Roman" w:cs="Times New Roman"/>
                <w:color w:val="000000" w:themeColor="text1"/>
                <w:kern w:val="0"/>
                <w:szCs w:val="21"/>
              </w:rPr>
              <w:t>3</w:t>
            </w:r>
            <w:r>
              <w:rPr>
                <w:rFonts w:ascii="Times New Roman" w:eastAsia="宋体" w:hAnsi="Times New Roman" w:cs="Times New Roman" w:hint="eastAsia"/>
                <w:color w:val="000000" w:themeColor="text1"/>
                <w:kern w:val="0"/>
                <w:szCs w:val="21"/>
              </w:rPr>
              <w:t>倍，</w:t>
            </w:r>
            <w:r>
              <w:rPr>
                <w:rFonts w:ascii="Times New Roman" w:eastAsia="宋体" w:hAnsi="Times New Roman" w:cs="Times New Roman"/>
                <w:color w:val="000000" w:themeColor="text1"/>
                <w:szCs w:val="21"/>
              </w:rPr>
              <w:lastRenderedPageBreak/>
              <w:t>100%</w:t>
            </w:r>
          </w:p>
        </w:tc>
        <w:tc>
          <w:tcPr>
            <w:tcW w:w="435"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lastRenderedPageBreak/>
              <w:t xml:space="preserve">100%         </w:t>
            </w:r>
          </w:p>
        </w:tc>
        <w:tc>
          <w:tcPr>
            <w:tcW w:w="400"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szCs w:val="21"/>
              </w:rPr>
              <w:t>不用</w:t>
            </w:r>
          </w:p>
        </w:tc>
        <w:tc>
          <w:tcPr>
            <w:tcW w:w="418"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szCs w:val="21"/>
              </w:rPr>
              <w:t>无资料</w:t>
            </w:r>
          </w:p>
        </w:tc>
      </w:tr>
      <w:tr w:rsidR="002E5476">
        <w:trPr>
          <w:trHeight w:val="465"/>
          <w:jc w:val="center"/>
        </w:trPr>
        <w:tc>
          <w:tcPr>
            <w:tcW w:w="7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lastRenderedPageBreak/>
              <w:t>阿利沙坦</w:t>
            </w:r>
          </w:p>
        </w:tc>
        <w:tc>
          <w:tcPr>
            <w:tcW w:w="7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Style w:val="font41"/>
                <w:rFonts w:eastAsia="宋体"/>
                <w:color w:val="000000" w:themeColor="text1"/>
                <w:sz w:val="21"/>
                <w:szCs w:val="21"/>
              </w:rPr>
            </w:pPr>
            <w:r>
              <w:rPr>
                <w:rStyle w:val="font41"/>
                <w:rFonts w:eastAsia="宋体"/>
                <w:color w:val="000000" w:themeColor="text1"/>
                <w:sz w:val="21"/>
                <w:szCs w:val="21"/>
              </w:rPr>
              <w:t>80</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240 mg</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qd</w:t>
            </w:r>
          </w:p>
        </w:tc>
        <w:tc>
          <w:tcPr>
            <w:tcW w:w="50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肝</w:t>
            </w:r>
          </w:p>
        </w:tc>
        <w:tc>
          <w:tcPr>
            <w:tcW w:w="585"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无资料</w:t>
            </w:r>
          </w:p>
        </w:tc>
        <w:tc>
          <w:tcPr>
            <w:tcW w:w="584"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无资料</w:t>
            </w:r>
          </w:p>
        </w:tc>
        <w:tc>
          <w:tcPr>
            <w:tcW w:w="567"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无资料</w:t>
            </w:r>
          </w:p>
        </w:tc>
        <w:tc>
          <w:tcPr>
            <w:tcW w:w="435"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无资料</w:t>
            </w:r>
          </w:p>
        </w:tc>
        <w:tc>
          <w:tcPr>
            <w:tcW w:w="400"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无资料</w:t>
            </w:r>
          </w:p>
        </w:tc>
        <w:tc>
          <w:tcPr>
            <w:tcW w:w="418"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无资料</w:t>
            </w:r>
          </w:p>
        </w:tc>
      </w:tr>
      <w:tr w:rsidR="002E5476">
        <w:trPr>
          <w:trHeight w:val="465"/>
          <w:jc w:val="center"/>
        </w:trPr>
        <w:tc>
          <w:tcPr>
            <w:tcW w:w="5000" w:type="pct"/>
            <w:gridSpan w:val="9"/>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rPr>
                <w:rFonts w:ascii="Times New Roman" w:eastAsia="宋体" w:hAnsi="Times New Roman" w:cs="Times New Roman"/>
                <w:b/>
                <w:bCs/>
                <w:color w:val="000000" w:themeColor="text1"/>
                <w:szCs w:val="21"/>
              </w:rPr>
            </w:pPr>
            <w:r>
              <w:rPr>
                <w:rFonts w:ascii="Times New Roman" w:eastAsia="宋体" w:hAnsi="Times New Roman" w:cs="Times New Roman" w:hint="eastAsia"/>
                <w:b/>
                <w:bCs/>
                <w:color w:val="000000" w:themeColor="text1"/>
                <w:kern w:val="0"/>
                <w:szCs w:val="21"/>
              </w:rPr>
              <w:t>二氢吡啶类</w:t>
            </w:r>
            <w:r>
              <w:rPr>
                <w:rFonts w:ascii="Times New Roman" w:eastAsia="宋体" w:hAnsi="Times New Roman" w:cs="Times New Roman"/>
                <w:b/>
                <w:bCs/>
                <w:color w:val="000000" w:themeColor="text1"/>
                <w:kern w:val="0"/>
                <w:szCs w:val="21"/>
              </w:rPr>
              <w:t>CCB</w:t>
            </w:r>
          </w:p>
        </w:tc>
      </w:tr>
      <w:tr w:rsidR="002E5476">
        <w:trPr>
          <w:trHeight w:val="848"/>
          <w:jc w:val="center"/>
        </w:trPr>
        <w:tc>
          <w:tcPr>
            <w:tcW w:w="7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硝苯地平</w:t>
            </w:r>
          </w:p>
        </w:tc>
        <w:tc>
          <w:tcPr>
            <w:tcW w:w="7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10</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30 mg</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tid</w:t>
            </w:r>
          </w:p>
        </w:tc>
        <w:tc>
          <w:tcPr>
            <w:tcW w:w="500" w:type="pct"/>
            <w:tcBorders>
              <w:top w:val="single" w:sz="4" w:space="0" w:color="000000"/>
              <w:left w:val="single" w:sz="4" w:space="0" w:color="000000"/>
              <w:bottom w:val="single" w:sz="4" w:space="0" w:color="000000"/>
              <w:right w:val="single" w:sz="4" w:space="0" w:color="000000"/>
            </w:tcBorders>
            <w:shd w:val="clear" w:color="auto" w:fill="auto"/>
          </w:tcPr>
          <w:p w:rsidR="002E5476" w:rsidRDefault="00423E71">
            <w:pP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肝</w:t>
            </w:r>
          </w:p>
        </w:tc>
        <w:tc>
          <w:tcPr>
            <w:tcW w:w="585"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100%</w:t>
            </w:r>
          </w:p>
        </w:tc>
        <w:tc>
          <w:tcPr>
            <w:tcW w:w="584"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100%</w:t>
            </w:r>
          </w:p>
        </w:tc>
        <w:tc>
          <w:tcPr>
            <w:tcW w:w="567"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100%</w:t>
            </w:r>
          </w:p>
        </w:tc>
        <w:tc>
          <w:tcPr>
            <w:tcW w:w="435"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100%</w:t>
            </w:r>
          </w:p>
        </w:tc>
        <w:tc>
          <w:tcPr>
            <w:tcW w:w="400"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不用</w:t>
            </w:r>
          </w:p>
        </w:tc>
        <w:tc>
          <w:tcPr>
            <w:tcW w:w="418"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100%</w:t>
            </w:r>
          </w:p>
        </w:tc>
      </w:tr>
      <w:tr w:rsidR="002E5476">
        <w:trPr>
          <w:trHeight w:val="435"/>
          <w:jc w:val="center"/>
        </w:trPr>
        <w:tc>
          <w:tcPr>
            <w:tcW w:w="7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硝苯地平缓释片</w:t>
            </w:r>
          </w:p>
        </w:tc>
        <w:tc>
          <w:tcPr>
            <w:tcW w:w="7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10</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20 mg</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bid</w:t>
            </w:r>
          </w:p>
        </w:tc>
        <w:tc>
          <w:tcPr>
            <w:tcW w:w="50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肝</w:t>
            </w:r>
          </w:p>
        </w:tc>
        <w:tc>
          <w:tcPr>
            <w:tcW w:w="585"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szCs w:val="21"/>
              </w:rPr>
              <w:t>100%</w:t>
            </w:r>
          </w:p>
        </w:tc>
        <w:tc>
          <w:tcPr>
            <w:tcW w:w="584"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szCs w:val="21"/>
              </w:rPr>
              <w:t>100%</w:t>
            </w:r>
          </w:p>
        </w:tc>
        <w:tc>
          <w:tcPr>
            <w:tcW w:w="567"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szCs w:val="21"/>
              </w:rPr>
              <w:t>100%</w:t>
            </w:r>
          </w:p>
        </w:tc>
        <w:tc>
          <w:tcPr>
            <w:tcW w:w="435"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szCs w:val="21"/>
              </w:rPr>
              <w:t>100%</w:t>
            </w:r>
          </w:p>
        </w:tc>
        <w:tc>
          <w:tcPr>
            <w:tcW w:w="400"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szCs w:val="21"/>
              </w:rPr>
              <w:t>不用</w:t>
            </w:r>
          </w:p>
        </w:tc>
        <w:tc>
          <w:tcPr>
            <w:tcW w:w="418"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szCs w:val="21"/>
              </w:rPr>
              <w:t>100%</w:t>
            </w:r>
          </w:p>
        </w:tc>
      </w:tr>
      <w:tr w:rsidR="002E5476">
        <w:trPr>
          <w:trHeight w:val="801"/>
          <w:jc w:val="center"/>
        </w:trPr>
        <w:tc>
          <w:tcPr>
            <w:tcW w:w="7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硝苯地平控释片</w:t>
            </w:r>
          </w:p>
        </w:tc>
        <w:tc>
          <w:tcPr>
            <w:tcW w:w="7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30</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90 mg</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qd</w:t>
            </w:r>
          </w:p>
        </w:tc>
        <w:tc>
          <w:tcPr>
            <w:tcW w:w="500" w:type="pct"/>
            <w:tcBorders>
              <w:top w:val="single" w:sz="4" w:space="0" w:color="000000"/>
              <w:left w:val="single" w:sz="4" w:space="0" w:color="000000"/>
              <w:bottom w:val="single" w:sz="4" w:space="0" w:color="000000"/>
              <w:right w:val="single" w:sz="4" w:space="0" w:color="000000"/>
            </w:tcBorders>
            <w:shd w:val="clear" w:color="auto" w:fill="auto"/>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肝</w:t>
            </w:r>
          </w:p>
        </w:tc>
        <w:tc>
          <w:tcPr>
            <w:tcW w:w="585"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szCs w:val="21"/>
              </w:rPr>
              <w:t>100%</w:t>
            </w:r>
          </w:p>
        </w:tc>
        <w:tc>
          <w:tcPr>
            <w:tcW w:w="584"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szCs w:val="21"/>
              </w:rPr>
              <w:t>100%</w:t>
            </w:r>
          </w:p>
        </w:tc>
        <w:tc>
          <w:tcPr>
            <w:tcW w:w="567"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szCs w:val="21"/>
              </w:rPr>
              <w:t>100%</w:t>
            </w:r>
          </w:p>
        </w:tc>
        <w:tc>
          <w:tcPr>
            <w:tcW w:w="435"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szCs w:val="21"/>
              </w:rPr>
              <w:t>100%</w:t>
            </w:r>
          </w:p>
        </w:tc>
        <w:tc>
          <w:tcPr>
            <w:tcW w:w="400"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szCs w:val="21"/>
              </w:rPr>
              <w:t>不用</w:t>
            </w:r>
          </w:p>
        </w:tc>
        <w:tc>
          <w:tcPr>
            <w:tcW w:w="418"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szCs w:val="21"/>
              </w:rPr>
              <w:t>100%</w:t>
            </w:r>
          </w:p>
        </w:tc>
      </w:tr>
      <w:tr w:rsidR="002E5476">
        <w:trPr>
          <w:trHeight w:val="812"/>
          <w:jc w:val="center"/>
        </w:trPr>
        <w:tc>
          <w:tcPr>
            <w:tcW w:w="7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氨氯地平</w:t>
            </w:r>
          </w:p>
        </w:tc>
        <w:tc>
          <w:tcPr>
            <w:tcW w:w="7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2.5</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10 mg</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qd</w:t>
            </w:r>
          </w:p>
        </w:tc>
        <w:tc>
          <w:tcPr>
            <w:tcW w:w="50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肝</w:t>
            </w:r>
          </w:p>
        </w:tc>
        <w:tc>
          <w:tcPr>
            <w:tcW w:w="585"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Style w:val="font41"/>
                <w:rFonts w:eastAsia="宋体" w:hint="eastAsia"/>
                <w:color w:val="000000" w:themeColor="text1"/>
                <w:sz w:val="21"/>
                <w:szCs w:val="21"/>
              </w:rPr>
              <w:t>无需调整，</w:t>
            </w:r>
            <w:r>
              <w:rPr>
                <w:rFonts w:ascii="Times New Roman" w:eastAsia="宋体" w:hAnsi="Times New Roman" w:cs="Times New Roman"/>
                <w:color w:val="000000" w:themeColor="text1"/>
                <w:szCs w:val="21"/>
              </w:rPr>
              <w:t>100%</w:t>
            </w:r>
          </w:p>
        </w:tc>
        <w:tc>
          <w:tcPr>
            <w:tcW w:w="584"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Style w:val="font41"/>
                <w:rFonts w:eastAsia="宋体" w:hint="eastAsia"/>
                <w:color w:val="000000" w:themeColor="text1"/>
                <w:sz w:val="21"/>
                <w:szCs w:val="21"/>
              </w:rPr>
              <w:t>无需调整，</w:t>
            </w:r>
            <w:r>
              <w:rPr>
                <w:rFonts w:ascii="Times New Roman" w:eastAsia="宋体" w:hAnsi="Times New Roman" w:cs="Times New Roman"/>
                <w:color w:val="000000" w:themeColor="text1"/>
                <w:szCs w:val="21"/>
              </w:rPr>
              <w:t>100%</w:t>
            </w:r>
          </w:p>
        </w:tc>
        <w:tc>
          <w:tcPr>
            <w:tcW w:w="567"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Style w:val="font41"/>
                <w:rFonts w:eastAsia="宋体" w:hint="eastAsia"/>
                <w:color w:val="000000" w:themeColor="text1"/>
                <w:sz w:val="21"/>
                <w:szCs w:val="21"/>
              </w:rPr>
              <w:t>无需调整，</w:t>
            </w:r>
            <w:r>
              <w:rPr>
                <w:rFonts w:ascii="Times New Roman" w:eastAsia="宋体" w:hAnsi="Times New Roman" w:cs="Times New Roman"/>
                <w:color w:val="000000" w:themeColor="text1"/>
                <w:szCs w:val="21"/>
              </w:rPr>
              <w:t>100%</w:t>
            </w:r>
          </w:p>
        </w:tc>
        <w:tc>
          <w:tcPr>
            <w:tcW w:w="435"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szCs w:val="21"/>
              </w:rPr>
              <w:t>100%</w:t>
            </w:r>
          </w:p>
        </w:tc>
        <w:tc>
          <w:tcPr>
            <w:tcW w:w="400"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szCs w:val="21"/>
              </w:rPr>
              <w:t>不用</w:t>
            </w:r>
          </w:p>
        </w:tc>
        <w:tc>
          <w:tcPr>
            <w:tcW w:w="418"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szCs w:val="21"/>
              </w:rPr>
              <w:t>100%</w:t>
            </w:r>
          </w:p>
        </w:tc>
      </w:tr>
      <w:tr w:rsidR="002E5476">
        <w:trPr>
          <w:trHeight w:val="390"/>
          <w:jc w:val="center"/>
        </w:trPr>
        <w:tc>
          <w:tcPr>
            <w:tcW w:w="7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左旋氨氯地平</w:t>
            </w:r>
          </w:p>
        </w:tc>
        <w:tc>
          <w:tcPr>
            <w:tcW w:w="7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2.5</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5.0 mg</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qd</w:t>
            </w:r>
          </w:p>
        </w:tc>
        <w:tc>
          <w:tcPr>
            <w:tcW w:w="500" w:type="pct"/>
            <w:tcBorders>
              <w:top w:val="single" w:sz="4" w:space="0" w:color="000000"/>
              <w:left w:val="single" w:sz="4" w:space="0" w:color="000000"/>
              <w:bottom w:val="single" w:sz="4" w:space="0" w:color="000000"/>
              <w:right w:val="single" w:sz="4" w:space="0" w:color="000000"/>
            </w:tcBorders>
            <w:shd w:val="clear" w:color="auto" w:fill="auto"/>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肝</w:t>
            </w:r>
          </w:p>
        </w:tc>
        <w:tc>
          <w:tcPr>
            <w:tcW w:w="585"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无需调整，</w:t>
            </w:r>
            <w:r>
              <w:rPr>
                <w:rFonts w:ascii="Times New Roman" w:eastAsia="宋体" w:hAnsi="Times New Roman" w:cs="Times New Roman"/>
                <w:color w:val="000000" w:themeColor="text1"/>
                <w:szCs w:val="21"/>
              </w:rPr>
              <w:t>100%</w:t>
            </w:r>
          </w:p>
        </w:tc>
        <w:tc>
          <w:tcPr>
            <w:tcW w:w="584"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无需调整，</w:t>
            </w:r>
            <w:r>
              <w:rPr>
                <w:rFonts w:ascii="Times New Roman" w:eastAsia="宋体" w:hAnsi="Times New Roman" w:cs="Times New Roman"/>
                <w:color w:val="000000" w:themeColor="text1"/>
                <w:szCs w:val="21"/>
              </w:rPr>
              <w:t>100%</w:t>
            </w:r>
          </w:p>
        </w:tc>
        <w:tc>
          <w:tcPr>
            <w:tcW w:w="567"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无需调整，</w:t>
            </w:r>
            <w:r>
              <w:rPr>
                <w:rFonts w:ascii="Times New Roman" w:eastAsia="宋体" w:hAnsi="Times New Roman" w:cs="Times New Roman"/>
                <w:color w:val="000000" w:themeColor="text1"/>
                <w:szCs w:val="21"/>
              </w:rPr>
              <w:t>100%</w:t>
            </w:r>
          </w:p>
        </w:tc>
        <w:tc>
          <w:tcPr>
            <w:tcW w:w="435"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szCs w:val="21"/>
              </w:rPr>
              <w:t>100%</w:t>
            </w:r>
          </w:p>
        </w:tc>
        <w:tc>
          <w:tcPr>
            <w:tcW w:w="400"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szCs w:val="21"/>
              </w:rPr>
              <w:t>不用</w:t>
            </w:r>
          </w:p>
        </w:tc>
        <w:tc>
          <w:tcPr>
            <w:tcW w:w="418"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szCs w:val="21"/>
              </w:rPr>
              <w:t>100%</w:t>
            </w:r>
          </w:p>
        </w:tc>
      </w:tr>
      <w:tr w:rsidR="002E5476">
        <w:trPr>
          <w:trHeight w:val="600"/>
          <w:jc w:val="center"/>
        </w:trPr>
        <w:tc>
          <w:tcPr>
            <w:tcW w:w="7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非洛地平</w:t>
            </w:r>
          </w:p>
        </w:tc>
        <w:tc>
          <w:tcPr>
            <w:tcW w:w="7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5</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10 mg</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qd</w:t>
            </w:r>
          </w:p>
        </w:tc>
        <w:tc>
          <w:tcPr>
            <w:tcW w:w="50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肝</w:t>
            </w:r>
          </w:p>
        </w:tc>
        <w:tc>
          <w:tcPr>
            <w:tcW w:w="585"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无需调整，</w:t>
            </w:r>
            <w:r>
              <w:rPr>
                <w:rFonts w:ascii="Times New Roman" w:eastAsia="宋体" w:hAnsi="Times New Roman" w:cs="Times New Roman"/>
                <w:color w:val="000000" w:themeColor="text1"/>
                <w:szCs w:val="21"/>
              </w:rPr>
              <w:t>100%</w:t>
            </w:r>
          </w:p>
        </w:tc>
        <w:tc>
          <w:tcPr>
            <w:tcW w:w="584"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无需调整，</w:t>
            </w:r>
            <w:r>
              <w:rPr>
                <w:rFonts w:ascii="Times New Roman" w:eastAsia="宋体" w:hAnsi="Times New Roman" w:cs="Times New Roman"/>
                <w:color w:val="000000" w:themeColor="text1"/>
                <w:szCs w:val="21"/>
              </w:rPr>
              <w:t>100%</w:t>
            </w:r>
          </w:p>
        </w:tc>
        <w:tc>
          <w:tcPr>
            <w:tcW w:w="567"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慎用，</w:t>
            </w:r>
            <w:r>
              <w:rPr>
                <w:rFonts w:ascii="Times New Roman" w:eastAsia="宋体" w:hAnsi="Times New Roman" w:cs="Times New Roman"/>
                <w:color w:val="000000" w:themeColor="text1"/>
                <w:szCs w:val="21"/>
              </w:rPr>
              <w:t>100%</w:t>
            </w:r>
          </w:p>
        </w:tc>
        <w:tc>
          <w:tcPr>
            <w:tcW w:w="435"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100%</w:t>
            </w:r>
          </w:p>
        </w:tc>
        <w:tc>
          <w:tcPr>
            <w:tcW w:w="400"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不用</w:t>
            </w:r>
          </w:p>
        </w:tc>
        <w:tc>
          <w:tcPr>
            <w:tcW w:w="418"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100%</w:t>
            </w:r>
          </w:p>
        </w:tc>
      </w:tr>
      <w:tr w:rsidR="002E5476">
        <w:trPr>
          <w:trHeight w:val="390"/>
          <w:jc w:val="center"/>
        </w:trPr>
        <w:tc>
          <w:tcPr>
            <w:tcW w:w="7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拉西地平</w:t>
            </w:r>
          </w:p>
        </w:tc>
        <w:tc>
          <w:tcPr>
            <w:tcW w:w="7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Style w:val="font41"/>
                <w:rFonts w:eastAsia="宋体"/>
                <w:color w:val="000000" w:themeColor="text1"/>
                <w:sz w:val="21"/>
                <w:szCs w:val="21"/>
              </w:rPr>
              <w:t>2~6 mg</w:t>
            </w:r>
            <w:r>
              <w:rPr>
                <w:rStyle w:val="font41"/>
                <w:rFonts w:eastAsia="宋体" w:hint="eastAsia"/>
                <w:color w:val="000000" w:themeColor="text1"/>
                <w:sz w:val="21"/>
                <w:szCs w:val="21"/>
              </w:rPr>
              <w:t>，</w:t>
            </w:r>
            <w:r>
              <w:rPr>
                <w:rStyle w:val="font41"/>
                <w:rFonts w:eastAsia="宋体"/>
                <w:color w:val="000000" w:themeColor="text1"/>
                <w:sz w:val="21"/>
                <w:szCs w:val="21"/>
              </w:rPr>
              <w:t>qd</w:t>
            </w:r>
          </w:p>
        </w:tc>
        <w:tc>
          <w:tcPr>
            <w:tcW w:w="50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肝（肾）</w:t>
            </w:r>
          </w:p>
        </w:tc>
        <w:tc>
          <w:tcPr>
            <w:tcW w:w="585"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无需调整，</w:t>
            </w:r>
            <w:r>
              <w:rPr>
                <w:rFonts w:ascii="Times New Roman" w:eastAsia="宋体" w:hAnsi="Times New Roman" w:cs="Times New Roman"/>
                <w:color w:val="000000" w:themeColor="text1"/>
                <w:szCs w:val="21"/>
              </w:rPr>
              <w:t>100%</w:t>
            </w:r>
          </w:p>
        </w:tc>
        <w:tc>
          <w:tcPr>
            <w:tcW w:w="584"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无需调整，</w:t>
            </w:r>
            <w:r>
              <w:rPr>
                <w:rFonts w:ascii="Times New Roman" w:eastAsia="宋体" w:hAnsi="Times New Roman" w:cs="Times New Roman"/>
                <w:color w:val="000000" w:themeColor="text1"/>
                <w:szCs w:val="21"/>
              </w:rPr>
              <w:t>100%</w:t>
            </w:r>
          </w:p>
        </w:tc>
        <w:tc>
          <w:tcPr>
            <w:tcW w:w="567"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无需调整，</w:t>
            </w:r>
            <w:r>
              <w:rPr>
                <w:rFonts w:ascii="Times New Roman" w:eastAsia="宋体" w:hAnsi="Times New Roman" w:cs="Times New Roman"/>
                <w:color w:val="000000" w:themeColor="text1"/>
                <w:szCs w:val="21"/>
              </w:rPr>
              <w:t>100%</w:t>
            </w:r>
          </w:p>
        </w:tc>
        <w:tc>
          <w:tcPr>
            <w:tcW w:w="435"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100%</w:t>
            </w:r>
          </w:p>
        </w:tc>
        <w:tc>
          <w:tcPr>
            <w:tcW w:w="400"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不用</w:t>
            </w:r>
          </w:p>
        </w:tc>
        <w:tc>
          <w:tcPr>
            <w:tcW w:w="418"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无资料</w:t>
            </w:r>
          </w:p>
        </w:tc>
      </w:tr>
      <w:tr w:rsidR="002E5476">
        <w:trPr>
          <w:trHeight w:val="435"/>
          <w:jc w:val="center"/>
        </w:trPr>
        <w:tc>
          <w:tcPr>
            <w:tcW w:w="7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尼卡地平</w:t>
            </w:r>
          </w:p>
        </w:tc>
        <w:tc>
          <w:tcPr>
            <w:tcW w:w="7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Style w:val="font41"/>
                <w:rFonts w:eastAsia="宋体"/>
                <w:color w:val="000000" w:themeColor="text1"/>
                <w:sz w:val="21"/>
                <w:szCs w:val="21"/>
              </w:rPr>
            </w:pPr>
            <w:r>
              <w:rPr>
                <w:rStyle w:val="font41"/>
                <w:rFonts w:eastAsia="宋体"/>
                <w:color w:val="000000" w:themeColor="text1"/>
                <w:sz w:val="21"/>
                <w:szCs w:val="21"/>
              </w:rPr>
              <w:t>20~40 mg</w:t>
            </w:r>
            <w:r>
              <w:rPr>
                <w:rStyle w:val="font41"/>
                <w:rFonts w:eastAsia="宋体" w:hint="eastAsia"/>
                <w:color w:val="000000" w:themeColor="text1"/>
                <w:sz w:val="21"/>
                <w:szCs w:val="21"/>
              </w:rPr>
              <w:t>，</w:t>
            </w:r>
            <w:r>
              <w:rPr>
                <w:rStyle w:val="font41"/>
                <w:rFonts w:eastAsia="宋体"/>
                <w:color w:val="000000" w:themeColor="text1"/>
                <w:sz w:val="21"/>
                <w:szCs w:val="21"/>
              </w:rPr>
              <w:t>tid</w:t>
            </w:r>
          </w:p>
        </w:tc>
        <w:tc>
          <w:tcPr>
            <w:tcW w:w="50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rPr>
                <w:rStyle w:val="font41"/>
                <w:rFonts w:eastAsia="宋体"/>
                <w:color w:val="000000" w:themeColor="text1"/>
                <w:sz w:val="21"/>
                <w:szCs w:val="21"/>
              </w:rPr>
            </w:pPr>
            <w:r>
              <w:rPr>
                <w:rStyle w:val="font41"/>
                <w:rFonts w:eastAsia="宋体" w:hint="eastAsia"/>
                <w:color w:val="000000" w:themeColor="text1"/>
                <w:sz w:val="21"/>
                <w:szCs w:val="21"/>
              </w:rPr>
              <w:t>肝</w:t>
            </w:r>
          </w:p>
        </w:tc>
        <w:tc>
          <w:tcPr>
            <w:tcW w:w="585"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慎用，</w:t>
            </w:r>
            <w:r>
              <w:rPr>
                <w:rFonts w:ascii="Times New Roman" w:eastAsia="宋体" w:hAnsi="Times New Roman" w:cs="Times New Roman"/>
                <w:color w:val="000000" w:themeColor="text1"/>
                <w:szCs w:val="21"/>
              </w:rPr>
              <w:t>100%</w:t>
            </w:r>
          </w:p>
        </w:tc>
        <w:tc>
          <w:tcPr>
            <w:tcW w:w="584"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慎用，</w:t>
            </w:r>
            <w:r>
              <w:rPr>
                <w:rFonts w:ascii="Times New Roman" w:eastAsia="宋体" w:hAnsi="Times New Roman" w:cs="Times New Roman"/>
                <w:color w:val="000000" w:themeColor="text1"/>
                <w:szCs w:val="21"/>
              </w:rPr>
              <w:t>100%</w:t>
            </w:r>
          </w:p>
        </w:tc>
        <w:tc>
          <w:tcPr>
            <w:tcW w:w="567"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慎用，</w:t>
            </w:r>
            <w:r>
              <w:rPr>
                <w:rFonts w:ascii="Times New Roman" w:eastAsia="宋体" w:hAnsi="Times New Roman" w:cs="Times New Roman"/>
                <w:color w:val="000000" w:themeColor="text1"/>
                <w:szCs w:val="21"/>
              </w:rPr>
              <w:t>100%</w:t>
            </w:r>
          </w:p>
        </w:tc>
        <w:tc>
          <w:tcPr>
            <w:tcW w:w="435"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100%</w:t>
            </w:r>
          </w:p>
        </w:tc>
        <w:tc>
          <w:tcPr>
            <w:tcW w:w="400"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不用</w:t>
            </w:r>
          </w:p>
        </w:tc>
        <w:tc>
          <w:tcPr>
            <w:tcW w:w="418"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无资料</w:t>
            </w:r>
          </w:p>
        </w:tc>
      </w:tr>
      <w:tr w:rsidR="002E5476">
        <w:trPr>
          <w:trHeight w:val="435"/>
          <w:jc w:val="center"/>
        </w:trPr>
        <w:tc>
          <w:tcPr>
            <w:tcW w:w="7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尼群地平</w:t>
            </w:r>
          </w:p>
        </w:tc>
        <w:tc>
          <w:tcPr>
            <w:tcW w:w="7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20 mg</w:t>
            </w:r>
            <w:r>
              <w:rPr>
                <w:rStyle w:val="font41"/>
                <w:rFonts w:eastAsia="宋体" w:hint="eastAsia"/>
                <w:color w:val="000000" w:themeColor="text1"/>
                <w:sz w:val="21"/>
                <w:szCs w:val="21"/>
              </w:rPr>
              <w:t>，</w:t>
            </w:r>
            <w:r>
              <w:rPr>
                <w:rStyle w:val="font41"/>
                <w:rFonts w:eastAsia="宋体"/>
                <w:color w:val="000000" w:themeColor="text1"/>
                <w:sz w:val="21"/>
                <w:szCs w:val="21"/>
              </w:rPr>
              <w:t>bid</w:t>
            </w:r>
          </w:p>
        </w:tc>
        <w:tc>
          <w:tcPr>
            <w:tcW w:w="50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肝（肾）</w:t>
            </w:r>
          </w:p>
        </w:tc>
        <w:tc>
          <w:tcPr>
            <w:tcW w:w="585"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慎用，</w:t>
            </w:r>
            <w:r>
              <w:rPr>
                <w:rFonts w:ascii="Times New Roman" w:eastAsia="宋体" w:hAnsi="Times New Roman" w:cs="Times New Roman"/>
                <w:color w:val="000000" w:themeColor="text1"/>
                <w:szCs w:val="21"/>
              </w:rPr>
              <w:t>100%</w:t>
            </w:r>
          </w:p>
        </w:tc>
        <w:tc>
          <w:tcPr>
            <w:tcW w:w="584"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慎用，</w:t>
            </w:r>
            <w:r>
              <w:rPr>
                <w:rFonts w:ascii="Times New Roman" w:eastAsia="宋体" w:hAnsi="Times New Roman" w:cs="Times New Roman"/>
                <w:color w:val="000000" w:themeColor="text1"/>
                <w:szCs w:val="21"/>
              </w:rPr>
              <w:t>100%</w:t>
            </w:r>
          </w:p>
        </w:tc>
        <w:tc>
          <w:tcPr>
            <w:tcW w:w="567"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慎用，</w:t>
            </w:r>
            <w:r>
              <w:rPr>
                <w:rFonts w:ascii="Times New Roman" w:eastAsia="宋体" w:hAnsi="Times New Roman" w:cs="Times New Roman"/>
                <w:color w:val="000000" w:themeColor="text1"/>
                <w:szCs w:val="21"/>
              </w:rPr>
              <w:t>100%</w:t>
            </w:r>
          </w:p>
        </w:tc>
        <w:tc>
          <w:tcPr>
            <w:tcW w:w="435"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100%</w:t>
            </w:r>
          </w:p>
        </w:tc>
        <w:tc>
          <w:tcPr>
            <w:tcW w:w="400"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不用</w:t>
            </w:r>
          </w:p>
        </w:tc>
        <w:tc>
          <w:tcPr>
            <w:tcW w:w="418"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无资料</w:t>
            </w:r>
          </w:p>
        </w:tc>
      </w:tr>
      <w:tr w:rsidR="002E5476">
        <w:trPr>
          <w:trHeight w:val="443"/>
          <w:jc w:val="center"/>
        </w:trPr>
        <w:tc>
          <w:tcPr>
            <w:tcW w:w="7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Style w:val="font41"/>
                <w:rFonts w:eastAsia="宋体"/>
                <w:color w:val="000000" w:themeColor="text1"/>
                <w:sz w:val="21"/>
                <w:szCs w:val="21"/>
              </w:rPr>
            </w:pPr>
            <w:r>
              <w:rPr>
                <w:rStyle w:val="font41"/>
                <w:rFonts w:eastAsia="宋体" w:hint="eastAsia"/>
                <w:color w:val="000000" w:themeColor="text1"/>
                <w:sz w:val="21"/>
                <w:szCs w:val="21"/>
              </w:rPr>
              <w:t>尼莫地平</w:t>
            </w:r>
          </w:p>
        </w:tc>
        <w:tc>
          <w:tcPr>
            <w:tcW w:w="7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Style w:val="font41"/>
                <w:rFonts w:eastAsia="宋体"/>
                <w:color w:val="000000" w:themeColor="text1"/>
                <w:sz w:val="21"/>
                <w:szCs w:val="21"/>
              </w:rPr>
            </w:pPr>
            <w:r>
              <w:rPr>
                <w:rStyle w:val="font41"/>
                <w:rFonts w:eastAsia="宋体"/>
                <w:color w:val="000000" w:themeColor="text1"/>
                <w:sz w:val="21"/>
                <w:szCs w:val="21"/>
              </w:rPr>
              <w:t>30 mg</w:t>
            </w:r>
            <w:r>
              <w:rPr>
                <w:rStyle w:val="font41"/>
                <w:rFonts w:eastAsia="宋体" w:hint="eastAsia"/>
                <w:color w:val="000000" w:themeColor="text1"/>
                <w:sz w:val="21"/>
                <w:szCs w:val="21"/>
              </w:rPr>
              <w:t>，</w:t>
            </w:r>
            <w:r>
              <w:rPr>
                <w:rStyle w:val="font41"/>
                <w:rFonts w:eastAsia="宋体"/>
                <w:color w:val="000000" w:themeColor="text1"/>
                <w:sz w:val="21"/>
                <w:szCs w:val="21"/>
              </w:rPr>
              <w:t>tid</w:t>
            </w:r>
          </w:p>
        </w:tc>
        <w:tc>
          <w:tcPr>
            <w:tcW w:w="50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肾（肝）</w:t>
            </w:r>
          </w:p>
        </w:tc>
        <w:tc>
          <w:tcPr>
            <w:tcW w:w="585"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100%</w:t>
            </w:r>
          </w:p>
        </w:tc>
        <w:tc>
          <w:tcPr>
            <w:tcW w:w="584"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100%</w:t>
            </w:r>
          </w:p>
        </w:tc>
        <w:tc>
          <w:tcPr>
            <w:tcW w:w="567"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100%</w:t>
            </w:r>
          </w:p>
        </w:tc>
        <w:tc>
          <w:tcPr>
            <w:tcW w:w="435"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100%</w:t>
            </w:r>
          </w:p>
        </w:tc>
        <w:tc>
          <w:tcPr>
            <w:tcW w:w="400"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不用</w:t>
            </w:r>
          </w:p>
        </w:tc>
        <w:tc>
          <w:tcPr>
            <w:tcW w:w="418"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无资料</w:t>
            </w:r>
          </w:p>
        </w:tc>
      </w:tr>
      <w:tr w:rsidR="002E5476">
        <w:trPr>
          <w:trHeight w:val="724"/>
          <w:jc w:val="center"/>
        </w:trPr>
        <w:tc>
          <w:tcPr>
            <w:tcW w:w="7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乐卡地平</w:t>
            </w:r>
          </w:p>
        </w:tc>
        <w:tc>
          <w:tcPr>
            <w:tcW w:w="7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10</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20 mg</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qd</w:t>
            </w:r>
          </w:p>
        </w:tc>
        <w:tc>
          <w:tcPr>
            <w:tcW w:w="50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肝（肾）</w:t>
            </w:r>
          </w:p>
        </w:tc>
        <w:tc>
          <w:tcPr>
            <w:tcW w:w="585"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轻至中度肾损时可能耐受常用推荐剂量，但将日剂量增至</w:t>
            </w:r>
            <w:r>
              <w:rPr>
                <w:rFonts w:ascii="Times New Roman" w:eastAsia="宋体" w:hAnsi="Times New Roman" w:cs="Times New Roman"/>
                <w:color w:val="000000" w:themeColor="text1"/>
                <w:szCs w:val="21"/>
              </w:rPr>
              <w:t>20 mg</w:t>
            </w:r>
            <w:r>
              <w:rPr>
                <w:rFonts w:ascii="Times New Roman" w:eastAsia="宋体" w:hAnsi="Times New Roman" w:cs="Times New Roman" w:hint="eastAsia"/>
                <w:color w:val="000000" w:themeColor="text1"/>
                <w:szCs w:val="21"/>
              </w:rPr>
              <w:t>时应谨慎</w:t>
            </w:r>
          </w:p>
        </w:tc>
        <w:tc>
          <w:tcPr>
            <w:tcW w:w="584"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谨慎</w:t>
            </w:r>
          </w:p>
        </w:tc>
        <w:tc>
          <w:tcPr>
            <w:tcW w:w="567"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禁用</w:t>
            </w:r>
          </w:p>
        </w:tc>
        <w:tc>
          <w:tcPr>
            <w:tcW w:w="435"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无资料</w:t>
            </w:r>
          </w:p>
        </w:tc>
        <w:tc>
          <w:tcPr>
            <w:tcW w:w="400"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无资料</w:t>
            </w:r>
          </w:p>
        </w:tc>
        <w:tc>
          <w:tcPr>
            <w:tcW w:w="418"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无资料</w:t>
            </w:r>
          </w:p>
        </w:tc>
      </w:tr>
      <w:tr w:rsidR="002E5476">
        <w:trPr>
          <w:trHeight w:val="390"/>
          <w:jc w:val="center"/>
        </w:trPr>
        <w:tc>
          <w:tcPr>
            <w:tcW w:w="7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贝尼地平</w:t>
            </w:r>
          </w:p>
        </w:tc>
        <w:tc>
          <w:tcPr>
            <w:tcW w:w="7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2</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12 mg</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qd</w:t>
            </w:r>
          </w:p>
        </w:tc>
        <w:tc>
          <w:tcPr>
            <w:tcW w:w="50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肝（肾）</w:t>
            </w:r>
          </w:p>
        </w:tc>
        <w:tc>
          <w:tcPr>
            <w:tcW w:w="585"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无资料</w:t>
            </w:r>
          </w:p>
        </w:tc>
        <w:tc>
          <w:tcPr>
            <w:tcW w:w="584"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无资料</w:t>
            </w:r>
          </w:p>
        </w:tc>
        <w:tc>
          <w:tcPr>
            <w:tcW w:w="567"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无资料</w:t>
            </w:r>
          </w:p>
        </w:tc>
        <w:tc>
          <w:tcPr>
            <w:tcW w:w="435"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无资料</w:t>
            </w:r>
          </w:p>
        </w:tc>
        <w:tc>
          <w:tcPr>
            <w:tcW w:w="400"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进行</w:t>
            </w:r>
            <w:r>
              <w:rPr>
                <w:rFonts w:ascii="Times New Roman" w:eastAsia="宋体" w:hAnsi="Times New Roman" w:cs="Times New Roman"/>
                <w:color w:val="000000" w:themeColor="text1"/>
                <w:szCs w:val="21"/>
              </w:rPr>
              <w:t>CAPD</w:t>
            </w:r>
            <w:r>
              <w:rPr>
                <w:rFonts w:ascii="Times New Roman" w:eastAsia="宋体" w:hAnsi="Times New Roman" w:cs="Times New Roman" w:hint="eastAsia"/>
                <w:color w:val="000000" w:themeColor="text1"/>
                <w:szCs w:val="21"/>
              </w:rPr>
              <w:t>的患者，有时会出现透析排液呈白浊状，需与腹膜炎相鉴别</w:t>
            </w:r>
          </w:p>
        </w:tc>
        <w:tc>
          <w:tcPr>
            <w:tcW w:w="418"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无资料</w:t>
            </w:r>
          </w:p>
        </w:tc>
      </w:tr>
      <w:tr w:rsidR="002E5476">
        <w:trPr>
          <w:trHeight w:val="390"/>
          <w:jc w:val="center"/>
        </w:trPr>
        <w:tc>
          <w:tcPr>
            <w:tcW w:w="7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西尼地平</w:t>
            </w:r>
          </w:p>
        </w:tc>
        <w:tc>
          <w:tcPr>
            <w:tcW w:w="7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5</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10 mg</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qd</w:t>
            </w:r>
          </w:p>
        </w:tc>
        <w:tc>
          <w:tcPr>
            <w:tcW w:w="50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肝</w:t>
            </w:r>
          </w:p>
        </w:tc>
        <w:tc>
          <w:tcPr>
            <w:tcW w:w="585"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慎用</w:t>
            </w:r>
          </w:p>
        </w:tc>
        <w:tc>
          <w:tcPr>
            <w:tcW w:w="584"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慎用</w:t>
            </w:r>
          </w:p>
        </w:tc>
        <w:tc>
          <w:tcPr>
            <w:tcW w:w="567"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慎用</w:t>
            </w:r>
          </w:p>
        </w:tc>
        <w:tc>
          <w:tcPr>
            <w:tcW w:w="435"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无资料</w:t>
            </w:r>
          </w:p>
        </w:tc>
        <w:tc>
          <w:tcPr>
            <w:tcW w:w="400"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无资料</w:t>
            </w:r>
          </w:p>
        </w:tc>
        <w:tc>
          <w:tcPr>
            <w:tcW w:w="418"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无资料</w:t>
            </w:r>
          </w:p>
        </w:tc>
      </w:tr>
      <w:tr w:rsidR="002E5476">
        <w:trPr>
          <w:trHeight w:val="435"/>
          <w:jc w:val="center"/>
        </w:trPr>
        <w:tc>
          <w:tcPr>
            <w:tcW w:w="7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马尼地平</w:t>
            </w:r>
          </w:p>
        </w:tc>
        <w:tc>
          <w:tcPr>
            <w:tcW w:w="7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10</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20 mg</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qd</w:t>
            </w:r>
          </w:p>
        </w:tc>
        <w:tc>
          <w:tcPr>
            <w:tcW w:w="50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肝</w:t>
            </w:r>
          </w:p>
        </w:tc>
        <w:tc>
          <w:tcPr>
            <w:tcW w:w="585"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100%</w:t>
            </w:r>
          </w:p>
        </w:tc>
        <w:tc>
          <w:tcPr>
            <w:tcW w:w="584"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100%</w:t>
            </w:r>
          </w:p>
        </w:tc>
        <w:tc>
          <w:tcPr>
            <w:tcW w:w="567"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100%</w:t>
            </w:r>
          </w:p>
        </w:tc>
        <w:tc>
          <w:tcPr>
            <w:tcW w:w="435"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100%</w:t>
            </w:r>
          </w:p>
        </w:tc>
        <w:tc>
          <w:tcPr>
            <w:tcW w:w="400"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不用</w:t>
            </w:r>
          </w:p>
        </w:tc>
        <w:tc>
          <w:tcPr>
            <w:tcW w:w="418"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无资料</w:t>
            </w:r>
          </w:p>
        </w:tc>
      </w:tr>
      <w:tr w:rsidR="002E5476">
        <w:trPr>
          <w:trHeight w:val="615"/>
          <w:jc w:val="center"/>
        </w:trPr>
        <w:tc>
          <w:tcPr>
            <w:tcW w:w="5000" w:type="pct"/>
            <w:gridSpan w:val="9"/>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b/>
                <w:bCs/>
                <w:color w:val="000000" w:themeColor="text1"/>
                <w:kern w:val="0"/>
                <w:szCs w:val="21"/>
              </w:rPr>
            </w:pPr>
            <w:r>
              <w:rPr>
                <w:rFonts w:ascii="Times New Roman" w:eastAsia="宋体" w:hAnsi="Times New Roman" w:cs="Times New Roman" w:hint="eastAsia"/>
                <w:b/>
                <w:bCs/>
                <w:color w:val="000000" w:themeColor="text1"/>
                <w:kern w:val="0"/>
                <w:szCs w:val="21"/>
              </w:rPr>
              <w:lastRenderedPageBreak/>
              <w:t>非二氢吡啶类</w:t>
            </w:r>
            <w:r>
              <w:rPr>
                <w:rFonts w:ascii="Times New Roman" w:eastAsia="宋体" w:hAnsi="Times New Roman" w:cs="Times New Roman"/>
                <w:b/>
                <w:bCs/>
                <w:color w:val="000000" w:themeColor="text1"/>
                <w:kern w:val="0"/>
                <w:szCs w:val="21"/>
              </w:rPr>
              <w:t>CCB</w:t>
            </w:r>
          </w:p>
        </w:tc>
      </w:tr>
      <w:tr w:rsidR="002E5476">
        <w:trPr>
          <w:trHeight w:val="615"/>
          <w:jc w:val="center"/>
        </w:trPr>
        <w:tc>
          <w:tcPr>
            <w:tcW w:w="7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维拉帕米</w:t>
            </w:r>
          </w:p>
        </w:tc>
        <w:tc>
          <w:tcPr>
            <w:tcW w:w="7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80~120 mg</w:t>
            </w:r>
            <w:r>
              <w:rPr>
                <w:rStyle w:val="font41"/>
                <w:rFonts w:eastAsia="宋体" w:hint="eastAsia"/>
                <w:color w:val="000000" w:themeColor="text1"/>
                <w:sz w:val="21"/>
                <w:szCs w:val="21"/>
              </w:rPr>
              <w:t>，</w:t>
            </w:r>
            <w:r>
              <w:rPr>
                <w:rStyle w:val="font41"/>
                <w:rFonts w:eastAsia="宋体"/>
                <w:color w:val="000000" w:themeColor="text1"/>
                <w:sz w:val="21"/>
                <w:szCs w:val="21"/>
              </w:rPr>
              <w:t>tid</w:t>
            </w:r>
          </w:p>
        </w:tc>
        <w:tc>
          <w:tcPr>
            <w:tcW w:w="50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肝</w:t>
            </w:r>
          </w:p>
        </w:tc>
        <w:tc>
          <w:tcPr>
            <w:tcW w:w="585"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慎用，</w:t>
            </w:r>
            <w:r>
              <w:rPr>
                <w:rFonts w:ascii="Times New Roman" w:eastAsia="宋体" w:hAnsi="Times New Roman" w:cs="Times New Roman"/>
                <w:color w:val="000000" w:themeColor="text1"/>
                <w:szCs w:val="21"/>
              </w:rPr>
              <w:t>100%</w:t>
            </w:r>
          </w:p>
        </w:tc>
        <w:tc>
          <w:tcPr>
            <w:tcW w:w="584"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慎用，</w:t>
            </w:r>
            <w:r>
              <w:rPr>
                <w:rFonts w:ascii="Times New Roman" w:eastAsia="宋体" w:hAnsi="Times New Roman" w:cs="Times New Roman"/>
                <w:color w:val="000000" w:themeColor="text1"/>
                <w:szCs w:val="21"/>
              </w:rPr>
              <w:t>100%</w:t>
            </w:r>
          </w:p>
        </w:tc>
        <w:tc>
          <w:tcPr>
            <w:tcW w:w="567"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慎用，</w:t>
            </w:r>
            <w:r>
              <w:rPr>
                <w:rFonts w:ascii="Times New Roman" w:eastAsia="宋体" w:hAnsi="Times New Roman" w:cs="Times New Roman"/>
                <w:color w:val="000000" w:themeColor="text1"/>
                <w:szCs w:val="21"/>
              </w:rPr>
              <w:t>100%</w:t>
            </w:r>
          </w:p>
        </w:tc>
        <w:tc>
          <w:tcPr>
            <w:tcW w:w="435"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szCs w:val="21"/>
              </w:rPr>
              <w:t>100%</w:t>
            </w:r>
          </w:p>
        </w:tc>
        <w:tc>
          <w:tcPr>
            <w:tcW w:w="400"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szCs w:val="21"/>
              </w:rPr>
              <w:t>不用</w:t>
            </w:r>
          </w:p>
        </w:tc>
        <w:tc>
          <w:tcPr>
            <w:tcW w:w="418"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szCs w:val="21"/>
              </w:rPr>
              <w:t>100%</w:t>
            </w:r>
          </w:p>
        </w:tc>
      </w:tr>
      <w:tr w:rsidR="002E5476">
        <w:trPr>
          <w:trHeight w:val="615"/>
          <w:jc w:val="center"/>
        </w:trPr>
        <w:tc>
          <w:tcPr>
            <w:tcW w:w="7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维拉帕米缓释片</w:t>
            </w:r>
          </w:p>
        </w:tc>
        <w:tc>
          <w:tcPr>
            <w:tcW w:w="7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180~360 mg</w:t>
            </w:r>
            <w:r>
              <w:rPr>
                <w:rStyle w:val="font41"/>
                <w:rFonts w:eastAsia="宋体" w:hint="eastAsia"/>
                <w:color w:val="000000" w:themeColor="text1"/>
                <w:sz w:val="21"/>
                <w:szCs w:val="21"/>
              </w:rPr>
              <w:t>，</w:t>
            </w:r>
            <w:r>
              <w:rPr>
                <w:rStyle w:val="font41"/>
                <w:rFonts w:eastAsia="宋体"/>
                <w:color w:val="000000" w:themeColor="text1"/>
                <w:sz w:val="21"/>
                <w:szCs w:val="21"/>
              </w:rPr>
              <w:t>qd</w:t>
            </w:r>
          </w:p>
        </w:tc>
        <w:tc>
          <w:tcPr>
            <w:tcW w:w="50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肝</w:t>
            </w:r>
          </w:p>
        </w:tc>
        <w:tc>
          <w:tcPr>
            <w:tcW w:w="585"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szCs w:val="21"/>
              </w:rPr>
              <w:t>100%</w:t>
            </w:r>
          </w:p>
        </w:tc>
        <w:tc>
          <w:tcPr>
            <w:tcW w:w="584"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szCs w:val="21"/>
              </w:rPr>
              <w:t>100%</w:t>
            </w:r>
          </w:p>
        </w:tc>
        <w:tc>
          <w:tcPr>
            <w:tcW w:w="567"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szCs w:val="21"/>
              </w:rPr>
              <w:t>100%</w:t>
            </w:r>
          </w:p>
        </w:tc>
        <w:tc>
          <w:tcPr>
            <w:tcW w:w="435"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szCs w:val="21"/>
              </w:rPr>
              <w:t>100%</w:t>
            </w:r>
          </w:p>
        </w:tc>
        <w:tc>
          <w:tcPr>
            <w:tcW w:w="400"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szCs w:val="21"/>
              </w:rPr>
              <w:t>不用</w:t>
            </w:r>
          </w:p>
        </w:tc>
        <w:tc>
          <w:tcPr>
            <w:tcW w:w="418"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szCs w:val="21"/>
              </w:rPr>
              <w:t>100%</w:t>
            </w:r>
          </w:p>
        </w:tc>
      </w:tr>
      <w:tr w:rsidR="002E5476">
        <w:trPr>
          <w:trHeight w:val="615"/>
          <w:jc w:val="center"/>
        </w:trPr>
        <w:tc>
          <w:tcPr>
            <w:tcW w:w="7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地尔硫卓</w:t>
            </w:r>
          </w:p>
        </w:tc>
        <w:tc>
          <w:tcPr>
            <w:tcW w:w="7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jc w:val="left"/>
              <w:textAlignment w:val="center"/>
              <w:rPr>
                <w:rFonts w:ascii="Times New Roman" w:eastAsia="宋体" w:hAnsi="Times New Roman" w:cs="Times New Roman"/>
                <w:color w:val="000000" w:themeColor="text1"/>
                <w:kern w:val="0"/>
                <w:szCs w:val="21"/>
              </w:rPr>
            </w:pPr>
            <w:r>
              <w:rPr>
                <w:rStyle w:val="font41"/>
                <w:rFonts w:eastAsia="宋体"/>
                <w:color w:val="000000" w:themeColor="text1"/>
                <w:sz w:val="21"/>
                <w:szCs w:val="21"/>
              </w:rPr>
              <w:t>30~120 mg</w:t>
            </w:r>
            <w:r>
              <w:rPr>
                <w:rStyle w:val="font41"/>
                <w:rFonts w:eastAsia="宋体" w:hint="eastAsia"/>
                <w:color w:val="000000" w:themeColor="text1"/>
                <w:sz w:val="21"/>
                <w:szCs w:val="21"/>
              </w:rPr>
              <w:t>，</w:t>
            </w:r>
            <w:r>
              <w:rPr>
                <w:rStyle w:val="font41"/>
                <w:rFonts w:eastAsia="宋体"/>
                <w:color w:val="000000" w:themeColor="text1"/>
                <w:sz w:val="21"/>
                <w:szCs w:val="21"/>
              </w:rPr>
              <w:t xml:space="preserve"> tid</w:t>
            </w:r>
          </w:p>
        </w:tc>
        <w:tc>
          <w:tcPr>
            <w:tcW w:w="50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肝</w:t>
            </w:r>
          </w:p>
        </w:tc>
        <w:tc>
          <w:tcPr>
            <w:tcW w:w="585"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szCs w:val="21"/>
              </w:rPr>
              <w:t>100%</w:t>
            </w:r>
          </w:p>
        </w:tc>
        <w:tc>
          <w:tcPr>
            <w:tcW w:w="584"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szCs w:val="21"/>
              </w:rPr>
              <w:t>100%</w:t>
            </w:r>
          </w:p>
        </w:tc>
        <w:tc>
          <w:tcPr>
            <w:tcW w:w="567"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szCs w:val="21"/>
              </w:rPr>
              <w:t>100%</w:t>
            </w:r>
          </w:p>
        </w:tc>
        <w:tc>
          <w:tcPr>
            <w:tcW w:w="435"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szCs w:val="21"/>
              </w:rPr>
              <w:t>100%</w:t>
            </w:r>
          </w:p>
        </w:tc>
        <w:tc>
          <w:tcPr>
            <w:tcW w:w="400"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szCs w:val="21"/>
              </w:rPr>
              <w:t>不用</w:t>
            </w:r>
          </w:p>
        </w:tc>
        <w:tc>
          <w:tcPr>
            <w:tcW w:w="418"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szCs w:val="21"/>
              </w:rPr>
              <w:t>100%</w:t>
            </w:r>
          </w:p>
        </w:tc>
      </w:tr>
      <w:tr w:rsidR="002E5476">
        <w:trPr>
          <w:trHeight w:val="390"/>
          <w:jc w:val="center"/>
        </w:trPr>
        <w:tc>
          <w:tcPr>
            <w:tcW w:w="7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地尔硫卓缓释片</w:t>
            </w:r>
          </w:p>
        </w:tc>
        <w:tc>
          <w:tcPr>
            <w:tcW w:w="7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180</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360 mg</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qd</w:t>
            </w:r>
          </w:p>
        </w:tc>
        <w:tc>
          <w:tcPr>
            <w:tcW w:w="50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肝</w:t>
            </w:r>
          </w:p>
        </w:tc>
        <w:tc>
          <w:tcPr>
            <w:tcW w:w="585"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szCs w:val="21"/>
              </w:rPr>
              <w:t>100%</w:t>
            </w:r>
          </w:p>
        </w:tc>
        <w:tc>
          <w:tcPr>
            <w:tcW w:w="584"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szCs w:val="21"/>
              </w:rPr>
              <w:t>100%</w:t>
            </w:r>
          </w:p>
        </w:tc>
        <w:tc>
          <w:tcPr>
            <w:tcW w:w="567"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szCs w:val="21"/>
              </w:rPr>
              <w:t>100%</w:t>
            </w:r>
          </w:p>
        </w:tc>
        <w:tc>
          <w:tcPr>
            <w:tcW w:w="435"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szCs w:val="21"/>
              </w:rPr>
              <w:t>100%</w:t>
            </w:r>
          </w:p>
        </w:tc>
        <w:tc>
          <w:tcPr>
            <w:tcW w:w="400"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szCs w:val="21"/>
              </w:rPr>
              <w:t>不用</w:t>
            </w:r>
          </w:p>
        </w:tc>
        <w:tc>
          <w:tcPr>
            <w:tcW w:w="418"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szCs w:val="21"/>
              </w:rPr>
              <w:t>100%</w:t>
            </w:r>
          </w:p>
        </w:tc>
      </w:tr>
      <w:tr w:rsidR="002E5476">
        <w:trPr>
          <w:trHeight w:val="483"/>
          <w:jc w:val="center"/>
        </w:trPr>
        <w:tc>
          <w:tcPr>
            <w:tcW w:w="5000" w:type="pct"/>
            <w:gridSpan w:val="9"/>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b/>
                <w:bCs/>
                <w:color w:val="000000" w:themeColor="text1"/>
                <w:kern w:val="0"/>
                <w:szCs w:val="21"/>
              </w:rPr>
            </w:pPr>
            <w:r>
              <w:rPr>
                <w:rFonts w:ascii="Times New Roman" w:eastAsia="宋体" w:hAnsi="Times New Roman" w:cs="Times New Roman" w:hint="eastAsia"/>
                <w:b/>
                <w:bCs/>
                <w:color w:val="000000" w:themeColor="text1"/>
                <w:kern w:val="0"/>
                <w:szCs w:val="21"/>
              </w:rPr>
              <w:t>袢利尿剂</w:t>
            </w:r>
          </w:p>
        </w:tc>
      </w:tr>
      <w:tr w:rsidR="002E5476">
        <w:trPr>
          <w:trHeight w:val="519"/>
          <w:jc w:val="center"/>
        </w:trPr>
        <w:tc>
          <w:tcPr>
            <w:tcW w:w="7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呋塞米</w:t>
            </w:r>
          </w:p>
        </w:tc>
        <w:tc>
          <w:tcPr>
            <w:tcW w:w="7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40</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80 mg</w:t>
            </w:r>
            <w:r>
              <w:rPr>
                <w:rStyle w:val="font31"/>
                <w:rFonts w:ascii="Times New Roman" w:hAnsi="Times New Roman" w:cs="Times New Roman" w:hint="default"/>
                <w:color w:val="000000" w:themeColor="text1"/>
                <w:sz w:val="21"/>
                <w:szCs w:val="21"/>
              </w:rPr>
              <w:t>，</w:t>
            </w:r>
            <w:r>
              <w:rPr>
                <w:rStyle w:val="font31"/>
                <w:rFonts w:ascii="Times New Roman" w:hAnsi="Times New Roman" w:cs="Times New Roman" w:hint="default"/>
                <w:color w:val="000000" w:themeColor="text1"/>
                <w:sz w:val="21"/>
                <w:szCs w:val="21"/>
              </w:rPr>
              <w:t>bid</w:t>
            </w:r>
          </w:p>
        </w:tc>
        <w:tc>
          <w:tcPr>
            <w:tcW w:w="50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肾（肝）</w:t>
            </w:r>
          </w:p>
        </w:tc>
        <w:tc>
          <w:tcPr>
            <w:tcW w:w="585"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100%</w:t>
            </w:r>
          </w:p>
        </w:tc>
        <w:tc>
          <w:tcPr>
            <w:tcW w:w="584"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100%</w:t>
            </w:r>
          </w:p>
        </w:tc>
        <w:tc>
          <w:tcPr>
            <w:tcW w:w="567"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100%</w:t>
            </w:r>
          </w:p>
        </w:tc>
        <w:tc>
          <w:tcPr>
            <w:tcW w:w="435"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100%</w:t>
            </w:r>
          </w:p>
        </w:tc>
        <w:tc>
          <w:tcPr>
            <w:tcW w:w="400"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不用</w:t>
            </w:r>
          </w:p>
        </w:tc>
        <w:tc>
          <w:tcPr>
            <w:tcW w:w="418"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不适用</w:t>
            </w:r>
          </w:p>
        </w:tc>
      </w:tr>
      <w:tr w:rsidR="002E5476">
        <w:trPr>
          <w:trHeight w:val="390"/>
          <w:jc w:val="center"/>
        </w:trPr>
        <w:tc>
          <w:tcPr>
            <w:tcW w:w="7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托拉塞米</w:t>
            </w:r>
          </w:p>
        </w:tc>
        <w:tc>
          <w:tcPr>
            <w:tcW w:w="7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Style w:val="font41"/>
                <w:rFonts w:eastAsia="宋体"/>
                <w:color w:val="000000" w:themeColor="text1"/>
                <w:sz w:val="21"/>
                <w:szCs w:val="21"/>
              </w:rPr>
            </w:pPr>
            <w:r>
              <w:rPr>
                <w:rStyle w:val="font41"/>
                <w:rFonts w:eastAsia="宋体"/>
                <w:color w:val="000000" w:themeColor="text1"/>
                <w:sz w:val="21"/>
                <w:szCs w:val="21"/>
              </w:rPr>
              <w:t>5~10 mg</w:t>
            </w:r>
            <w:r>
              <w:rPr>
                <w:rStyle w:val="font41"/>
                <w:rFonts w:eastAsia="宋体" w:hint="eastAsia"/>
                <w:color w:val="000000" w:themeColor="text1"/>
                <w:sz w:val="21"/>
                <w:szCs w:val="21"/>
              </w:rPr>
              <w:t>，</w:t>
            </w:r>
            <w:r>
              <w:rPr>
                <w:rStyle w:val="font41"/>
                <w:rFonts w:eastAsia="宋体"/>
                <w:color w:val="000000" w:themeColor="text1"/>
                <w:sz w:val="21"/>
                <w:szCs w:val="21"/>
              </w:rPr>
              <w:t>bid</w:t>
            </w:r>
          </w:p>
        </w:tc>
        <w:tc>
          <w:tcPr>
            <w:tcW w:w="50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Style w:val="font41"/>
                <w:rFonts w:eastAsia="宋体"/>
                <w:color w:val="000000" w:themeColor="text1"/>
                <w:sz w:val="21"/>
                <w:szCs w:val="21"/>
              </w:rPr>
            </w:pPr>
            <w:r>
              <w:rPr>
                <w:rStyle w:val="font41"/>
                <w:rFonts w:eastAsia="宋体" w:hint="eastAsia"/>
                <w:color w:val="000000" w:themeColor="text1"/>
                <w:sz w:val="21"/>
                <w:szCs w:val="21"/>
              </w:rPr>
              <w:t>肝（肾）</w:t>
            </w:r>
          </w:p>
        </w:tc>
        <w:tc>
          <w:tcPr>
            <w:tcW w:w="585"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100%</w:t>
            </w:r>
          </w:p>
        </w:tc>
        <w:tc>
          <w:tcPr>
            <w:tcW w:w="584"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100%</w:t>
            </w:r>
          </w:p>
        </w:tc>
        <w:tc>
          <w:tcPr>
            <w:tcW w:w="567"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100%</w:t>
            </w:r>
          </w:p>
        </w:tc>
        <w:tc>
          <w:tcPr>
            <w:tcW w:w="435"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100%</w:t>
            </w:r>
          </w:p>
        </w:tc>
        <w:tc>
          <w:tcPr>
            <w:tcW w:w="400"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100%</w:t>
            </w:r>
          </w:p>
        </w:tc>
        <w:tc>
          <w:tcPr>
            <w:tcW w:w="418"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无效</w:t>
            </w:r>
          </w:p>
          <w:p w:rsidR="002E5476" w:rsidRDefault="002E5476">
            <w:pPr>
              <w:widowControl/>
              <w:textAlignment w:val="center"/>
              <w:rPr>
                <w:rFonts w:ascii="Times New Roman" w:eastAsia="宋体" w:hAnsi="Times New Roman" w:cs="Times New Roman"/>
                <w:color w:val="000000" w:themeColor="text1"/>
                <w:kern w:val="0"/>
                <w:szCs w:val="21"/>
              </w:rPr>
            </w:pPr>
          </w:p>
        </w:tc>
      </w:tr>
      <w:tr w:rsidR="002E5476">
        <w:trPr>
          <w:trHeight w:val="435"/>
          <w:jc w:val="center"/>
        </w:trPr>
        <w:tc>
          <w:tcPr>
            <w:tcW w:w="5000" w:type="pct"/>
            <w:gridSpan w:val="9"/>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b/>
                <w:bCs/>
                <w:color w:val="000000" w:themeColor="text1"/>
                <w:kern w:val="0"/>
                <w:szCs w:val="21"/>
              </w:rPr>
            </w:pPr>
            <w:r>
              <w:rPr>
                <w:rFonts w:ascii="Times New Roman" w:eastAsia="宋体" w:hAnsi="Times New Roman" w:cs="Times New Roman" w:hint="eastAsia"/>
                <w:b/>
                <w:bCs/>
                <w:color w:val="000000" w:themeColor="text1"/>
                <w:kern w:val="0"/>
                <w:szCs w:val="21"/>
              </w:rPr>
              <w:t>噻嗪类利尿剂</w:t>
            </w:r>
          </w:p>
        </w:tc>
      </w:tr>
      <w:tr w:rsidR="002E5476">
        <w:trPr>
          <w:trHeight w:val="435"/>
          <w:jc w:val="center"/>
        </w:trPr>
        <w:tc>
          <w:tcPr>
            <w:tcW w:w="7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氢氯噻嗪</w:t>
            </w:r>
          </w:p>
        </w:tc>
        <w:tc>
          <w:tcPr>
            <w:tcW w:w="7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51"/>
                <w:rFonts w:eastAsia="宋体"/>
                <w:color w:val="000000" w:themeColor="text1"/>
                <w:sz w:val="21"/>
                <w:szCs w:val="21"/>
              </w:rPr>
              <w:t>25</w:t>
            </w:r>
            <w:r>
              <w:rPr>
                <w:rStyle w:val="font01"/>
                <w:rFonts w:ascii="Times New Roman" w:hAnsi="Times New Roman" w:cs="Times New Roman" w:hint="default"/>
                <w:color w:val="000000" w:themeColor="text1"/>
                <w:sz w:val="21"/>
                <w:szCs w:val="21"/>
              </w:rPr>
              <w:t>~</w:t>
            </w:r>
            <w:r>
              <w:rPr>
                <w:rStyle w:val="font51"/>
                <w:rFonts w:eastAsia="宋体"/>
                <w:color w:val="000000" w:themeColor="text1"/>
                <w:sz w:val="21"/>
                <w:szCs w:val="21"/>
              </w:rPr>
              <w:t>50 mg</w:t>
            </w:r>
            <w:r>
              <w:rPr>
                <w:rStyle w:val="font01"/>
                <w:rFonts w:ascii="Times New Roman" w:hAnsi="Times New Roman" w:cs="Times New Roman" w:hint="default"/>
                <w:color w:val="000000" w:themeColor="text1"/>
                <w:sz w:val="21"/>
                <w:szCs w:val="21"/>
              </w:rPr>
              <w:t>，</w:t>
            </w:r>
            <w:r>
              <w:rPr>
                <w:rStyle w:val="font51"/>
                <w:rFonts w:eastAsia="宋体"/>
                <w:color w:val="000000" w:themeColor="text1"/>
                <w:sz w:val="21"/>
                <w:szCs w:val="21"/>
              </w:rPr>
              <w:t>qd</w:t>
            </w:r>
          </w:p>
        </w:tc>
        <w:tc>
          <w:tcPr>
            <w:tcW w:w="50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肾</w:t>
            </w:r>
          </w:p>
        </w:tc>
        <w:tc>
          <w:tcPr>
            <w:tcW w:w="585"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无需调整，</w:t>
            </w:r>
            <w:r>
              <w:rPr>
                <w:rFonts w:ascii="Times New Roman" w:eastAsia="宋体" w:hAnsi="Times New Roman" w:cs="Times New Roman"/>
                <w:color w:val="000000" w:themeColor="text1"/>
                <w:kern w:val="0"/>
                <w:szCs w:val="21"/>
              </w:rPr>
              <w:t>100%</w:t>
            </w:r>
          </w:p>
        </w:tc>
        <w:tc>
          <w:tcPr>
            <w:tcW w:w="584"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eGFR</w:t>
            </w: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color w:val="000000" w:themeColor="text1"/>
                <w:kern w:val="0"/>
                <w:szCs w:val="21"/>
              </w:rPr>
              <w:t>30</w:t>
            </w:r>
            <w:r>
              <w:rPr>
                <w:rFonts w:ascii="Times New Roman" w:eastAsia="宋体" w:hAnsi="Times New Roman" w:cs="Times New Roman" w:hint="eastAsia"/>
                <w:color w:val="000000" w:themeColor="text1"/>
                <w:kern w:val="0"/>
                <w:szCs w:val="21"/>
              </w:rPr>
              <w:t>无尿或严重肾功能不全者慎用，</w:t>
            </w:r>
            <w:r>
              <w:rPr>
                <w:rFonts w:ascii="Times New Roman" w:eastAsia="宋体" w:hAnsi="Times New Roman" w:cs="Times New Roman"/>
                <w:color w:val="000000" w:themeColor="text1"/>
                <w:kern w:val="0"/>
                <w:szCs w:val="21"/>
              </w:rPr>
              <w:t>100%</w:t>
            </w:r>
          </w:p>
        </w:tc>
        <w:tc>
          <w:tcPr>
            <w:tcW w:w="567"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慎用，避免</w:t>
            </w:r>
          </w:p>
        </w:tc>
        <w:tc>
          <w:tcPr>
            <w:tcW w:w="435"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不适用</w:t>
            </w:r>
          </w:p>
        </w:tc>
        <w:tc>
          <w:tcPr>
            <w:tcW w:w="400"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不适用</w:t>
            </w:r>
          </w:p>
        </w:tc>
        <w:tc>
          <w:tcPr>
            <w:tcW w:w="418"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不适用</w:t>
            </w:r>
          </w:p>
        </w:tc>
      </w:tr>
      <w:tr w:rsidR="002E5476">
        <w:trPr>
          <w:trHeight w:val="435"/>
          <w:jc w:val="center"/>
        </w:trPr>
        <w:tc>
          <w:tcPr>
            <w:tcW w:w="7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吲达帕胺</w:t>
            </w:r>
          </w:p>
        </w:tc>
        <w:tc>
          <w:tcPr>
            <w:tcW w:w="7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51"/>
                <w:rFonts w:eastAsia="宋体"/>
                <w:color w:val="000000" w:themeColor="text1"/>
                <w:sz w:val="21"/>
                <w:szCs w:val="21"/>
              </w:rPr>
              <w:t>1.25</w:t>
            </w:r>
            <w:r>
              <w:rPr>
                <w:rStyle w:val="font01"/>
                <w:rFonts w:ascii="Times New Roman" w:hAnsi="Times New Roman" w:cs="Times New Roman" w:hint="default"/>
                <w:color w:val="000000" w:themeColor="text1"/>
                <w:sz w:val="21"/>
                <w:szCs w:val="21"/>
              </w:rPr>
              <w:t>~</w:t>
            </w:r>
            <w:r>
              <w:rPr>
                <w:rStyle w:val="font51"/>
                <w:rFonts w:eastAsia="宋体"/>
                <w:color w:val="000000" w:themeColor="text1"/>
                <w:sz w:val="21"/>
                <w:szCs w:val="21"/>
              </w:rPr>
              <w:t>2.50 mg</w:t>
            </w:r>
            <w:r>
              <w:rPr>
                <w:rStyle w:val="font01"/>
                <w:rFonts w:ascii="Times New Roman" w:hAnsi="Times New Roman" w:cs="Times New Roman" w:hint="default"/>
                <w:color w:val="000000" w:themeColor="text1"/>
                <w:sz w:val="21"/>
                <w:szCs w:val="21"/>
              </w:rPr>
              <w:t>，</w:t>
            </w:r>
            <w:r>
              <w:rPr>
                <w:rStyle w:val="font51"/>
                <w:rFonts w:eastAsia="宋体"/>
                <w:color w:val="000000" w:themeColor="text1"/>
                <w:sz w:val="21"/>
                <w:szCs w:val="21"/>
              </w:rPr>
              <w:t>qd</w:t>
            </w:r>
          </w:p>
        </w:tc>
        <w:tc>
          <w:tcPr>
            <w:tcW w:w="50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肾</w:t>
            </w:r>
          </w:p>
        </w:tc>
        <w:tc>
          <w:tcPr>
            <w:tcW w:w="585"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无需调整，</w:t>
            </w:r>
            <w:r>
              <w:rPr>
                <w:rFonts w:ascii="Times New Roman" w:eastAsia="宋体" w:hAnsi="Times New Roman" w:cs="Times New Roman"/>
                <w:color w:val="000000" w:themeColor="text1"/>
                <w:kern w:val="0"/>
                <w:szCs w:val="21"/>
              </w:rPr>
              <w:t>100%</w:t>
            </w:r>
          </w:p>
        </w:tc>
        <w:tc>
          <w:tcPr>
            <w:tcW w:w="584"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szCs w:val="21"/>
              </w:rPr>
              <w:t>eGFR</w:t>
            </w: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color w:val="000000" w:themeColor="text1"/>
                <w:kern w:val="0"/>
                <w:szCs w:val="21"/>
              </w:rPr>
              <w:t>30</w:t>
            </w:r>
            <w:r>
              <w:rPr>
                <w:rFonts w:ascii="Times New Roman" w:eastAsia="宋体" w:hAnsi="Times New Roman" w:cs="Times New Roman" w:hint="eastAsia"/>
                <w:color w:val="000000" w:themeColor="text1"/>
                <w:kern w:val="0"/>
                <w:szCs w:val="21"/>
              </w:rPr>
              <w:t>禁用，</w:t>
            </w:r>
          </w:p>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100%</w:t>
            </w:r>
          </w:p>
        </w:tc>
        <w:tc>
          <w:tcPr>
            <w:tcW w:w="567"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禁用，避免</w:t>
            </w:r>
          </w:p>
        </w:tc>
        <w:tc>
          <w:tcPr>
            <w:tcW w:w="435"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不适用</w:t>
            </w:r>
          </w:p>
        </w:tc>
        <w:tc>
          <w:tcPr>
            <w:tcW w:w="400"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不适用</w:t>
            </w:r>
          </w:p>
        </w:tc>
        <w:tc>
          <w:tcPr>
            <w:tcW w:w="418"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不适用</w:t>
            </w:r>
          </w:p>
        </w:tc>
      </w:tr>
      <w:tr w:rsidR="002E5476">
        <w:trPr>
          <w:trHeight w:val="615"/>
          <w:jc w:val="center"/>
        </w:trPr>
        <w:tc>
          <w:tcPr>
            <w:tcW w:w="5000" w:type="pct"/>
            <w:gridSpan w:val="9"/>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b/>
                <w:bCs/>
                <w:color w:val="000000" w:themeColor="text1"/>
                <w:kern w:val="0"/>
                <w:szCs w:val="21"/>
              </w:rPr>
            </w:pPr>
            <w:r>
              <w:rPr>
                <w:rFonts w:ascii="Times New Roman" w:eastAsia="宋体" w:hAnsi="Times New Roman" w:cs="Times New Roman" w:hint="eastAsia"/>
                <w:b/>
                <w:bCs/>
                <w:color w:val="000000" w:themeColor="text1"/>
                <w:kern w:val="0"/>
                <w:szCs w:val="21"/>
              </w:rPr>
              <w:t>醛固酮受体拮抗剂</w:t>
            </w:r>
          </w:p>
        </w:tc>
      </w:tr>
      <w:tr w:rsidR="002E5476">
        <w:trPr>
          <w:trHeight w:val="615"/>
          <w:jc w:val="center"/>
        </w:trPr>
        <w:tc>
          <w:tcPr>
            <w:tcW w:w="7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螺内酯</w:t>
            </w:r>
          </w:p>
        </w:tc>
        <w:tc>
          <w:tcPr>
            <w:tcW w:w="7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01"/>
                <w:rFonts w:ascii="Times New Roman" w:hAnsi="Times New Roman" w:cs="Times New Roman" w:hint="default"/>
                <w:color w:val="000000" w:themeColor="text1"/>
                <w:sz w:val="21"/>
                <w:szCs w:val="21"/>
              </w:rPr>
              <w:t>50~100 mg</w:t>
            </w:r>
            <w:r>
              <w:rPr>
                <w:rStyle w:val="font01"/>
                <w:rFonts w:ascii="Times New Roman" w:hAnsi="Times New Roman" w:cs="Times New Roman" w:hint="default"/>
                <w:color w:val="000000" w:themeColor="text1"/>
                <w:sz w:val="21"/>
                <w:szCs w:val="21"/>
              </w:rPr>
              <w:t>，</w:t>
            </w:r>
            <w:r>
              <w:rPr>
                <w:rStyle w:val="font51"/>
                <w:rFonts w:eastAsia="宋体"/>
                <w:color w:val="000000" w:themeColor="text1"/>
                <w:sz w:val="21"/>
                <w:szCs w:val="21"/>
              </w:rPr>
              <w:t>qd</w:t>
            </w:r>
            <w:r>
              <w:rPr>
                <w:rStyle w:val="font01"/>
                <w:rFonts w:ascii="Times New Roman" w:hAnsi="Times New Roman" w:cs="Times New Roman" w:hint="default"/>
                <w:color w:val="000000" w:themeColor="text1"/>
                <w:sz w:val="21"/>
                <w:szCs w:val="21"/>
              </w:rPr>
              <w:t>至</w:t>
            </w:r>
            <w:r>
              <w:rPr>
                <w:rStyle w:val="font51"/>
                <w:rFonts w:eastAsia="宋体"/>
                <w:color w:val="000000" w:themeColor="text1"/>
                <w:sz w:val="21"/>
                <w:szCs w:val="21"/>
              </w:rPr>
              <w:t>bid</w:t>
            </w:r>
          </w:p>
        </w:tc>
        <w:tc>
          <w:tcPr>
            <w:tcW w:w="50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肾（肝）</w:t>
            </w:r>
          </w:p>
        </w:tc>
        <w:tc>
          <w:tcPr>
            <w:tcW w:w="585"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无尿和肾功能不全者慎用，</w:t>
            </w:r>
            <w:r>
              <w:rPr>
                <w:rFonts w:ascii="Times New Roman" w:eastAsia="宋体" w:hAnsi="Times New Roman" w:cs="Times New Roman"/>
                <w:color w:val="000000" w:themeColor="text1"/>
                <w:kern w:val="0"/>
                <w:szCs w:val="21"/>
              </w:rPr>
              <w:t>q6~12h</w:t>
            </w:r>
          </w:p>
        </w:tc>
        <w:tc>
          <w:tcPr>
            <w:tcW w:w="584"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无尿和肾功能不全者慎用，</w:t>
            </w:r>
            <w:r>
              <w:rPr>
                <w:rFonts w:ascii="Times New Roman" w:eastAsia="宋体" w:hAnsi="Times New Roman" w:cs="Times New Roman"/>
                <w:color w:val="000000" w:themeColor="text1"/>
                <w:kern w:val="0"/>
                <w:szCs w:val="21"/>
              </w:rPr>
              <w:t>q12~24h</w:t>
            </w:r>
          </w:p>
        </w:tc>
        <w:tc>
          <w:tcPr>
            <w:tcW w:w="567"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无尿和肾功能不全者慎用，避免</w:t>
            </w:r>
          </w:p>
        </w:tc>
        <w:tc>
          <w:tcPr>
            <w:tcW w:w="435"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不适用</w:t>
            </w:r>
          </w:p>
        </w:tc>
        <w:tc>
          <w:tcPr>
            <w:tcW w:w="400"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不适用</w:t>
            </w:r>
          </w:p>
        </w:tc>
        <w:tc>
          <w:tcPr>
            <w:tcW w:w="418"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不适用</w:t>
            </w:r>
          </w:p>
        </w:tc>
      </w:tr>
      <w:tr w:rsidR="002E5476">
        <w:trPr>
          <w:trHeight w:val="390"/>
          <w:jc w:val="center"/>
        </w:trPr>
        <w:tc>
          <w:tcPr>
            <w:tcW w:w="7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依普利酮</w:t>
            </w:r>
          </w:p>
        </w:tc>
        <w:tc>
          <w:tcPr>
            <w:tcW w:w="7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50 mg</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qd</w:t>
            </w:r>
            <w:r>
              <w:rPr>
                <w:rStyle w:val="font31"/>
                <w:rFonts w:ascii="Times New Roman" w:hAnsi="Times New Roman" w:cs="Times New Roman" w:hint="default"/>
                <w:color w:val="000000" w:themeColor="text1"/>
                <w:sz w:val="21"/>
                <w:szCs w:val="21"/>
              </w:rPr>
              <w:t>至</w:t>
            </w:r>
            <w:r>
              <w:rPr>
                <w:rStyle w:val="font41"/>
                <w:rFonts w:eastAsia="宋体"/>
                <w:color w:val="000000" w:themeColor="text1"/>
                <w:sz w:val="21"/>
                <w:szCs w:val="21"/>
              </w:rPr>
              <w:t>bid</w:t>
            </w:r>
          </w:p>
        </w:tc>
        <w:tc>
          <w:tcPr>
            <w:tcW w:w="50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肾（肝）</w:t>
            </w:r>
          </w:p>
        </w:tc>
        <w:tc>
          <w:tcPr>
            <w:tcW w:w="585"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无需调整</w:t>
            </w:r>
          </w:p>
        </w:tc>
        <w:tc>
          <w:tcPr>
            <w:tcW w:w="584"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eGFR</w:t>
            </w:r>
            <w:r>
              <w:rPr>
                <w:rFonts w:ascii="Times New Roman" w:eastAsia="宋体" w:hAnsi="Times New Roman" w:cs="Times New Roman" w:hint="eastAsia"/>
                <w:color w:val="000000" w:themeColor="text1"/>
                <w:szCs w:val="21"/>
              </w:rPr>
              <w:t>≤</w:t>
            </w:r>
            <w:r>
              <w:rPr>
                <w:rFonts w:ascii="Times New Roman" w:eastAsia="宋体" w:hAnsi="Times New Roman" w:cs="Times New Roman"/>
                <w:color w:val="000000" w:themeColor="text1"/>
                <w:szCs w:val="21"/>
              </w:rPr>
              <w:t>50</w:t>
            </w:r>
            <w:r>
              <w:rPr>
                <w:rFonts w:ascii="Times New Roman" w:eastAsia="宋体" w:hAnsi="Times New Roman" w:cs="Times New Roman" w:hint="eastAsia"/>
                <w:color w:val="000000" w:themeColor="text1"/>
                <w:szCs w:val="21"/>
              </w:rPr>
              <w:t>禁用</w:t>
            </w:r>
          </w:p>
        </w:tc>
        <w:tc>
          <w:tcPr>
            <w:tcW w:w="567"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禁用</w:t>
            </w:r>
          </w:p>
        </w:tc>
        <w:tc>
          <w:tcPr>
            <w:tcW w:w="435"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无资料</w:t>
            </w:r>
          </w:p>
        </w:tc>
        <w:tc>
          <w:tcPr>
            <w:tcW w:w="400"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无资料</w:t>
            </w:r>
          </w:p>
        </w:tc>
        <w:tc>
          <w:tcPr>
            <w:tcW w:w="418"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无资料</w:t>
            </w:r>
          </w:p>
        </w:tc>
      </w:tr>
      <w:tr w:rsidR="002E5476">
        <w:trPr>
          <w:trHeight w:val="390"/>
          <w:jc w:val="center"/>
        </w:trPr>
        <w:tc>
          <w:tcPr>
            <w:tcW w:w="7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其他利尿剂</w:t>
            </w:r>
          </w:p>
        </w:tc>
        <w:tc>
          <w:tcPr>
            <w:tcW w:w="7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Style w:val="font41"/>
                <w:rFonts w:eastAsia="宋体"/>
                <w:color w:val="000000" w:themeColor="text1"/>
                <w:sz w:val="21"/>
                <w:szCs w:val="21"/>
              </w:rPr>
            </w:pPr>
          </w:p>
        </w:tc>
        <w:tc>
          <w:tcPr>
            <w:tcW w:w="50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2E5476">
            <w:pPr>
              <w:widowControl/>
              <w:textAlignment w:val="center"/>
              <w:rPr>
                <w:rFonts w:ascii="Times New Roman" w:eastAsia="宋体" w:hAnsi="Times New Roman" w:cs="Times New Roman"/>
                <w:color w:val="000000" w:themeColor="text1"/>
                <w:kern w:val="0"/>
                <w:szCs w:val="21"/>
              </w:rPr>
            </w:pPr>
          </w:p>
        </w:tc>
        <w:tc>
          <w:tcPr>
            <w:tcW w:w="585" w:type="pct"/>
            <w:tcBorders>
              <w:top w:val="single" w:sz="4" w:space="0" w:color="000000"/>
              <w:left w:val="single" w:sz="4" w:space="0" w:color="000000"/>
              <w:bottom w:val="single" w:sz="4" w:space="0" w:color="000000"/>
              <w:right w:val="single" w:sz="4" w:space="0" w:color="000000"/>
            </w:tcBorders>
          </w:tcPr>
          <w:p w:rsidR="002E5476" w:rsidRDefault="002E5476">
            <w:pPr>
              <w:widowControl/>
              <w:textAlignment w:val="center"/>
              <w:rPr>
                <w:rFonts w:ascii="Times New Roman" w:eastAsia="宋体" w:hAnsi="Times New Roman" w:cs="Times New Roman"/>
                <w:color w:val="000000" w:themeColor="text1"/>
                <w:kern w:val="0"/>
                <w:szCs w:val="21"/>
              </w:rPr>
            </w:pPr>
          </w:p>
        </w:tc>
        <w:tc>
          <w:tcPr>
            <w:tcW w:w="584" w:type="pct"/>
            <w:tcBorders>
              <w:top w:val="single" w:sz="4" w:space="0" w:color="000000"/>
              <w:left w:val="single" w:sz="4" w:space="0" w:color="000000"/>
              <w:bottom w:val="single" w:sz="4" w:space="0" w:color="000000"/>
              <w:right w:val="single" w:sz="4" w:space="0" w:color="000000"/>
            </w:tcBorders>
          </w:tcPr>
          <w:p w:rsidR="002E5476" w:rsidRDefault="002E5476">
            <w:pPr>
              <w:widowControl/>
              <w:textAlignment w:val="center"/>
              <w:rPr>
                <w:rFonts w:ascii="Times New Roman" w:eastAsia="宋体" w:hAnsi="Times New Roman" w:cs="Times New Roman"/>
                <w:color w:val="000000" w:themeColor="text1"/>
                <w:kern w:val="0"/>
                <w:szCs w:val="21"/>
              </w:rPr>
            </w:pPr>
          </w:p>
        </w:tc>
        <w:tc>
          <w:tcPr>
            <w:tcW w:w="567" w:type="pct"/>
            <w:tcBorders>
              <w:top w:val="single" w:sz="4" w:space="0" w:color="000000"/>
              <w:left w:val="single" w:sz="4" w:space="0" w:color="000000"/>
              <w:bottom w:val="single" w:sz="4" w:space="0" w:color="000000"/>
              <w:right w:val="single" w:sz="4" w:space="0" w:color="000000"/>
            </w:tcBorders>
          </w:tcPr>
          <w:p w:rsidR="002E5476" w:rsidRDefault="002E5476">
            <w:pPr>
              <w:widowControl/>
              <w:textAlignment w:val="center"/>
              <w:rPr>
                <w:rFonts w:ascii="Times New Roman" w:eastAsia="宋体" w:hAnsi="Times New Roman" w:cs="Times New Roman"/>
                <w:color w:val="000000" w:themeColor="text1"/>
                <w:kern w:val="0"/>
                <w:szCs w:val="21"/>
              </w:rPr>
            </w:pPr>
          </w:p>
        </w:tc>
        <w:tc>
          <w:tcPr>
            <w:tcW w:w="435" w:type="pct"/>
            <w:tcBorders>
              <w:top w:val="single" w:sz="4" w:space="0" w:color="000000"/>
              <w:left w:val="single" w:sz="4" w:space="0" w:color="000000"/>
              <w:bottom w:val="single" w:sz="4" w:space="0" w:color="000000"/>
              <w:right w:val="single" w:sz="4" w:space="0" w:color="000000"/>
            </w:tcBorders>
          </w:tcPr>
          <w:p w:rsidR="002E5476" w:rsidRDefault="002E5476">
            <w:pPr>
              <w:widowControl/>
              <w:textAlignment w:val="center"/>
              <w:rPr>
                <w:rFonts w:ascii="Times New Roman" w:eastAsia="宋体" w:hAnsi="Times New Roman" w:cs="Times New Roman"/>
                <w:color w:val="000000" w:themeColor="text1"/>
                <w:kern w:val="0"/>
                <w:szCs w:val="21"/>
              </w:rPr>
            </w:pPr>
          </w:p>
        </w:tc>
        <w:tc>
          <w:tcPr>
            <w:tcW w:w="400" w:type="pct"/>
            <w:tcBorders>
              <w:top w:val="single" w:sz="4" w:space="0" w:color="000000"/>
              <w:left w:val="single" w:sz="4" w:space="0" w:color="000000"/>
              <w:bottom w:val="single" w:sz="4" w:space="0" w:color="000000"/>
              <w:right w:val="single" w:sz="4" w:space="0" w:color="000000"/>
            </w:tcBorders>
          </w:tcPr>
          <w:p w:rsidR="002E5476" w:rsidRDefault="002E5476">
            <w:pPr>
              <w:widowControl/>
              <w:textAlignment w:val="center"/>
              <w:rPr>
                <w:rFonts w:ascii="Times New Roman" w:eastAsia="宋体" w:hAnsi="Times New Roman" w:cs="Times New Roman"/>
                <w:color w:val="000000" w:themeColor="text1"/>
                <w:kern w:val="0"/>
                <w:szCs w:val="21"/>
              </w:rPr>
            </w:pPr>
          </w:p>
        </w:tc>
        <w:tc>
          <w:tcPr>
            <w:tcW w:w="418" w:type="pct"/>
            <w:tcBorders>
              <w:top w:val="single" w:sz="4" w:space="0" w:color="000000"/>
              <w:left w:val="single" w:sz="4" w:space="0" w:color="000000"/>
              <w:bottom w:val="single" w:sz="4" w:space="0" w:color="000000"/>
              <w:right w:val="single" w:sz="4" w:space="0" w:color="000000"/>
            </w:tcBorders>
          </w:tcPr>
          <w:p w:rsidR="002E5476" w:rsidRDefault="002E5476">
            <w:pPr>
              <w:widowControl/>
              <w:textAlignment w:val="center"/>
              <w:rPr>
                <w:rFonts w:ascii="Times New Roman" w:eastAsia="宋体" w:hAnsi="Times New Roman" w:cs="Times New Roman"/>
                <w:color w:val="000000" w:themeColor="text1"/>
                <w:kern w:val="0"/>
                <w:szCs w:val="21"/>
              </w:rPr>
            </w:pPr>
          </w:p>
        </w:tc>
      </w:tr>
      <w:tr w:rsidR="002E5476">
        <w:trPr>
          <w:trHeight w:val="390"/>
          <w:jc w:val="center"/>
        </w:trPr>
        <w:tc>
          <w:tcPr>
            <w:tcW w:w="7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阿米洛利</w:t>
            </w:r>
          </w:p>
        </w:tc>
        <w:tc>
          <w:tcPr>
            <w:tcW w:w="7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5</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10 mg</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qd</w:t>
            </w:r>
          </w:p>
        </w:tc>
        <w:tc>
          <w:tcPr>
            <w:tcW w:w="50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肾</w:t>
            </w:r>
          </w:p>
        </w:tc>
        <w:tc>
          <w:tcPr>
            <w:tcW w:w="585"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无尿，急慢性和严重肾功能不全禁用，</w:t>
            </w:r>
            <w:r>
              <w:rPr>
                <w:rFonts w:ascii="Times New Roman" w:eastAsia="宋体" w:hAnsi="Times New Roman" w:cs="Times New Roman"/>
                <w:color w:val="000000" w:themeColor="text1"/>
                <w:kern w:val="0"/>
                <w:szCs w:val="21"/>
              </w:rPr>
              <w:t>100%</w:t>
            </w:r>
          </w:p>
        </w:tc>
        <w:tc>
          <w:tcPr>
            <w:tcW w:w="584"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无尿，急慢性和严重肾功能不全禁用，</w:t>
            </w:r>
            <w:r>
              <w:rPr>
                <w:rFonts w:ascii="Times New Roman" w:eastAsia="宋体" w:hAnsi="Times New Roman" w:cs="Times New Roman"/>
                <w:color w:val="000000" w:themeColor="text1"/>
                <w:kern w:val="0"/>
                <w:szCs w:val="21"/>
              </w:rPr>
              <w:t>50%</w:t>
            </w:r>
          </w:p>
        </w:tc>
        <w:tc>
          <w:tcPr>
            <w:tcW w:w="567"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无尿，急慢性和严重肾功能不全禁用，避免</w:t>
            </w:r>
          </w:p>
        </w:tc>
        <w:tc>
          <w:tcPr>
            <w:tcW w:w="435"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不适用</w:t>
            </w:r>
          </w:p>
        </w:tc>
        <w:tc>
          <w:tcPr>
            <w:tcW w:w="400"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不适用</w:t>
            </w:r>
          </w:p>
        </w:tc>
        <w:tc>
          <w:tcPr>
            <w:tcW w:w="418"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不适用</w:t>
            </w:r>
          </w:p>
        </w:tc>
      </w:tr>
      <w:tr w:rsidR="002E5476">
        <w:trPr>
          <w:trHeight w:val="495"/>
          <w:jc w:val="center"/>
        </w:trPr>
        <w:tc>
          <w:tcPr>
            <w:tcW w:w="7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氨苯蝶啶</w:t>
            </w:r>
          </w:p>
        </w:tc>
        <w:tc>
          <w:tcPr>
            <w:tcW w:w="7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25~50 mg</w:t>
            </w:r>
            <w:r>
              <w:rPr>
                <w:rFonts w:ascii="Times New Roman" w:eastAsia="宋体" w:hAnsi="Times New Roman" w:cs="Times New Roman" w:hint="eastAsia"/>
                <w:color w:val="000000" w:themeColor="text1"/>
                <w:szCs w:val="21"/>
              </w:rPr>
              <w:t>，</w:t>
            </w:r>
            <w:r>
              <w:rPr>
                <w:rFonts w:ascii="Times New Roman" w:eastAsia="宋体" w:hAnsi="Times New Roman" w:cs="Times New Roman"/>
                <w:color w:val="000000" w:themeColor="text1"/>
                <w:szCs w:val="21"/>
              </w:rPr>
              <w:t>bid</w:t>
            </w:r>
          </w:p>
        </w:tc>
        <w:tc>
          <w:tcPr>
            <w:tcW w:w="50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肾</w:t>
            </w:r>
          </w:p>
        </w:tc>
        <w:tc>
          <w:tcPr>
            <w:tcW w:w="585"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无尿、肾功能不全者慎用</w:t>
            </w:r>
          </w:p>
          <w:p w:rsidR="002E5476" w:rsidRDefault="002E5476">
            <w:pPr>
              <w:rPr>
                <w:rFonts w:ascii="Times New Roman" w:eastAsia="宋体" w:hAnsi="Times New Roman" w:cs="Times New Roman"/>
                <w:color w:val="000000" w:themeColor="text1"/>
                <w:szCs w:val="21"/>
              </w:rPr>
            </w:pPr>
          </w:p>
        </w:tc>
        <w:tc>
          <w:tcPr>
            <w:tcW w:w="584"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无尿、肾功能不全者慎用</w:t>
            </w:r>
          </w:p>
          <w:p w:rsidR="002E5476" w:rsidRDefault="002E5476">
            <w:pPr>
              <w:rPr>
                <w:rFonts w:ascii="Times New Roman" w:eastAsia="宋体" w:hAnsi="Times New Roman" w:cs="Times New Roman"/>
                <w:color w:val="000000" w:themeColor="text1"/>
                <w:szCs w:val="21"/>
              </w:rPr>
            </w:pPr>
          </w:p>
        </w:tc>
        <w:tc>
          <w:tcPr>
            <w:tcW w:w="567"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无尿、肾功能不全者慎用，避免</w:t>
            </w:r>
          </w:p>
        </w:tc>
        <w:tc>
          <w:tcPr>
            <w:tcW w:w="435"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不适用</w:t>
            </w:r>
          </w:p>
        </w:tc>
        <w:tc>
          <w:tcPr>
            <w:tcW w:w="400"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不适用</w:t>
            </w:r>
          </w:p>
        </w:tc>
        <w:tc>
          <w:tcPr>
            <w:tcW w:w="418"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不适用</w:t>
            </w:r>
          </w:p>
        </w:tc>
      </w:tr>
      <w:tr w:rsidR="002E5476">
        <w:trPr>
          <w:trHeight w:val="600"/>
          <w:jc w:val="center"/>
        </w:trPr>
        <w:tc>
          <w:tcPr>
            <w:tcW w:w="5000" w:type="pct"/>
            <w:gridSpan w:val="9"/>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b/>
                <w:bCs/>
                <w:color w:val="000000" w:themeColor="text1"/>
                <w:kern w:val="0"/>
                <w:szCs w:val="21"/>
              </w:rPr>
            </w:pPr>
            <w:r>
              <w:rPr>
                <w:rFonts w:ascii="Times New Roman" w:eastAsia="宋体" w:hAnsi="Times New Roman" w:cs="Times New Roman" w:hint="eastAsia"/>
                <w:b/>
                <w:bCs/>
                <w:color w:val="000000" w:themeColor="text1"/>
                <w:kern w:val="0"/>
                <w:szCs w:val="21"/>
              </w:rPr>
              <w:t>β受体阻滞剂</w:t>
            </w:r>
          </w:p>
        </w:tc>
      </w:tr>
      <w:tr w:rsidR="002E5476">
        <w:trPr>
          <w:trHeight w:val="600"/>
          <w:jc w:val="center"/>
        </w:trPr>
        <w:tc>
          <w:tcPr>
            <w:tcW w:w="7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酒石酸美托洛尔</w:t>
            </w:r>
          </w:p>
        </w:tc>
        <w:tc>
          <w:tcPr>
            <w:tcW w:w="7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Style w:val="font41"/>
                <w:rFonts w:eastAsia="宋体"/>
                <w:color w:val="000000" w:themeColor="text1"/>
                <w:sz w:val="21"/>
                <w:szCs w:val="21"/>
              </w:rPr>
              <w:t>50~100 mg</w:t>
            </w:r>
            <w:r>
              <w:rPr>
                <w:rStyle w:val="font41"/>
                <w:rFonts w:eastAsia="宋体" w:hint="eastAsia"/>
                <w:color w:val="000000" w:themeColor="text1"/>
                <w:sz w:val="21"/>
                <w:szCs w:val="21"/>
              </w:rPr>
              <w:t>，</w:t>
            </w:r>
            <w:r>
              <w:rPr>
                <w:rStyle w:val="font41"/>
                <w:rFonts w:eastAsia="宋体"/>
                <w:color w:val="000000" w:themeColor="text1"/>
                <w:sz w:val="21"/>
                <w:szCs w:val="21"/>
              </w:rPr>
              <w:t>bid</w:t>
            </w:r>
          </w:p>
        </w:tc>
        <w:tc>
          <w:tcPr>
            <w:tcW w:w="50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肾（肝）</w:t>
            </w:r>
          </w:p>
        </w:tc>
        <w:tc>
          <w:tcPr>
            <w:tcW w:w="585"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无需调整，</w:t>
            </w:r>
            <w:r>
              <w:rPr>
                <w:rFonts w:ascii="Times New Roman" w:eastAsia="宋体" w:hAnsi="Times New Roman" w:cs="Times New Roman"/>
                <w:color w:val="000000" w:themeColor="text1"/>
                <w:kern w:val="0"/>
                <w:szCs w:val="21"/>
              </w:rPr>
              <w:t>100%</w:t>
            </w:r>
          </w:p>
        </w:tc>
        <w:tc>
          <w:tcPr>
            <w:tcW w:w="584"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无需调整，</w:t>
            </w:r>
            <w:r>
              <w:rPr>
                <w:rFonts w:ascii="Times New Roman" w:eastAsia="宋体" w:hAnsi="Times New Roman" w:cs="Times New Roman"/>
                <w:color w:val="000000" w:themeColor="text1"/>
                <w:kern w:val="0"/>
                <w:szCs w:val="21"/>
              </w:rPr>
              <w:t>100%</w:t>
            </w:r>
          </w:p>
        </w:tc>
        <w:tc>
          <w:tcPr>
            <w:tcW w:w="567"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无需调整，</w:t>
            </w:r>
            <w:r>
              <w:rPr>
                <w:rFonts w:ascii="Times New Roman" w:eastAsia="宋体" w:hAnsi="Times New Roman" w:cs="Times New Roman"/>
                <w:color w:val="000000" w:themeColor="text1"/>
                <w:kern w:val="0"/>
                <w:szCs w:val="21"/>
              </w:rPr>
              <w:t>100%</w:t>
            </w:r>
          </w:p>
        </w:tc>
        <w:tc>
          <w:tcPr>
            <w:tcW w:w="435"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100%</w:t>
            </w:r>
          </w:p>
        </w:tc>
        <w:tc>
          <w:tcPr>
            <w:tcW w:w="400"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50 mg</w:t>
            </w:r>
          </w:p>
        </w:tc>
        <w:tc>
          <w:tcPr>
            <w:tcW w:w="418"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100%</w:t>
            </w:r>
          </w:p>
        </w:tc>
      </w:tr>
      <w:tr w:rsidR="002E5476">
        <w:trPr>
          <w:trHeight w:val="435"/>
          <w:jc w:val="center"/>
        </w:trPr>
        <w:tc>
          <w:tcPr>
            <w:tcW w:w="7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lastRenderedPageBreak/>
              <w:t>琥珀酸美托洛尔</w:t>
            </w:r>
          </w:p>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（缓释剂）</w:t>
            </w:r>
          </w:p>
        </w:tc>
        <w:tc>
          <w:tcPr>
            <w:tcW w:w="7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47.5</w:t>
            </w:r>
            <w:r>
              <w:rPr>
                <w:rStyle w:val="font31"/>
                <w:rFonts w:ascii="Times New Roman" w:hAnsi="Times New Roman" w:cs="Times New Roman" w:hint="default"/>
                <w:color w:val="000000" w:themeColor="text1"/>
                <w:sz w:val="21"/>
                <w:szCs w:val="21"/>
              </w:rPr>
              <w:t>~1</w:t>
            </w:r>
            <w:r>
              <w:rPr>
                <w:rStyle w:val="font41"/>
                <w:rFonts w:eastAsia="宋体"/>
                <w:color w:val="000000" w:themeColor="text1"/>
                <w:sz w:val="21"/>
                <w:szCs w:val="21"/>
              </w:rPr>
              <w:t>90 mg</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qd</w:t>
            </w:r>
          </w:p>
        </w:tc>
        <w:tc>
          <w:tcPr>
            <w:tcW w:w="50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肾（肝）</w:t>
            </w:r>
          </w:p>
        </w:tc>
        <w:tc>
          <w:tcPr>
            <w:tcW w:w="585"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无需调整，</w:t>
            </w:r>
            <w:r>
              <w:rPr>
                <w:rFonts w:ascii="Times New Roman" w:eastAsia="宋体" w:hAnsi="Times New Roman" w:cs="Times New Roman"/>
                <w:color w:val="000000" w:themeColor="text1"/>
                <w:kern w:val="0"/>
                <w:szCs w:val="21"/>
              </w:rPr>
              <w:t>100%</w:t>
            </w:r>
          </w:p>
        </w:tc>
        <w:tc>
          <w:tcPr>
            <w:tcW w:w="584"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无需调整，</w:t>
            </w:r>
            <w:r>
              <w:rPr>
                <w:rFonts w:ascii="Times New Roman" w:eastAsia="宋体" w:hAnsi="Times New Roman" w:cs="Times New Roman"/>
                <w:color w:val="000000" w:themeColor="text1"/>
                <w:kern w:val="0"/>
                <w:szCs w:val="21"/>
              </w:rPr>
              <w:t>100%</w:t>
            </w:r>
          </w:p>
        </w:tc>
        <w:tc>
          <w:tcPr>
            <w:tcW w:w="567"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无需调整，</w:t>
            </w:r>
            <w:r>
              <w:rPr>
                <w:rFonts w:ascii="Times New Roman" w:eastAsia="宋体" w:hAnsi="Times New Roman" w:cs="Times New Roman"/>
                <w:color w:val="000000" w:themeColor="text1"/>
                <w:kern w:val="0"/>
                <w:szCs w:val="21"/>
              </w:rPr>
              <w:t>100%</w:t>
            </w:r>
          </w:p>
        </w:tc>
        <w:tc>
          <w:tcPr>
            <w:tcW w:w="435"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100%</w:t>
            </w:r>
          </w:p>
        </w:tc>
        <w:tc>
          <w:tcPr>
            <w:tcW w:w="400"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50 mg</w:t>
            </w:r>
          </w:p>
        </w:tc>
        <w:tc>
          <w:tcPr>
            <w:tcW w:w="418"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100%</w:t>
            </w:r>
          </w:p>
        </w:tc>
      </w:tr>
      <w:tr w:rsidR="002E5476">
        <w:trPr>
          <w:trHeight w:val="615"/>
          <w:jc w:val="center"/>
        </w:trPr>
        <w:tc>
          <w:tcPr>
            <w:tcW w:w="7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比索洛尔</w:t>
            </w:r>
          </w:p>
        </w:tc>
        <w:tc>
          <w:tcPr>
            <w:tcW w:w="7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Style w:val="font41"/>
                <w:rFonts w:eastAsia="宋体"/>
                <w:color w:val="000000" w:themeColor="text1"/>
                <w:sz w:val="21"/>
                <w:szCs w:val="21"/>
              </w:rPr>
            </w:pPr>
            <w:r>
              <w:rPr>
                <w:rStyle w:val="font41"/>
                <w:rFonts w:eastAsia="宋体"/>
                <w:color w:val="000000" w:themeColor="text1"/>
                <w:sz w:val="21"/>
                <w:szCs w:val="21"/>
              </w:rPr>
              <w:t>2.5</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10 mg</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qd</w:t>
            </w:r>
          </w:p>
        </w:tc>
        <w:tc>
          <w:tcPr>
            <w:tcW w:w="50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肝（肾）</w:t>
            </w:r>
          </w:p>
        </w:tc>
        <w:tc>
          <w:tcPr>
            <w:tcW w:w="585"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无需调整，</w:t>
            </w:r>
            <w:r>
              <w:rPr>
                <w:rFonts w:ascii="Times New Roman" w:eastAsia="宋体" w:hAnsi="Times New Roman" w:cs="Times New Roman"/>
                <w:color w:val="000000" w:themeColor="text1"/>
                <w:kern w:val="0"/>
                <w:szCs w:val="21"/>
              </w:rPr>
              <w:t>100%</w:t>
            </w:r>
          </w:p>
        </w:tc>
        <w:tc>
          <w:tcPr>
            <w:tcW w:w="584"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szCs w:val="21"/>
              </w:rPr>
              <w:t>eGFR</w:t>
            </w: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color w:val="000000" w:themeColor="text1"/>
                <w:kern w:val="0"/>
                <w:szCs w:val="21"/>
              </w:rPr>
              <w:t>20</w:t>
            </w:r>
            <w:r>
              <w:rPr>
                <w:rFonts w:ascii="Times New Roman" w:eastAsia="宋体" w:hAnsi="Times New Roman" w:cs="Times New Roman" w:hint="eastAsia"/>
                <w:color w:val="000000" w:themeColor="text1"/>
                <w:kern w:val="0"/>
                <w:szCs w:val="21"/>
              </w:rPr>
              <w:t>，日剂量不超过</w:t>
            </w:r>
            <w:r>
              <w:rPr>
                <w:rFonts w:ascii="Times New Roman" w:eastAsia="宋体" w:hAnsi="Times New Roman" w:cs="Times New Roman"/>
                <w:color w:val="000000" w:themeColor="text1"/>
                <w:kern w:val="0"/>
                <w:szCs w:val="21"/>
              </w:rPr>
              <w:t>10 mg</w:t>
            </w:r>
          </w:p>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100%</w:t>
            </w:r>
          </w:p>
        </w:tc>
        <w:tc>
          <w:tcPr>
            <w:tcW w:w="567"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szCs w:val="21"/>
              </w:rPr>
              <w:t>eGFR</w:t>
            </w: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color w:val="000000" w:themeColor="text1"/>
                <w:kern w:val="0"/>
                <w:szCs w:val="21"/>
              </w:rPr>
              <w:t>20</w:t>
            </w:r>
            <w:r>
              <w:rPr>
                <w:rFonts w:ascii="Times New Roman" w:eastAsia="宋体" w:hAnsi="Times New Roman" w:cs="Times New Roman" w:hint="eastAsia"/>
                <w:color w:val="000000" w:themeColor="text1"/>
                <w:kern w:val="0"/>
                <w:szCs w:val="21"/>
              </w:rPr>
              <w:t>，日剂量不超过</w:t>
            </w:r>
            <w:r>
              <w:rPr>
                <w:rFonts w:ascii="Times New Roman" w:eastAsia="宋体" w:hAnsi="Times New Roman" w:cs="Times New Roman"/>
                <w:color w:val="000000" w:themeColor="text1"/>
                <w:kern w:val="0"/>
                <w:szCs w:val="21"/>
              </w:rPr>
              <w:t>10 mg</w:t>
            </w: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color w:val="000000" w:themeColor="text1"/>
                <w:kern w:val="0"/>
                <w:szCs w:val="21"/>
              </w:rPr>
              <w:t>100%</w:t>
            </w:r>
          </w:p>
        </w:tc>
        <w:tc>
          <w:tcPr>
            <w:tcW w:w="435"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100%</w:t>
            </w:r>
          </w:p>
        </w:tc>
        <w:tc>
          <w:tcPr>
            <w:tcW w:w="400"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不用</w:t>
            </w:r>
          </w:p>
        </w:tc>
        <w:tc>
          <w:tcPr>
            <w:tcW w:w="418"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无资料</w:t>
            </w:r>
          </w:p>
        </w:tc>
      </w:tr>
      <w:tr w:rsidR="002E5476">
        <w:trPr>
          <w:trHeight w:val="615"/>
          <w:jc w:val="center"/>
        </w:trPr>
        <w:tc>
          <w:tcPr>
            <w:tcW w:w="7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普萘洛尔</w:t>
            </w:r>
          </w:p>
        </w:tc>
        <w:tc>
          <w:tcPr>
            <w:tcW w:w="7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20</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90 mg</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bid</w:t>
            </w:r>
            <w:r>
              <w:rPr>
                <w:rStyle w:val="font31"/>
                <w:rFonts w:ascii="Times New Roman" w:hAnsi="Times New Roman" w:cs="Times New Roman" w:hint="default"/>
                <w:color w:val="000000" w:themeColor="text1"/>
                <w:sz w:val="21"/>
                <w:szCs w:val="21"/>
              </w:rPr>
              <w:t>至</w:t>
            </w:r>
            <w:r>
              <w:rPr>
                <w:rStyle w:val="font41"/>
                <w:rFonts w:eastAsia="宋体"/>
                <w:color w:val="000000" w:themeColor="text1"/>
                <w:sz w:val="21"/>
                <w:szCs w:val="21"/>
              </w:rPr>
              <w:t>tid</w:t>
            </w:r>
          </w:p>
        </w:tc>
        <w:tc>
          <w:tcPr>
            <w:tcW w:w="50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肾</w:t>
            </w:r>
          </w:p>
        </w:tc>
        <w:tc>
          <w:tcPr>
            <w:tcW w:w="585"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100%</w:t>
            </w:r>
          </w:p>
        </w:tc>
        <w:tc>
          <w:tcPr>
            <w:tcW w:w="584"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100%</w:t>
            </w:r>
          </w:p>
        </w:tc>
        <w:tc>
          <w:tcPr>
            <w:tcW w:w="567"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100%</w:t>
            </w:r>
          </w:p>
        </w:tc>
        <w:tc>
          <w:tcPr>
            <w:tcW w:w="435"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100%</w:t>
            </w:r>
          </w:p>
        </w:tc>
        <w:tc>
          <w:tcPr>
            <w:tcW w:w="400"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不用</w:t>
            </w:r>
          </w:p>
        </w:tc>
        <w:tc>
          <w:tcPr>
            <w:tcW w:w="418"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100%</w:t>
            </w:r>
          </w:p>
        </w:tc>
      </w:tr>
      <w:tr w:rsidR="002E5476">
        <w:trPr>
          <w:trHeight w:val="615"/>
          <w:jc w:val="center"/>
        </w:trPr>
        <w:tc>
          <w:tcPr>
            <w:tcW w:w="7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阿替洛尔</w:t>
            </w:r>
          </w:p>
        </w:tc>
        <w:tc>
          <w:tcPr>
            <w:tcW w:w="7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6.25~12.50 mg</w:t>
            </w:r>
            <w:r>
              <w:rPr>
                <w:rStyle w:val="font41"/>
                <w:rFonts w:eastAsia="宋体" w:hint="eastAsia"/>
                <w:color w:val="000000" w:themeColor="text1"/>
                <w:sz w:val="21"/>
                <w:szCs w:val="21"/>
              </w:rPr>
              <w:t>，</w:t>
            </w:r>
            <w:r>
              <w:rPr>
                <w:rStyle w:val="font41"/>
                <w:rFonts w:eastAsia="宋体"/>
                <w:color w:val="000000" w:themeColor="text1"/>
                <w:sz w:val="21"/>
                <w:szCs w:val="21"/>
              </w:rPr>
              <w:t>bid</w:t>
            </w:r>
          </w:p>
        </w:tc>
        <w:tc>
          <w:tcPr>
            <w:tcW w:w="50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肾</w:t>
            </w:r>
          </w:p>
        </w:tc>
        <w:tc>
          <w:tcPr>
            <w:tcW w:w="585"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无需调整，</w:t>
            </w:r>
            <w:r>
              <w:rPr>
                <w:rFonts w:ascii="Times New Roman" w:eastAsia="宋体" w:hAnsi="Times New Roman" w:cs="Times New Roman"/>
                <w:color w:val="000000" w:themeColor="text1"/>
                <w:kern w:val="0"/>
                <w:szCs w:val="21"/>
              </w:rPr>
              <w:t>100%</w:t>
            </w: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color w:val="000000" w:themeColor="text1"/>
                <w:kern w:val="0"/>
                <w:szCs w:val="21"/>
              </w:rPr>
              <w:t>q24h</w:t>
            </w:r>
          </w:p>
        </w:tc>
        <w:tc>
          <w:tcPr>
            <w:tcW w:w="584"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szCs w:val="21"/>
              </w:rPr>
              <w:t>eGFR</w:t>
            </w:r>
            <w:r>
              <w:rPr>
                <w:rFonts w:ascii="Times New Roman" w:eastAsia="宋体" w:hAnsi="Times New Roman" w:cs="Times New Roman"/>
                <w:color w:val="000000" w:themeColor="text1"/>
                <w:kern w:val="0"/>
                <w:szCs w:val="21"/>
              </w:rPr>
              <w:t xml:space="preserve"> 15~35</w:t>
            </w:r>
            <w:r>
              <w:rPr>
                <w:rFonts w:ascii="Times New Roman" w:eastAsia="宋体" w:hAnsi="Times New Roman" w:cs="Times New Roman" w:hint="eastAsia"/>
                <w:color w:val="000000" w:themeColor="text1"/>
                <w:kern w:val="0"/>
                <w:szCs w:val="21"/>
              </w:rPr>
              <w:t>：每日最多</w:t>
            </w:r>
            <w:r>
              <w:rPr>
                <w:rFonts w:ascii="Times New Roman" w:eastAsia="宋体" w:hAnsi="Times New Roman" w:cs="Times New Roman"/>
                <w:color w:val="000000" w:themeColor="text1"/>
                <w:kern w:val="0"/>
                <w:szCs w:val="21"/>
              </w:rPr>
              <w:t>50 mg</w:t>
            </w: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color w:val="000000" w:themeColor="text1"/>
                <w:kern w:val="0"/>
                <w:szCs w:val="21"/>
              </w:rPr>
              <w:t>50%</w:t>
            </w: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color w:val="000000" w:themeColor="text1"/>
                <w:kern w:val="0"/>
                <w:szCs w:val="21"/>
              </w:rPr>
              <w:t>q48h</w:t>
            </w:r>
          </w:p>
        </w:tc>
        <w:tc>
          <w:tcPr>
            <w:tcW w:w="567"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szCs w:val="21"/>
              </w:rPr>
              <w:t>eGFR</w:t>
            </w: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color w:val="000000" w:themeColor="text1"/>
                <w:kern w:val="0"/>
                <w:szCs w:val="21"/>
              </w:rPr>
              <w:t>15</w:t>
            </w:r>
            <w:r>
              <w:rPr>
                <w:rFonts w:ascii="Times New Roman" w:eastAsia="宋体" w:hAnsi="Times New Roman" w:cs="Times New Roman" w:hint="eastAsia"/>
                <w:color w:val="000000" w:themeColor="text1"/>
                <w:kern w:val="0"/>
                <w:szCs w:val="21"/>
              </w:rPr>
              <w:t>：每日</w:t>
            </w:r>
            <w:r>
              <w:rPr>
                <w:rFonts w:ascii="Times New Roman" w:eastAsia="宋体" w:hAnsi="Times New Roman" w:cs="Times New Roman"/>
                <w:color w:val="000000" w:themeColor="text1"/>
                <w:kern w:val="0"/>
                <w:szCs w:val="21"/>
              </w:rPr>
              <w:t>25 mg</w:t>
            </w: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color w:val="000000" w:themeColor="text1"/>
                <w:kern w:val="0"/>
                <w:szCs w:val="21"/>
              </w:rPr>
              <w:t>30%~50%</w:t>
            </w: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color w:val="000000" w:themeColor="text1"/>
                <w:kern w:val="0"/>
                <w:szCs w:val="21"/>
              </w:rPr>
              <w:t>q96h</w:t>
            </w:r>
          </w:p>
        </w:tc>
        <w:tc>
          <w:tcPr>
            <w:tcW w:w="435"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30%~50%</w:t>
            </w: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color w:val="000000" w:themeColor="text1"/>
                <w:kern w:val="0"/>
                <w:szCs w:val="21"/>
              </w:rPr>
              <w:t>q96h</w:t>
            </w:r>
          </w:p>
        </w:tc>
        <w:tc>
          <w:tcPr>
            <w:tcW w:w="400"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25~50 mg</w:t>
            </w:r>
          </w:p>
        </w:tc>
        <w:tc>
          <w:tcPr>
            <w:tcW w:w="418"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50%</w:t>
            </w: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color w:val="000000" w:themeColor="text1"/>
                <w:kern w:val="0"/>
                <w:szCs w:val="21"/>
              </w:rPr>
              <w:t>q48h</w:t>
            </w:r>
          </w:p>
        </w:tc>
      </w:tr>
      <w:tr w:rsidR="002E5476">
        <w:trPr>
          <w:trHeight w:val="825"/>
          <w:jc w:val="center"/>
        </w:trPr>
        <w:tc>
          <w:tcPr>
            <w:tcW w:w="5000" w:type="pct"/>
            <w:gridSpan w:val="9"/>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b/>
                <w:bCs/>
                <w:color w:val="000000" w:themeColor="text1"/>
                <w:kern w:val="0"/>
                <w:szCs w:val="21"/>
              </w:rPr>
              <w:t>α</w:t>
            </w:r>
            <w:r>
              <w:rPr>
                <w:rFonts w:ascii="Times New Roman" w:eastAsia="宋体" w:hAnsi="Times New Roman" w:cs="Times New Roman"/>
                <w:b/>
                <w:bCs/>
                <w:color w:val="000000" w:themeColor="text1"/>
                <w:kern w:val="0"/>
                <w:szCs w:val="21"/>
              </w:rPr>
              <w:t>/</w:t>
            </w:r>
            <w:r>
              <w:rPr>
                <w:rFonts w:ascii="Times New Roman" w:eastAsia="宋体" w:hAnsi="Times New Roman" w:cs="Times New Roman" w:hint="eastAsia"/>
                <w:b/>
                <w:bCs/>
                <w:color w:val="000000" w:themeColor="text1"/>
                <w:kern w:val="0"/>
                <w:szCs w:val="21"/>
              </w:rPr>
              <w:t>β受体阻滞剂</w:t>
            </w:r>
          </w:p>
        </w:tc>
      </w:tr>
      <w:tr w:rsidR="002E5476">
        <w:trPr>
          <w:trHeight w:val="825"/>
          <w:jc w:val="center"/>
        </w:trPr>
        <w:tc>
          <w:tcPr>
            <w:tcW w:w="7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拉贝洛尔</w:t>
            </w:r>
          </w:p>
        </w:tc>
        <w:tc>
          <w:tcPr>
            <w:tcW w:w="7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100~400 mg</w:t>
            </w:r>
            <w:r>
              <w:rPr>
                <w:rStyle w:val="font41"/>
                <w:rFonts w:eastAsia="宋体" w:hint="eastAsia"/>
                <w:color w:val="000000" w:themeColor="text1"/>
                <w:sz w:val="21"/>
                <w:szCs w:val="21"/>
              </w:rPr>
              <w:t>，</w:t>
            </w:r>
            <w:r>
              <w:rPr>
                <w:rStyle w:val="font41"/>
                <w:rFonts w:eastAsia="宋体"/>
                <w:color w:val="000000" w:themeColor="text1"/>
                <w:sz w:val="21"/>
                <w:szCs w:val="21"/>
              </w:rPr>
              <w:t>bid</w:t>
            </w:r>
          </w:p>
        </w:tc>
        <w:tc>
          <w:tcPr>
            <w:tcW w:w="50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肾（肝）</w:t>
            </w:r>
          </w:p>
        </w:tc>
        <w:tc>
          <w:tcPr>
            <w:tcW w:w="585"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100%</w:t>
            </w:r>
          </w:p>
        </w:tc>
        <w:tc>
          <w:tcPr>
            <w:tcW w:w="584"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100%</w:t>
            </w:r>
          </w:p>
        </w:tc>
        <w:tc>
          <w:tcPr>
            <w:tcW w:w="567"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100%</w:t>
            </w:r>
          </w:p>
        </w:tc>
        <w:tc>
          <w:tcPr>
            <w:tcW w:w="435"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100%</w:t>
            </w:r>
          </w:p>
        </w:tc>
        <w:tc>
          <w:tcPr>
            <w:tcW w:w="400"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不用</w:t>
            </w:r>
          </w:p>
        </w:tc>
        <w:tc>
          <w:tcPr>
            <w:tcW w:w="418"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100%</w:t>
            </w:r>
          </w:p>
        </w:tc>
      </w:tr>
      <w:tr w:rsidR="002E5476">
        <w:trPr>
          <w:trHeight w:val="975"/>
          <w:jc w:val="center"/>
        </w:trPr>
        <w:tc>
          <w:tcPr>
            <w:tcW w:w="7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卡维地洛</w:t>
            </w:r>
          </w:p>
        </w:tc>
        <w:tc>
          <w:tcPr>
            <w:tcW w:w="7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25 mg</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bid</w:t>
            </w:r>
          </w:p>
        </w:tc>
        <w:tc>
          <w:tcPr>
            <w:tcW w:w="50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肝（肾）</w:t>
            </w:r>
          </w:p>
        </w:tc>
        <w:tc>
          <w:tcPr>
            <w:tcW w:w="585"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100%</w:t>
            </w:r>
          </w:p>
        </w:tc>
        <w:tc>
          <w:tcPr>
            <w:tcW w:w="584"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100%</w:t>
            </w:r>
          </w:p>
        </w:tc>
        <w:tc>
          <w:tcPr>
            <w:tcW w:w="567"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50%</w:t>
            </w:r>
          </w:p>
        </w:tc>
        <w:tc>
          <w:tcPr>
            <w:tcW w:w="435"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50%</w:t>
            </w:r>
          </w:p>
        </w:tc>
        <w:tc>
          <w:tcPr>
            <w:tcW w:w="400"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不用</w:t>
            </w:r>
          </w:p>
        </w:tc>
        <w:tc>
          <w:tcPr>
            <w:tcW w:w="418"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100%</w:t>
            </w:r>
          </w:p>
        </w:tc>
      </w:tr>
      <w:tr w:rsidR="002E5476">
        <w:trPr>
          <w:trHeight w:val="435"/>
          <w:jc w:val="center"/>
        </w:trPr>
        <w:tc>
          <w:tcPr>
            <w:tcW w:w="7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阿罗洛尔</w:t>
            </w:r>
          </w:p>
        </w:tc>
        <w:tc>
          <w:tcPr>
            <w:tcW w:w="7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10</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15 mg</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bid</w:t>
            </w:r>
          </w:p>
        </w:tc>
        <w:tc>
          <w:tcPr>
            <w:tcW w:w="50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肝（肾）</w:t>
            </w:r>
          </w:p>
        </w:tc>
        <w:tc>
          <w:tcPr>
            <w:tcW w:w="585"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无需调整，</w:t>
            </w:r>
            <w:r>
              <w:rPr>
                <w:rFonts w:ascii="Times New Roman" w:eastAsia="宋体" w:hAnsi="Times New Roman" w:cs="Times New Roman"/>
                <w:color w:val="000000" w:themeColor="text1"/>
                <w:kern w:val="0"/>
                <w:szCs w:val="21"/>
              </w:rPr>
              <w:t>100%</w:t>
            </w:r>
          </w:p>
        </w:tc>
        <w:tc>
          <w:tcPr>
            <w:tcW w:w="584"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无需调整，</w:t>
            </w:r>
            <w:r>
              <w:rPr>
                <w:rFonts w:ascii="Times New Roman" w:eastAsia="宋体" w:hAnsi="Times New Roman" w:cs="Times New Roman"/>
                <w:color w:val="000000" w:themeColor="text1"/>
                <w:kern w:val="0"/>
                <w:szCs w:val="21"/>
              </w:rPr>
              <w:t>100%</w:t>
            </w:r>
          </w:p>
        </w:tc>
        <w:tc>
          <w:tcPr>
            <w:tcW w:w="567"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慎用，</w:t>
            </w:r>
            <w:r>
              <w:rPr>
                <w:rFonts w:ascii="Times New Roman" w:eastAsia="宋体" w:hAnsi="Times New Roman" w:cs="Times New Roman"/>
                <w:color w:val="000000" w:themeColor="text1"/>
                <w:kern w:val="0"/>
                <w:szCs w:val="21"/>
              </w:rPr>
              <w:t>100%</w:t>
            </w:r>
          </w:p>
        </w:tc>
        <w:tc>
          <w:tcPr>
            <w:tcW w:w="435"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无资料</w:t>
            </w:r>
          </w:p>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100%</w:t>
            </w:r>
          </w:p>
        </w:tc>
        <w:tc>
          <w:tcPr>
            <w:tcW w:w="400"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无资料</w:t>
            </w:r>
          </w:p>
        </w:tc>
        <w:tc>
          <w:tcPr>
            <w:tcW w:w="418"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无资料</w:t>
            </w:r>
          </w:p>
        </w:tc>
      </w:tr>
      <w:tr w:rsidR="002E5476">
        <w:trPr>
          <w:trHeight w:val="435"/>
          <w:jc w:val="center"/>
        </w:trPr>
        <w:tc>
          <w:tcPr>
            <w:tcW w:w="5000" w:type="pct"/>
            <w:gridSpan w:val="9"/>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b/>
                <w:bCs/>
                <w:color w:val="000000" w:themeColor="text1"/>
                <w:kern w:val="0"/>
                <w:szCs w:val="21"/>
              </w:rPr>
            </w:pPr>
            <w:r>
              <w:rPr>
                <w:rFonts w:ascii="Times New Roman" w:eastAsia="宋体" w:hAnsi="Times New Roman" w:cs="Times New Roman" w:hint="eastAsia"/>
                <w:b/>
                <w:bCs/>
                <w:color w:val="000000" w:themeColor="text1"/>
                <w:kern w:val="0"/>
                <w:szCs w:val="21"/>
              </w:rPr>
              <w:t>α受体阻滞剂</w:t>
            </w:r>
          </w:p>
        </w:tc>
      </w:tr>
      <w:tr w:rsidR="002E5476">
        <w:trPr>
          <w:trHeight w:val="435"/>
          <w:jc w:val="center"/>
        </w:trPr>
        <w:tc>
          <w:tcPr>
            <w:tcW w:w="7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多沙唑嗪</w:t>
            </w:r>
          </w:p>
        </w:tc>
        <w:tc>
          <w:tcPr>
            <w:tcW w:w="7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1~16 mg</w:t>
            </w:r>
            <w:r>
              <w:rPr>
                <w:rStyle w:val="font41"/>
                <w:rFonts w:eastAsia="宋体" w:hint="eastAsia"/>
                <w:color w:val="000000" w:themeColor="text1"/>
                <w:sz w:val="21"/>
                <w:szCs w:val="21"/>
              </w:rPr>
              <w:t>，</w:t>
            </w:r>
            <w:r>
              <w:rPr>
                <w:rStyle w:val="font41"/>
                <w:rFonts w:eastAsia="宋体"/>
                <w:color w:val="000000" w:themeColor="text1"/>
                <w:sz w:val="21"/>
                <w:szCs w:val="21"/>
              </w:rPr>
              <w:t>qd</w:t>
            </w:r>
          </w:p>
        </w:tc>
        <w:tc>
          <w:tcPr>
            <w:tcW w:w="500" w:type="pct"/>
            <w:tcBorders>
              <w:top w:val="single" w:sz="4" w:space="0" w:color="000000"/>
              <w:left w:val="single" w:sz="4" w:space="0" w:color="000000"/>
              <w:bottom w:val="single" w:sz="4" w:space="0" w:color="000000"/>
              <w:right w:val="single" w:sz="4" w:space="0" w:color="000000"/>
            </w:tcBorders>
            <w:shd w:val="clear" w:color="auto" w:fill="auto"/>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肝</w:t>
            </w:r>
          </w:p>
        </w:tc>
        <w:tc>
          <w:tcPr>
            <w:tcW w:w="585"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100%</w:t>
            </w:r>
          </w:p>
        </w:tc>
        <w:tc>
          <w:tcPr>
            <w:tcW w:w="584"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100%</w:t>
            </w:r>
          </w:p>
        </w:tc>
        <w:tc>
          <w:tcPr>
            <w:tcW w:w="567"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100%</w:t>
            </w:r>
          </w:p>
        </w:tc>
        <w:tc>
          <w:tcPr>
            <w:tcW w:w="435"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100%</w:t>
            </w:r>
          </w:p>
        </w:tc>
        <w:tc>
          <w:tcPr>
            <w:tcW w:w="400"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不用</w:t>
            </w:r>
          </w:p>
        </w:tc>
        <w:tc>
          <w:tcPr>
            <w:tcW w:w="418"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100%</w:t>
            </w:r>
          </w:p>
        </w:tc>
      </w:tr>
      <w:tr w:rsidR="002E5476">
        <w:trPr>
          <w:trHeight w:val="390"/>
          <w:jc w:val="center"/>
        </w:trPr>
        <w:tc>
          <w:tcPr>
            <w:tcW w:w="7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多沙唑嗪缓释片</w:t>
            </w:r>
          </w:p>
        </w:tc>
        <w:tc>
          <w:tcPr>
            <w:tcW w:w="7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4</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8 mg</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qd</w:t>
            </w:r>
          </w:p>
        </w:tc>
        <w:tc>
          <w:tcPr>
            <w:tcW w:w="50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肝</w:t>
            </w:r>
          </w:p>
        </w:tc>
        <w:tc>
          <w:tcPr>
            <w:tcW w:w="585"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Style w:val="font41"/>
                <w:rFonts w:eastAsia="宋体"/>
                <w:color w:val="000000" w:themeColor="text1"/>
                <w:sz w:val="21"/>
                <w:szCs w:val="21"/>
              </w:rPr>
            </w:pPr>
            <w:r>
              <w:rPr>
                <w:rFonts w:ascii="Times New Roman" w:eastAsia="宋体" w:hAnsi="Times New Roman" w:cs="Times New Roman"/>
                <w:color w:val="000000" w:themeColor="text1"/>
                <w:kern w:val="0"/>
                <w:szCs w:val="21"/>
              </w:rPr>
              <w:t>100%</w:t>
            </w:r>
          </w:p>
        </w:tc>
        <w:tc>
          <w:tcPr>
            <w:tcW w:w="584"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Style w:val="font41"/>
                <w:rFonts w:eastAsia="宋体"/>
                <w:color w:val="000000" w:themeColor="text1"/>
                <w:sz w:val="21"/>
                <w:szCs w:val="21"/>
              </w:rPr>
            </w:pPr>
            <w:r>
              <w:rPr>
                <w:rFonts w:ascii="Times New Roman" w:eastAsia="宋体" w:hAnsi="Times New Roman" w:cs="Times New Roman"/>
                <w:color w:val="000000" w:themeColor="text1"/>
                <w:kern w:val="0"/>
                <w:szCs w:val="21"/>
              </w:rPr>
              <w:t>100%</w:t>
            </w:r>
          </w:p>
        </w:tc>
        <w:tc>
          <w:tcPr>
            <w:tcW w:w="567"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Style w:val="font41"/>
                <w:rFonts w:eastAsia="宋体"/>
                <w:color w:val="000000" w:themeColor="text1"/>
                <w:sz w:val="21"/>
                <w:szCs w:val="21"/>
              </w:rPr>
            </w:pPr>
            <w:r>
              <w:rPr>
                <w:rFonts w:ascii="Times New Roman" w:eastAsia="宋体" w:hAnsi="Times New Roman" w:cs="Times New Roman"/>
                <w:color w:val="000000" w:themeColor="text1"/>
                <w:kern w:val="0"/>
                <w:szCs w:val="21"/>
              </w:rPr>
              <w:t>100%</w:t>
            </w:r>
          </w:p>
        </w:tc>
        <w:tc>
          <w:tcPr>
            <w:tcW w:w="435"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Style w:val="font41"/>
                <w:rFonts w:eastAsia="宋体"/>
                <w:color w:val="000000" w:themeColor="text1"/>
                <w:sz w:val="21"/>
                <w:szCs w:val="21"/>
              </w:rPr>
            </w:pPr>
            <w:r>
              <w:rPr>
                <w:rFonts w:ascii="Times New Roman" w:eastAsia="宋体" w:hAnsi="Times New Roman" w:cs="Times New Roman"/>
                <w:color w:val="000000" w:themeColor="text1"/>
                <w:kern w:val="0"/>
                <w:szCs w:val="21"/>
              </w:rPr>
              <w:t>100%</w:t>
            </w:r>
          </w:p>
        </w:tc>
        <w:tc>
          <w:tcPr>
            <w:tcW w:w="400"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Style w:val="font41"/>
                <w:rFonts w:eastAsia="宋体"/>
                <w:color w:val="000000" w:themeColor="text1"/>
                <w:sz w:val="21"/>
                <w:szCs w:val="21"/>
              </w:rPr>
            </w:pPr>
            <w:r>
              <w:rPr>
                <w:rFonts w:ascii="Times New Roman" w:eastAsia="宋体" w:hAnsi="Times New Roman" w:cs="Times New Roman" w:hint="eastAsia"/>
                <w:color w:val="000000" w:themeColor="text1"/>
                <w:kern w:val="0"/>
                <w:szCs w:val="21"/>
              </w:rPr>
              <w:t>不用</w:t>
            </w:r>
          </w:p>
        </w:tc>
        <w:tc>
          <w:tcPr>
            <w:tcW w:w="418"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Style w:val="font41"/>
                <w:rFonts w:eastAsia="宋体"/>
                <w:color w:val="000000" w:themeColor="text1"/>
                <w:sz w:val="21"/>
                <w:szCs w:val="21"/>
              </w:rPr>
            </w:pPr>
            <w:r>
              <w:rPr>
                <w:rFonts w:ascii="Times New Roman" w:eastAsia="宋体" w:hAnsi="Times New Roman" w:cs="Times New Roman"/>
                <w:color w:val="000000" w:themeColor="text1"/>
                <w:kern w:val="0"/>
                <w:szCs w:val="21"/>
              </w:rPr>
              <w:t>100%</w:t>
            </w:r>
          </w:p>
        </w:tc>
      </w:tr>
      <w:tr w:rsidR="002E5476">
        <w:trPr>
          <w:trHeight w:val="435"/>
          <w:jc w:val="center"/>
        </w:trPr>
        <w:tc>
          <w:tcPr>
            <w:tcW w:w="7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特拉唑嗪</w:t>
            </w:r>
          </w:p>
        </w:tc>
        <w:tc>
          <w:tcPr>
            <w:tcW w:w="7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31"/>
                <w:rFonts w:ascii="Times New Roman" w:hAnsi="Times New Roman" w:cs="Times New Roman" w:hint="default"/>
                <w:color w:val="000000" w:themeColor="text1"/>
                <w:sz w:val="21"/>
                <w:szCs w:val="21"/>
              </w:rPr>
              <w:t>1~20 mg</w:t>
            </w:r>
            <w:r>
              <w:rPr>
                <w:rStyle w:val="font31"/>
                <w:rFonts w:ascii="Times New Roman" w:hAnsi="Times New Roman" w:cs="Times New Roman" w:hint="default"/>
                <w:color w:val="000000" w:themeColor="text1"/>
                <w:sz w:val="21"/>
                <w:szCs w:val="21"/>
              </w:rPr>
              <w:t>，</w:t>
            </w:r>
            <w:r>
              <w:rPr>
                <w:rStyle w:val="font31"/>
                <w:rFonts w:ascii="Times New Roman" w:hAnsi="Times New Roman" w:cs="Times New Roman" w:hint="default"/>
                <w:color w:val="000000" w:themeColor="text1"/>
                <w:sz w:val="21"/>
                <w:szCs w:val="21"/>
              </w:rPr>
              <w:t>qd</w:t>
            </w:r>
          </w:p>
        </w:tc>
        <w:tc>
          <w:tcPr>
            <w:tcW w:w="50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肝</w:t>
            </w:r>
          </w:p>
        </w:tc>
        <w:tc>
          <w:tcPr>
            <w:tcW w:w="585"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无需调整，</w:t>
            </w:r>
            <w:r>
              <w:rPr>
                <w:rFonts w:ascii="Times New Roman" w:eastAsia="宋体" w:hAnsi="Times New Roman" w:cs="Times New Roman"/>
                <w:color w:val="000000" w:themeColor="text1"/>
                <w:kern w:val="0"/>
                <w:szCs w:val="21"/>
              </w:rPr>
              <w:t>100%</w:t>
            </w:r>
          </w:p>
        </w:tc>
        <w:tc>
          <w:tcPr>
            <w:tcW w:w="584"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无需调整，</w:t>
            </w:r>
            <w:r>
              <w:rPr>
                <w:rFonts w:ascii="Times New Roman" w:eastAsia="宋体" w:hAnsi="Times New Roman" w:cs="Times New Roman"/>
                <w:color w:val="000000" w:themeColor="text1"/>
                <w:kern w:val="0"/>
                <w:szCs w:val="21"/>
              </w:rPr>
              <w:t>100%</w:t>
            </w:r>
          </w:p>
        </w:tc>
        <w:tc>
          <w:tcPr>
            <w:tcW w:w="567"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无需调整，</w:t>
            </w:r>
            <w:r>
              <w:rPr>
                <w:rFonts w:ascii="Times New Roman" w:eastAsia="宋体" w:hAnsi="Times New Roman" w:cs="Times New Roman"/>
                <w:color w:val="000000" w:themeColor="text1"/>
                <w:kern w:val="0"/>
                <w:szCs w:val="21"/>
              </w:rPr>
              <w:t>100%</w:t>
            </w:r>
          </w:p>
        </w:tc>
        <w:tc>
          <w:tcPr>
            <w:tcW w:w="435"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100%</w:t>
            </w:r>
          </w:p>
        </w:tc>
        <w:tc>
          <w:tcPr>
            <w:tcW w:w="400"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不用</w:t>
            </w:r>
          </w:p>
        </w:tc>
        <w:tc>
          <w:tcPr>
            <w:tcW w:w="418"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100%</w:t>
            </w:r>
          </w:p>
        </w:tc>
      </w:tr>
      <w:tr w:rsidR="002E5476">
        <w:trPr>
          <w:trHeight w:val="435"/>
          <w:jc w:val="center"/>
        </w:trPr>
        <w:tc>
          <w:tcPr>
            <w:tcW w:w="7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Style w:val="font31"/>
                <w:rFonts w:ascii="Times New Roman" w:hAnsi="Times New Roman" w:cs="Times New Roman" w:hint="default"/>
                <w:color w:val="000000" w:themeColor="text1"/>
                <w:sz w:val="21"/>
                <w:szCs w:val="21"/>
              </w:rPr>
            </w:pPr>
            <w:r>
              <w:rPr>
                <w:rStyle w:val="font31"/>
                <w:rFonts w:ascii="Times New Roman" w:hAnsi="Times New Roman" w:cs="Times New Roman" w:hint="default"/>
                <w:color w:val="000000" w:themeColor="text1"/>
                <w:sz w:val="21"/>
                <w:szCs w:val="21"/>
              </w:rPr>
              <w:t>哌唑嗪</w:t>
            </w:r>
          </w:p>
        </w:tc>
        <w:tc>
          <w:tcPr>
            <w:tcW w:w="7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Style w:val="font31"/>
                <w:rFonts w:ascii="Times New Roman" w:hAnsi="Times New Roman" w:cs="Times New Roman" w:hint="default"/>
                <w:color w:val="000000" w:themeColor="text1"/>
                <w:sz w:val="21"/>
                <w:szCs w:val="21"/>
              </w:rPr>
            </w:pPr>
            <w:r>
              <w:rPr>
                <w:rStyle w:val="font31"/>
                <w:rFonts w:ascii="Times New Roman" w:hAnsi="Times New Roman" w:cs="Times New Roman" w:hint="default"/>
                <w:color w:val="000000" w:themeColor="text1"/>
                <w:sz w:val="21"/>
                <w:szCs w:val="21"/>
              </w:rPr>
              <w:t>1~15 mg</w:t>
            </w:r>
            <w:r>
              <w:rPr>
                <w:rStyle w:val="font31"/>
                <w:rFonts w:ascii="Times New Roman" w:hAnsi="Times New Roman" w:cs="Times New Roman" w:hint="default"/>
                <w:color w:val="000000" w:themeColor="text1"/>
                <w:sz w:val="21"/>
                <w:szCs w:val="21"/>
              </w:rPr>
              <w:t>，</w:t>
            </w:r>
            <w:r>
              <w:rPr>
                <w:rStyle w:val="font31"/>
                <w:rFonts w:ascii="Times New Roman" w:hAnsi="Times New Roman" w:cs="Times New Roman" w:hint="default"/>
                <w:color w:val="000000" w:themeColor="text1"/>
                <w:sz w:val="21"/>
                <w:szCs w:val="21"/>
              </w:rPr>
              <w:t>bid</w:t>
            </w:r>
          </w:p>
        </w:tc>
        <w:tc>
          <w:tcPr>
            <w:tcW w:w="50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szCs w:val="21"/>
              </w:rPr>
              <w:t>肝</w:t>
            </w:r>
          </w:p>
        </w:tc>
        <w:tc>
          <w:tcPr>
            <w:tcW w:w="585"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肾功能不全时应减小剂量，起始剂量</w:t>
            </w:r>
            <w:r>
              <w:rPr>
                <w:rFonts w:ascii="Times New Roman" w:eastAsia="宋体" w:hAnsi="Times New Roman" w:cs="Times New Roman"/>
                <w:color w:val="000000" w:themeColor="text1"/>
                <w:kern w:val="0"/>
                <w:szCs w:val="21"/>
              </w:rPr>
              <w:t>1 mg</w:t>
            </w:r>
            <w:r>
              <w:rPr>
                <w:rFonts w:ascii="Times New Roman" w:eastAsia="宋体" w:hAnsi="Times New Roman" w:cs="Times New Roman" w:hint="eastAsia"/>
                <w:color w:val="000000" w:themeColor="text1"/>
                <w:kern w:val="0"/>
                <w:szCs w:val="21"/>
              </w:rPr>
              <w:t>，每日</w:t>
            </w:r>
            <w:r>
              <w:rPr>
                <w:rFonts w:ascii="Times New Roman" w:eastAsia="宋体" w:hAnsi="Times New Roman" w:cs="Times New Roman"/>
                <w:color w:val="000000" w:themeColor="text1"/>
                <w:kern w:val="0"/>
                <w:szCs w:val="21"/>
              </w:rPr>
              <w:t>2</w:t>
            </w:r>
            <w:r>
              <w:rPr>
                <w:rFonts w:ascii="Times New Roman" w:eastAsia="宋体" w:hAnsi="Times New Roman" w:cs="Times New Roman" w:hint="eastAsia"/>
                <w:color w:val="000000" w:themeColor="text1"/>
                <w:kern w:val="0"/>
                <w:szCs w:val="21"/>
              </w:rPr>
              <w:t>次为宜；</w:t>
            </w:r>
            <w:r>
              <w:rPr>
                <w:rFonts w:ascii="Times New Roman" w:eastAsia="宋体" w:hAnsi="Times New Roman" w:cs="Times New Roman"/>
                <w:color w:val="000000" w:themeColor="text1"/>
                <w:kern w:val="0"/>
                <w:szCs w:val="21"/>
              </w:rPr>
              <w:t>100%</w:t>
            </w:r>
          </w:p>
        </w:tc>
        <w:tc>
          <w:tcPr>
            <w:tcW w:w="584"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100%</w:t>
            </w:r>
          </w:p>
        </w:tc>
        <w:tc>
          <w:tcPr>
            <w:tcW w:w="567"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100%</w:t>
            </w:r>
          </w:p>
        </w:tc>
        <w:tc>
          <w:tcPr>
            <w:tcW w:w="435"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100%</w:t>
            </w:r>
          </w:p>
        </w:tc>
        <w:tc>
          <w:tcPr>
            <w:tcW w:w="400"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不用</w:t>
            </w:r>
          </w:p>
        </w:tc>
        <w:tc>
          <w:tcPr>
            <w:tcW w:w="418"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100%</w:t>
            </w:r>
          </w:p>
        </w:tc>
      </w:tr>
      <w:tr w:rsidR="002E5476">
        <w:trPr>
          <w:trHeight w:val="435"/>
          <w:jc w:val="center"/>
        </w:trPr>
        <w:tc>
          <w:tcPr>
            <w:tcW w:w="5000" w:type="pct"/>
            <w:gridSpan w:val="9"/>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Style w:val="font41"/>
                <w:rFonts w:eastAsia="宋体"/>
                <w:b/>
                <w:bCs/>
                <w:color w:val="000000" w:themeColor="text1"/>
                <w:sz w:val="21"/>
                <w:szCs w:val="21"/>
              </w:rPr>
            </w:pPr>
            <w:r>
              <w:rPr>
                <w:rFonts w:ascii="Times New Roman" w:eastAsia="宋体" w:hAnsi="Times New Roman" w:cs="Times New Roman" w:hint="eastAsia"/>
                <w:b/>
                <w:bCs/>
                <w:color w:val="000000" w:themeColor="text1"/>
                <w:kern w:val="0"/>
                <w:szCs w:val="21"/>
              </w:rPr>
              <w:t>中枢作用药物</w:t>
            </w:r>
            <w:r>
              <w:rPr>
                <w:rFonts w:ascii="Times New Roman" w:eastAsia="宋体" w:hAnsi="Times New Roman" w:cs="Times New Roman"/>
                <w:b/>
                <w:bCs/>
                <w:color w:val="000000" w:themeColor="text1"/>
                <w:kern w:val="0"/>
                <w:szCs w:val="21"/>
              </w:rPr>
              <w:t>-</w:t>
            </w:r>
            <w:r>
              <w:rPr>
                <w:rFonts w:ascii="Times New Roman" w:eastAsia="宋体" w:hAnsi="Times New Roman" w:cs="Times New Roman" w:hint="eastAsia"/>
                <w:b/>
                <w:bCs/>
                <w:color w:val="000000" w:themeColor="text1"/>
                <w:kern w:val="0"/>
                <w:szCs w:val="21"/>
              </w:rPr>
              <w:t>α受体激动剂</w:t>
            </w:r>
          </w:p>
        </w:tc>
      </w:tr>
      <w:tr w:rsidR="002E5476">
        <w:trPr>
          <w:trHeight w:val="435"/>
          <w:jc w:val="center"/>
        </w:trPr>
        <w:tc>
          <w:tcPr>
            <w:tcW w:w="7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利血平</w:t>
            </w:r>
          </w:p>
        </w:tc>
        <w:tc>
          <w:tcPr>
            <w:tcW w:w="7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0.05</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0.25 mg</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qd</w:t>
            </w:r>
          </w:p>
        </w:tc>
        <w:tc>
          <w:tcPr>
            <w:tcW w:w="50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hint="eastAsia"/>
                <w:color w:val="000000" w:themeColor="text1"/>
                <w:sz w:val="21"/>
                <w:szCs w:val="21"/>
              </w:rPr>
              <w:t>肝</w:t>
            </w:r>
          </w:p>
        </w:tc>
        <w:tc>
          <w:tcPr>
            <w:tcW w:w="585"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Style w:val="font41"/>
                <w:rFonts w:eastAsia="宋体"/>
                <w:color w:val="000000" w:themeColor="text1"/>
                <w:sz w:val="21"/>
                <w:szCs w:val="21"/>
              </w:rPr>
            </w:pPr>
            <w:r>
              <w:rPr>
                <w:rStyle w:val="font41"/>
                <w:rFonts w:eastAsia="宋体" w:hint="eastAsia"/>
                <w:color w:val="000000" w:themeColor="text1"/>
                <w:sz w:val="21"/>
                <w:szCs w:val="21"/>
              </w:rPr>
              <w:t>慎用</w:t>
            </w:r>
          </w:p>
        </w:tc>
        <w:tc>
          <w:tcPr>
            <w:tcW w:w="584"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Style w:val="font41"/>
                <w:rFonts w:eastAsia="宋体"/>
                <w:color w:val="000000" w:themeColor="text1"/>
                <w:sz w:val="21"/>
                <w:szCs w:val="21"/>
              </w:rPr>
            </w:pPr>
            <w:r>
              <w:rPr>
                <w:rStyle w:val="font41"/>
                <w:rFonts w:eastAsia="宋体" w:hint="eastAsia"/>
                <w:color w:val="000000" w:themeColor="text1"/>
                <w:sz w:val="21"/>
                <w:szCs w:val="21"/>
              </w:rPr>
              <w:t>慎用</w:t>
            </w:r>
          </w:p>
        </w:tc>
        <w:tc>
          <w:tcPr>
            <w:tcW w:w="567"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Style w:val="font41"/>
                <w:rFonts w:eastAsia="宋体"/>
                <w:color w:val="000000" w:themeColor="text1"/>
                <w:sz w:val="21"/>
                <w:szCs w:val="21"/>
              </w:rPr>
            </w:pPr>
            <w:r>
              <w:rPr>
                <w:rStyle w:val="font41"/>
                <w:rFonts w:eastAsia="宋体" w:hint="eastAsia"/>
                <w:color w:val="000000" w:themeColor="text1"/>
                <w:sz w:val="21"/>
                <w:szCs w:val="21"/>
              </w:rPr>
              <w:t>避免</w:t>
            </w:r>
          </w:p>
        </w:tc>
        <w:tc>
          <w:tcPr>
            <w:tcW w:w="435"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Style w:val="font41"/>
                <w:rFonts w:eastAsia="宋体"/>
                <w:color w:val="000000" w:themeColor="text1"/>
                <w:sz w:val="21"/>
                <w:szCs w:val="21"/>
              </w:rPr>
            </w:pPr>
            <w:r>
              <w:rPr>
                <w:rStyle w:val="font41"/>
                <w:rFonts w:eastAsia="宋体" w:hint="eastAsia"/>
                <w:color w:val="000000" w:themeColor="text1"/>
                <w:sz w:val="21"/>
                <w:szCs w:val="21"/>
              </w:rPr>
              <w:t>无资料</w:t>
            </w:r>
          </w:p>
        </w:tc>
        <w:tc>
          <w:tcPr>
            <w:tcW w:w="400"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Style w:val="font41"/>
                <w:rFonts w:eastAsia="宋体"/>
                <w:color w:val="000000" w:themeColor="text1"/>
                <w:sz w:val="21"/>
                <w:szCs w:val="21"/>
              </w:rPr>
            </w:pPr>
            <w:r>
              <w:rPr>
                <w:rFonts w:ascii="Times New Roman" w:eastAsia="宋体" w:hAnsi="Times New Roman" w:cs="Times New Roman" w:hint="eastAsia"/>
                <w:color w:val="000000" w:themeColor="text1"/>
                <w:kern w:val="0"/>
                <w:szCs w:val="21"/>
              </w:rPr>
              <w:t>不用</w:t>
            </w:r>
          </w:p>
        </w:tc>
        <w:tc>
          <w:tcPr>
            <w:tcW w:w="418"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Style w:val="font41"/>
                <w:rFonts w:eastAsia="宋体"/>
                <w:color w:val="000000" w:themeColor="text1"/>
                <w:sz w:val="21"/>
                <w:szCs w:val="21"/>
              </w:rPr>
            </w:pPr>
            <w:r>
              <w:rPr>
                <w:rStyle w:val="font41"/>
                <w:rFonts w:eastAsia="宋体" w:hint="eastAsia"/>
                <w:color w:val="000000" w:themeColor="text1"/>
                <w:sz w:val="21"/>
                <w:szCs w:val="21"/>
              </w:rPr>
              <w:t>无资料</w:t>
            </w:r>
          </w:p>
        </w:tc>
      </w:tr>
      <w:tr w:rsidR="002E5476">
        <w:trPr>
          <w:trHeight w:val="435"/>
          <w:jc w:val="center"/>
        </w:trPr>
        <w:tc>
          <w:tcPr>
            <w:tcW w:w="7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可乐定</w:t>
            </w:r>
          </w:p>
        </w:tc>
        <w:tc>
          <w:tcPr>
            <w:tcW w:w="7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0.1</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0.3 mg</w:t>
            </w:r>
            <w:r>
              <w:rPr>
                <w:rStyle w:val="font41"/>
                <w:rFonts w:eastAsia="宋体" w:hint="eastAsia"/>
                <w:color w:val="000000" w:themeColor="text1"/>
                <w:sz w:val="21"/>
                <w:szCs w:val="21"/>
              </w:rPr>
              <w:t>，</w:t>
            </w:r>
            <w:r>
              <w:rPr>
                <w:rStyle w:val="font41"/>
                <w:rFonts w:eastAsia="宋体"/>
                <w:color w:val="000000" w:themeColor="text1"/>
                <w:sz w:val="21"/>
                <w:szCs w:val="21"/>
              </w:rPr>
              <w:t>bid</w:t>
            </w:r>
            <w:r>
              <w:rPr>
                <w:rStyle w:val="font41"/>
                <w:rFonts w:eastAsia="宋体" w:hint="eastAsia"/>
                <w:color w:val="000000" w:themeColor="text1"/>
                <w:sz w:val="21"/>
                <w:szCs w:val="21"/>
              </w:rPr>
              <w:t>至</w:t>
            </w:r>
            <w:r>
              <w:rPr>
                <w:rStyle w:val="font41"/>
                <w:rFonts w:eastAsia="宋体"/>
                <w:color w:val="000000" w:themeColor="text1"/>
                <w:sz w:val="21"/>
                <w:szCs w:val="21"/>
              </w:rPr>
              <w:t>tid</w:t>
            </w:r>
          </w:p>
        </w:tc>
        <w:tc>
          <w:tcPr>
            <w:tcW w:w="50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肾（肝）</w:t>
            </w:r>
          </w:p>
        </w:tc>
        <w:tc>
          <w:tcPr>
            <w:tcW w:w="585"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100%</w:t>
            </w:r>
          </w:p>
        </w:tc>
        <w:tc>
          <w:tcPr>
            <w:tcW w:w="584"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100%</w:t>
            </w:r>
          </w:p>
        </w:tc>
        <w:tc>
          <w:tcPr>
            <w:tcW w:w="567"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100%</w:t>
            </w:r>
          </w:p>
        </w:tc>
        <w:tc>
          <w:tcPr>
            <w:tcW w:w="435"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100%</w:t>
            </w:r>
          </w:p>
        </w:tc>
        <w:tc>
          <w:tcPr>
            <w:tcW w:w="400"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不用</w:t>
            </w:r>
          </w:p>
        </w:tc>
        <w:tc>
          <w:tcPr>
            <w:tcW w:w="418"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无资料</w:t>
            </w:r>
          </w:p>
        </w:tc>
      </w:tr>
      <w:tr w:rsidR="002E5476">
        <w:trPr>
          <w:trHeight w:val="202"/>
          <w:jc w:val="center"/>
        </w:trPr>
        <w:tc>
          <w:tcPr>
            <w:tcW w:w="760" w:type="pct"/>
            <w:tcBorders>
              <w:top w:val="single" w:sz="4" w:space="0" w:color="000000"/>
              <w:left w:val="single" w:sz="4" w:space="0" w:color="000000"/>
              <w:bottom w:val="single" w:sz="4" w:space="0" w:color="000000"/>
              <w:right w:val="single" w:sz="4" w:space="0" w:color="000000"/>
            </w:tcBorders>
            <w:shd w:val="clear" w:color="auto" w:fill="auto"/>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可乐定贴片</w:t>
            </w:r>
          </w:p>
        </w:tc>
        <w:tc>
          <w:tcPr>
            <w:tcW w:w="751" w:type="pct"/>
            <w:tcBorders>
              <w:top w:val="single" w:sz="4" w:space="0" w:color="000000"/>
              <w:left w:val="single" w:sz="4" w:space="0" w:color="000000"/>
              <w:bottom w:val="single" w:sz="4" w:space="0" w:color="000000"/>
              <w:right w:val="single" w:sz="4" w:space="0" w:color="000000"/>
            </w:tcBorders>
            <w:shd w:val="clear" w:color="auto" w:fill="auto"/>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2.5 mg/</w:t>
            </w:r>
            <w:r>
              <w:rPr>
                <w:rStyle w:val="font41"/>
                <w:rFonts w:eastAsia="宋体" w:hint="eastAsia"/>
                <w:color w:val="000000" w:themeColor="text1"/>
                <w:sz w:val="21"/>
                <w:szCs w:val="21"/>
              </w:rPr>
              <w:t>贴</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q7d</w:t>
            </w:r>
          </w:p>
        </w:tc>
        <w:tc>
          <w:tcPr>
            <w:tcW w:w="500" w:type="pct"/>
            <w:tcBorders>
              <w:top w:val="single" w:sz="4" w:space="0" w:color="000000"/>
              <w:left w:val="single" w:sz="4" w:space="0" w:color="000000"/>
              <w:bottom w:val="single" w:sz="4" w:space="0" w:color="000000"/>
              <w:right w:val="single" w:sz="4" w:space="0" w:color="000000"/>
            </w:tcBorders>
            <w:shd w:val="clear" w:color="auto" w:fill="auto"/>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肾（肝）</w:t>
            </w:r>
          </w:p>
        </w:tc>
        <w:tc>
          <w:tcPr>
            <w:tcW w:w="585"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100%</w:t>
            </w:r>
          </w:p>
        </w:tc>
        <w:tc>
          <w:tcPr>
            <w:tcW w:w="584"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100%</w:t>
            </w:r>
          </w:p>
        </w:tc>
        <w:tc>
          <w:tcPr>
            <w:tcW w:w="567"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100%</w:t>
            </w:r>
          </w:p>
        </w:tc>
        <w:tc>
          <w:tcPr>
            <w:tcW w:w="435"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100%</w:t>
            </w:r>
          </w:p>
        </w:tc>
        <w:tc>
          <w:tcPr>
            <w:tcW w:w="400"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不用</w:t>
            </w:r>
          </w:p>
        </w:tc>
        <w:tc>
          <w:tcPr>
            <w:tcW w:w="418"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无资料</w:t>
            </w:r>
          </w:p>
        </w:tc>
      </w:tr>
      <w:tr w:rsidR="002E5476">
        <w:trPr>
          <w:trHeight w:val="285"/>
          <w:jc w:val="center"/>
        </w:trPr>
        <w:tc>
          <w:tcPr>
            <w:tcW w:w="7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甲基多巴</w:t>
            </w:r>
          </w:p>
        </w:tc>
        <w:tc>
          <w:tcPr>
            <w:tcW w:w="7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250</w:t>
            </w:r>
            <w:r>
              <w:rPr>
                <w:rStyle w:val="font31"/>
                <w:rFonts w:ascii="Times New Roman" w:hAnsi="Times New Roman" w:cs="Times New Roman" w:hint="default"/>
                <w:color w:val="000000" w:themeColor="text1"/>
                <w:sz w:val="21"/>
                <w:szCs w:val="21"/>
              </w:rPr>
              <w:t xml:space="preserve">~500 </w:t>
            </w:r>
            <w:r>
              <w:rPr>
                <w:rStyle w:val="font41"/>
                <w:rFonts w:eastAsia="宋体"/>
                <w:color w:val="000000" w:themeColor="text1"/>
                <w:sz w:val="21"/>
                <w:szCs w:val="21"/>
              </w:rPr>
              <w:t>mg</w:t>
            </w:r>
            <w:r>
              <w:rPr>
                <w:rStyle w:val="font31"/>
                <w:rFonts w:ascii="Times New Roman" w:hAnsi="Times New Roman" w:cs="Times New Roman" w:hint="default"/>
                <w:color w:val="000000" w:themeColor="text1"/>
                <w:sz w:val="21"/>
                <w:szCs w:val="21"/>
              </w:rPr>
              <w:t>，</w:t>
            </w:r>
            <w:r>
              <w:rPr>
                <w:rStyle w:val="font31"/>
                <w:rFonts w:ascii="Times New Roman" w:hAnsi="Times New Roman" w:cs="Times New Roman" w:hint="default"/>
                <w:color w:val="000000" w:themeColor="text1"/>
                <w:sz w:val="21"/>
                <w:szCs w:val="21"/>
              </w:rPr>
              <w:t>bid</w:t>
            </w:r>
            <w:r>
              <w:rPr>
                <w:rStyle w:val="font31"/>
                <w:rFonts w:ascii="Times New Roman" w:hAnsi="Times New Roman" w:cs="Times New Roman" w:hint="default"/>
                <w:color w:val="000000" w:themeColor="text1"/>
                <w:sz w:val="21"/>
                <w:szCs w:val="21"/>
              </w:rPr>
              <w:t>至</w:t>
            </w:r>
            <w:r>
              <w:rPr>
                <w:rStyle w:val="font41"/>
                <w:rFonts w:eastAsia="宋体"/>
                <w:color w:val="000000" w:themeColor="text1"/>
                <w:sz w:val="21"/>
                <w:szCs w:val="21"/>
              </w:rPr>
              <w:t>tid</w:t>
            </w:r>
          </w:p>
        </w:tc>
        <w:tc>
          <w:tcPr>
            <w:tcW w:w="50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肾（肝）</w:t>
            </w:r>
          </w:p>
        </w:tc>
        <w:tc>
          <w:tcPr>
            <w:tcW w:w="585"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慎用，</w:t>
            </w:r>
            <w:r>
              <w:rPr>
                <w:rFonts w:ascii="Times New Roman" w:eastAsia="宋体" w:hAnsi="Times New Roman" w:cs="Times New Roman"/>
                <w:color w:val="000000" w:themeColor="text1"/>
                <w:kern w:val="0"/>
                <w:szCs w:val="21"/>
              </w:rPr>
              <w:t>q8h</w:t>
            </w:r>
          </w:p>
        </w:tc>
        <w:tc>
          <w:tcPr>
            <w:tcW w:w="584"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慎用，</w:t>
            </w:r>
            <w:r>
              <w:rPr>
                <w:rFonts w:ascii="Times New Roman" w:eastAsia="宋体" w:hAnsi="Times New Roman" w:cs="Times New Roman"/>
                <w:color w:val="000000" w:themeColor="text1"/>
                <w:kern w:val="0"/>
                <w:szCs w:val="21"/>
              </w:rPr>
              <w:t>q8~12h</w:t>
            </w:r>
          </w:p>
        </w:tc>
        <w:tc>
          <w:tcPr>
            <w:tcW w:w="567"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慎用，</w:t>
            </w:r>
            <w:r>
              <w:rPr>
                <w:rFonts w:ascii="Times New Roman" w:eastAsia="宋体" w:hAnsi="Times New Roman" w:cs="Times New Roman"/>
                <w:color w:val="000000" w:themeColor="text1"/>
                <w:kern w:val="0"/>
                <w:szCs w:val="21"/>
              </w:rPr>
              <w:t>q12~24h</w:t>
            </w:r>
          </w:p>
        </w:tc>
        <w:tc>
          <w:tcPr>
            <w:tcW w:w="435" w:type="pct"/>
            <w:tcBorders>
              <w:top w:val="single" w:sz="4" w:space="0" w:color="000000"/>
              <w:left w:val="single" w:sz="4" w:space="0" w:color="000000"/>
              <w:bottom w:val="single" w:sz="4" w:space="0" w:color="000000"/>
              <w:right w:val="single" w:sz="4" w:space="0" w:color="000000"/>
            </w:tcBorders>
          </w:tcPr>
          <w:p w:rsidR="002E5476" w:rsidRDefault="00423E71">
            <w:pPr>
              <w:widowControl/>
              <w:jc w:val="left"/>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腹膜透析可清除，</w:t>
            </w:r>
            <w:r>
              <w:rPr>
                <w:rFonts w:ascii="Times New Roman" w:eastAsia="宋体" w:hAnsi="Times New Roman" w:cs="Times New Roman"/>
                <w:color w:val="000000" w:themeColor="text1"/>
                <w:kern w:val="0"/>
                <w:szCs w:val="21"/>
              </w:rPr>
              <w:t>30%~40</w:t>
            </w:r>
            <w:r>
              <w:rPr>
                <w:rFonts w:ascii="Times New Roman" w:eastAsia="宋体" w:hAnsi="Times New Roman" w:cs="Times New Roman"/>
                <w:color w:val="000000" w:themeColor="text1"/>
                <w:kern w:val="0"/>
                <w:szCs w:val="21"/>
              </w:rPr>
              <w:lastRenderedPageBreak/>
              <w:t>%</w:t>
            </w: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color w:val="000000" w:themeColor="text1"/>
                <w:kern w:val="0"/>
                <w:szCs w:val="21"/>
              </w:rPr>
              <w:t>q12~24h</w:t>
            </w:r>
          </w:p>
        </w:tc>
        <w:tc>
          <w:tcPr>
            <w:tcW w:w="400"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lastRenderedPageBreak/>
              <w:t>250~500 mg</w:t>
            </w:r>
          </w:p>
        </w:tc>
        <w:tc>
          <w:tcPr>
            <w:tcW w:w="418"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q8~12h</w:t>
            </w:r>
          </w:p>
        </w:tc>
      </w:tr>
      <w:tr w:rsidR="002E5476">
        <w:trPr>
          <w:trHeight w:val="390"/>
          <w:jc w:val="center"/>
        </w:trPr>
        <w:tc>
          <w:tcPr>
            <w:tcW w:w="7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lastRenderedPageBreak/>
              <w:t>利美尼定</w:t>
            </w:r>
          </w:p>
        </w:tc>
        <w:tc>
          <w:tcPr>
            <w:tcW w:w="7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Style w:val="font41"/>
                <w:rFonts w:eastAsia="宋体"/>
                <w:color w:val="000000" w:themeColor="text1"/>
                <w:sz w:val="21"/>
                <w:szCs w:val="21"/>
              </w:rPr>
            </w:pPr>
            <w:r>
              <w:rPr>
                <w:rStyle w:val="font41"/>
                <w:rFonts w:eastAsia="宋体"/>
                <w:color w:val="000000" w:themeColor="text1"/>
                <w:sz w:val="21"/>
                <w:szCs w:val="21"/>
              </w:rPr>
              <w:t>1 mg</w:t>
            </w:r>
            <w:r>
              <w:rPr>
                <w:rStyle w:val="font41"/>
                <w:rFonts w:eastAsia="宋体" w:hint="eastAsia"/>
                <w:color w:val="000000" w:themeColor="text1"/>
                <w:sz w:val="21"/>
                <w:szCs w:val="21"/>
              </w:rPr>
              <w:t>，</w:t>
            </w:r>
            <w:r>
              <w:rPr>
                <w:rStyle w:val="font41"/>
                <w:rFonts w:eastAsia="宋体"/>
                <w:color w:val="000000" w:themeColor="text1"/>
                <w:sz w:val="21"/>
                <w:szCs w:val="21"/>
              </w:rPr>
              <w:t>qd</w:t>
            </w:r>
            <w:r>
              <w:rPr>
                <w:rStyle w:val="font31"/>
                <w:rFonts w:ascii="Times New Roman" w:hAnsi="Times New Roman" w:cs="Times New Roman" w:hint="default"/>
                <w:color w:val="000000" w:themeColor="text1"/>
                <w:sz w:val="21"/>
                <w:szCs w:val="21"/>
              </w:rPr>
              <w:t>至</w:t>
            </w:r>
            <w:r>
              <w:rPr>
                <w:rStyle w:val="font41"/>
                <w:rFonts w:eastAsia="宋体"/>
                <w:color w:val="000000" w:themeColor="text1"/>
                <w:sz w:val="21"/>
                <w:szCs w:val="21"/>
              </w:rPr>
              <w:t>bid</w:t>
            </w:r>
          </w:p>
        </w:tc>
        <w:tc>
          <w:tcPr>
            <w:tcW w:w="50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肾</w:t>
            </w:r>
          </w:p>
        </w:tc>
        <w:tc>
          <w:tcPr>
            <w:tcW w:w="585"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无资料</w:t>
            </w:r>
          </w:p>
        </w:tc>
        <w:tc>
          <w:tcPr>
            <w:tcW w:w="584"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无资料</w:t>
            </w:r>
          </w:p>
        </w:tc>
        <w:tc>
          <w:tcPr>
            <w:tcW w:w="567"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无资料</w:t>
            </w:r>
          </w:p>
        </w:tc>
        <w:tc>
          <w:tcPr>
            <w:tcW w:w="435"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无资料</w:t>
            </w:r>
          </w:p>
        </w:tc>
        <w:tc>
          <w:tcPr>
            <w:tcW w:w="400"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无资料</w:t>
            </w:r>
          </w:p>
        </w:tc>
        <w:tc>
          <w:tcPr>
            <w:tcW w:w="418"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无资料</w:t>
            </w:r>
          </w:p>
        </w:tc>
      </w:tr>
      <w:tr w:rsidR="002E5476">
        <w:trPr>
          <w:trHeight w:val="390"/>
          <w:jc w:val="center"/>
        </w:trPr>
        <w:tc>
          <w:tcPr>
            <w:tcW w:w="7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莫索尼定</w:t>
            </w:r>
          </w:p>
        </w:tc>
        <w:tc>
          <w:tcPr>
            <w:tcW w:w="7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Style w:val="font41"/>
                <w:rFonts w:eastAsia="宋体"/>
                <w:color w:val="000000" w:themeColor="text1"/>
                <w:sz w:val="21"/>
                <w:szCs w:val="21"/>
              </w:rPr>
            </w:pPr>
            <w:r>
              <w:rPr>
                <w:rStyle w:val="font41"/>
                <w:rFonts w:eastAsia="宋体"/>
                <w:color w:val="000000" w:themeColor="text1"/>
                <w:sz w:val="21"/>
                <w:szCs w:val="21"/>
              </w:rPr>
              <w:t>0.2 mg</w:t>
            </w:r>
            <w:r>
              <w:rPr>
                <w:rStyle w:val="font41"/>
                <w:rFonts w:eastAsia="宋体" w:hint="eastAsia"/>
                <w:color w:val="000000" w:themeColor="text1"/>
                <w:sz w:val="21"/>
                <w:szCs w:val="21"/>
              </w:rPr>
              <w:t>，</w:t>
            </w:r>
            <w:r>
              <w:rPr>
                <w:rStyle w:val="font41"/>
                <w:rFonts w:eastAsia="宋体"/>
                <w:color w:val="000000" w:themeColor="text1"/>
                <w:sz w:val="21"/>
                <w:szCs w:val="21"/>
              </w:rPr>
              <w:t>qd</w:t>
            </w:r>
            <w:r>
              <w:rPr>
                <w:rStyle w:val="font31"/>
                <w:rFonts w:ascii="Times New Roman" w:hAnsi="Times New Roman" w:cs="Times New Roman" w:hint="default"/>
                <w:color w:val="000000" w:themeColor="text1"/>
                <w:sz w:val="21"/>
                <w:szCs w:val="21"/>
              </w:rPr>
              <w:t>至</w:t>
            </w:r>
            <w:r>
              <w:rPr>
                <w:rStyle w:val="font41"/>
                <w:rFonts w:eastAsia="宋体"/>
                <w:color w:val="000000" w:themeColor="text1"/>
                <w:sz w:val="21"/>
                <w:szCs w:val="21"/>
              </w:rPr>
              <w:t>bid</w:t>
            </w:r>
          </w:p>
        </w:tc>
        <w:tc>
          <w:tcPr>
            <w:tcW w:w="50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肾</w:t>
            </w:r>
          </w:p>
        </w:tc>
        <w:tc>
          <w:tcPr>
            <w:tcW w:w="585"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单次剂量不超过</w:t>
            </w:r>
            <w:r>
              <w:rPr>
                <w:rFonts w:ascii="Times New Roman" w:eastAsia="宋体" w:hAnsi="Times New Roman" w:cs="Times New Roman"/>
                <w:color w:val="000000" w:themeColor="text1"/>
                <w:szCs w:val="21"/>
              </w:rPr>
              <w:t>0.2 mg</w:t>
            </w:r>
            <w:r>
              <w:rPr>
                <w:rFonts w:ascii="Times New Roman" w:eastAsia="宋体" w:hAnsi="Times New Roman" w:cs="Times New Roman" w:hint="eastAsia"/>
                <w:color w:val="000000" w:themeColor="text1"/>
                <w:szCs w:val="21"/>
              </w:rPr>
              <w:t>或日剂量不超过</w:t>
            </w:r>
            <w:r>
              <w:rPr>
                <w:rFonts w:ascii="Times New Roman" w:eastAsia="宋体" w:hAnsi="Times New Roman" w:cs="Times New Roman"/>
                <w:color w:val="000000" w:themeColor="text1"/>
                <w:szCs w:val="21"/>
              </w:rPr>
              <w:t>0.4 mg</w:t>
            </w:r>
          </w:p>
        </w:tc>
        <w:tc>
          <w:tcPr>
            <w:tcW w:w="584"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eGFR</w:t>
            </w:r>
            <w:r>
              <w:rPr>
                <w:rFonts w:ascii="Times New Roman" w:eastAsia="宋体" w:hAnsi="Times New Roman" w:cs="Times New Roman" w:hint="eastAsia"/>
                <w:color w:val="000000" w:themeColor="text1"/>
                <w:szCs w:val="21"/>
              </w:rPr>
              <w:t>＜</w:t>
            </w:r>
            <w:r>
              <w:rPr>
                <w:rFonts w:ascii="Times New Roman" w:eastAsia="宋体" w:hAnsi="Times New Roman" w:cs="Times New Roman"/>
                <w:color w:val="000000" w:themeColor="text1"/>
                <w:szCs w:val="21"/>
              </w:rPr>
              <w:t>30</w:t>
            </w:r>
            <w:r>
              <w:rPr>
                <w:rFonts w:ascii="Times New Roman" w:eastAsia="宋体" w:hAnsi="Times New Roman" w:cs="Times New Roman" w:hint="eastAsia"/>
                <w:color w:val="000000" w:themeColor="text1"/>
                <w:szCs w:val="21"/>
              </w:rPr>
              <w:t>：禁用</w:t>
            </w:r>
          </w:p>
        </w:tc>
        <w:tc>
          <w:tcPr>
            <w:tcW w:w="567"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eGFR</w:t>
            </w:r>
            <w:r>
              <w:rPr>
                <w:rFonts w:ascii="Times New Roman" w:eastAsia="宋体" w:hAnsi="Times New Roman" w:cs="Times New Roman" w:hint="eastAsia"/>
                <w:color w:val="000000" w:themeColor="text1"/>
                <w:szCs w:val="21"/>
              </w:rPr>
              <w:t>＜</w:t>
            </w:r>
            <w:r>
              <w:rPr>
                <w:rFonts w:ascii="Times New Roman" w:eastAsia="宋体" w:hAnsi="Times New Roman" w:cs="Times New Roman"/>
                <w:color w:val="000000" w:themeColor="text1"/>
                <w:szCs w:val="21"/>
              </w:rPr>
              <w:t>30</w:t>
            </w:r>
            <w:r>
              <w:rPr>
                <w:rFonts w:ascii="Times New Roman" w:eastAsia="宋体" w:hAnsi="Times New Roman" w:cs="Times New Roman" w:hint="eastAsia"/>
                <w:color w:val="000000" w:themeColor="text1"/>
                <w:szCs w:val="21"/>
              </w:rPr>
              <w:t>：禁用</w:t>
            </w:r>
          </w:p>
        </w:tc>
        <w:tc>
          <w:tcPr>
            <w:tcW w:w="435"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无资料</w:t>
            </w:r>
          </w:p>
        </w:tc>
        <w:tc>
          <w:tcPr>
            <w:tcW w:w="400"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无资料</w:t>
            </w:r>
          </w:p>
        </w:tc>
        <w:tc>
          <w:tcPr>
            <w:tcW w:w="418"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无资料</w:t>
            </w:r>
          </w:p>
        </w:tc>
      </w:tr>
      <w:tr w:rsidR="002E5476">
        <w:trPr>
          <w:trHeight w:val="390"/>
          <w:jc w:val="center"/>
        </w:trPr>
        <w:tc>
          <w:tcPr>
            <w:tcW w:w="5000" w:type="pct"/>
            <w:gridSpan w:val="9"/>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rPr>
                <w:rFonts w:ascii="Times New Roman" w:eastAsia="宋体" w:hAnsi="Times New Roman" w:cs="Times New Roman"/>
                <w:b/>
                <w:bCs/>
                <w:color w:val="000000" w:themeColor="text1"/>
                <w:szCs w:val="21"/>
              </w:rPr>
            </w:pPr>
            <w:r>
              <w:rPr>
                <w:rFonts w:ascii="Times New Roman" w:eastAsia="宋体" w:hAnsi="Times New Roman" w:cs="Times New Roman" w:hint="eastAsia"/>
                <w:b/>
                <w:bCs/>
                <w:color w:val="000000" w:themeColor="text1"/>
                <w:kern w:val="0"/>
                <w:szCs w:val="21"/>
              </w:rPr>
              <w:t>直接血管扩张药</w:t>
            </w:r>
          </w:p>
        </w:tc>
      </w:tr>
      <w:tr w:rsidR="002E5476">
        <w:trPr>
          <w:trHeight w:val="390"/>
          <w:jc w:val="center"/>
        </w:trPr>
        <w:tc>
          <w:tcPr>
            <w:tcW w:w="7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米诺地尔</w:t>
            </w:r>
          </w:p>
        </w:tc>
        <w:tc>
          <w:tcPr>
            <w:tcW w:w="7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hint="eastAsia"/>
                <w:color w:val="000000" w:themeColor="text1"/>
                <w:sz w:val="21"/>
                <w:szCs w:val="21"/>
              </w:rPr>
              <w:t>开始</w:t>
            </w:r>
            <w:r>
              <w:rPr>
                <w:rStyle w:val="font41"/>
                <w:rFonts w:eastAsia="宋体"/>
                <w:color w:val="000000" w:themeColor="text1"/>
                <w:sz w:val="21"/>
                <w:szCs w:val="21"/>
              </w:rPr>
              <w:t>2.5 mg</w:t>
            </w:r>
            <w:r>
              <w:rPr>
                <w:rStyle w:val="font41"/>
                <w:rFonts w:eastAsia="宋体" w:hint="eastAsia"/>
                <w:color w:val="000000" w:themeColor="text1"/>
                <w:sz w:val="21"/>
                <w:szCs w:val="21"/>
              </w:rPr>
              <w:t>，</w:t>
            </w:r>
            <w:r>
              <w:rPr>
                <w:rStyle w:val="font41"/>
                <w:rFonts w:eastAsia="宋体"/>
                <w:color w:val="000000" w:themeColor="text1"/>
                <w:sz w:val="21"/>
                <w:szCs w:val="21"/>
              </w:rPr>
              <w:t>bid</w:t>
            </w:r>
            <w:r>
              <w:rPr>
                <w:rStyle w:val="font41"/>
                <w:rFonts w:eastAsia="宋体" w:hint="eastAsia"/>
                <w:color w:val="000000" w:themeColor="text1"/>
                <w:sz w:val="21"/>
                <w:szCs w:val="21"/>
              </w:rPr>
              <w:t>，每</w:t>
            </w:r>
            <w:r>
              <w:rPr>
                <w:rStyle w:val="font41"/>
                <w:rFonts w:eastAsia="宋体"/>
                <w:color w:val="000000" w:themeColor="text1"/>
                <w:sz w:val="21"/>
                <w:szCs w:val="21"/>
              </w:rPr>
              <w:t>3</w:t>
            </w:r>
            <w:r>
              <w:rPr>
                <w:rStyle w:val="font41"/>
                <w:rFonts w:eastAsia="宋体" w:hint="eastAsia"/>
                <w:color w:val="000000" w:themeColor="text1"/>
                <w:sz w:val="21"/>
                <w:szCs w:val="21"/>
              </w:rPr>
              <w:t>日将剂量加倍，，维持量</w:t>
            </w:r>
            <w:r>
              <w:rPr>
                <w:rStyle w:val="font41"/>
                <w:rFonts w:eastAsia="宋体"/>
                <w:color w:val="000000" w:themeColor="text1"/>
                <w:sz w:val="21"/>
                <w:szCs w:val="21"/>
              </w:rPr>
              <w:t>10~40 mg/d</w:t>
            </w:r>
            <w:r>
              <w:rPr>
                <w:rStyle w:val="font41"/>
                <w:rFonts w:eastAsia="宋体" w:hint="eastAsia"/>
                <w:color w:val="000000" w:themeColor="text1"/>
                <w:sz w:val="21"/>
                <w:szCs w:val="21"/>
              </w:rPr>
              <w:t>，单次或分次服用</w:t>
            </w:r>
          </w:p>
        </w:tc>
        <w:tc>
          <w:tcPr>
            <w:tcW w:w="50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肝</w:t>
            </w:r>
          </w:p>
        </w:tc>
        <w:tc>
          <w:tcPr>
            <w:tcW w:w="585"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100%</w:t>
            </w:r>
          </w:p>
        </w:tc>
        <w:tc>
          <w:tcPr>
            <w:tcW w:w="584"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100%</w:t>
            </w:r>
          </w:p>
        </w:tc>
        <w:tc>
          <w:tcPr>
            <w:tcW w:w="567"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100%</w:t>
            </w:r>
          </w:p>
        </w:tc>
        <w:tc>
          <w:tcPr>
            <w:tcW w:w="435"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100%</w:t>
            </w:r>
          </w:p>
        </w:tc>
        <w:tc>
          <w:tcPr>
            <w:tcW w:w="400"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不用</w:t>
            </w:r>
          </w:p>
        </w:tc>
        <w:tc>
          <w:tcPr>
            <w:tcW w:w="418" w:type="pct"/>
            <w:tcBorders>
              <w:top w:val="single" w:sz="4" w:space="0" w:color="000000"/>
              <w:left w:val="single" w:sz="4" w:space="0" w:color="000000"/>
              <w:bottom w:val="single" w:sz="4" w:space="0" w:color="000000"/>
              <w:right w:val="single" w:sz="4" w:space="0" w:color="000000"/>
            </w:tcBorders>
          </w:tcPr>
          <w:p w:rsidR="002E5476" w:rsidRDefault="00423E71">
            <w:pP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100%</w:t>
            </w:r>
          </w:p>
        </w:tc>
      </w:tr>
      <w:tr w:rsidR="002E5476">
        <w:trPr>
          <w:trHeight w:val="390"/>
          <w:jc w:val="center"/>
        </w:trPr>
        <w:tc>
          <w:tcPr>
            <w:tcW w:w="7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肼屈嗪</w:t>
            </w:r>
          </w:p>
        </w:tc>
        <w:tc>
          <w:tcPr>
            <w:tcW w:w="7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Style w:val="font41"/>
                <w:rFonts w:eastAsia="宋体"/>
                <w:color w:val="000000" w:themeColor="text1"/>
                <w:sz w:val="21"/>
                <w:szCs w:val="21"/>
              </w:rPr>
              <w:t>10</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50 mg</w:t>
            </w:r>
            <w:r>
              <w:rPr>
                <w:rStyle w:val="font31"/>
                <w:rFonts w:ascii="Times New Roman" w:hAnsi="Times New Roman" w:cs="Times New Roman" w:hint="default"/>
                <w:color w:val="000000" w:themeColor="text1"/>
                <w:sz w:val="21"/>
                <w:szCs w:val="21"/>
              </w:rPr>
              <w:t>，</w:t>
            </w:r>
            <w:r>
              <w:rPr>
                <w:rStyle w:val="font41"/>
                <w:rFonts w:eastAsia="宋体"/>
                <w:color w:val="000000" w:themeColor="text1"/>
                <w:sz w:val="21"/>
                <w:szCs w:val="21"/>
              </w:rPr>
              <w:t>qid</w:t>
            </w:r>
          </w:p>
        </w:tc>
        <w:tc>
          <w:tcPr>
            <w:tcW w:w="500" w:type="pct"/>
            <w:tcBorders>
              <w:top w:val="single" w:sz="4" w:space="0" w:color="000000"/>
              <w:left w:val="single" w:sz="4" w:space="0" w:color="000000"/>
              <w:bottom w:val="single" w:sz="4" w:space="0" w:color="000000"/>
              <w:right w:val="single" w:sz="4" w:space="0" w:color="000000"/>
            </w:tcBorders>
            <w:shd w:val="clear" w:color="auto" w:fill="auto"/>
            <w:vAlign w:val="center"/>
          </w:tcPr>
          <w:p w:rsidR="002E5476" w:rsidRDefault="00423E71">
            <w:pPr>
              <w:widowControl/>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肝</w:t>
            </w:r>
          </w:p>
        </w:tc>
        <w:tc>
          <w:tcPr>
            <w:tcW w:w="585"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q8h</w:t>
            </w:r>
          </w:p>
        </w:tc>
        <w:tc>
          <w:tcPr>
            <w:tcW w:w="584"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q8h</w:t>
            </w:r>
          </w:p>
        </w:tc>
        <w:tc>
          <w:tcPr>
            <w:tcW w:w="567"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严重肾衰竭者禁用，</w:t>
            </w:r>
            <w:r>
              <w:rPr>
                <w:rFonts w:ascii="Times New Roman" w:eastAsia="宋体" w:hAnsi="Times New Roman" w:cs="Times New Roman"/>
                <w:color w:val="000000" w:themeColor="text1"/>
                <w:kern w:val="0"/>
                <w:szCs w:val="21"/>
              </w:rPr>
              <w:t>q8~16h</w:t>
            </w:r>
          </w:p>
        </w:tc>
        <w:tc>
          <w:tcPr>
            <w:tcW w:w="435"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腹膜透析清除，</w:t>
            </w:r>
            <w:r>
              <w:rPr>
                <w:rFonts w:ascii="Times New Roman" w:eastAsia="宋体" w:hAnsi="Times New Roman" w:cs="Times New Roman"/>
                <w:color w:val="000000" w:themeColor="text1"/>
                <w:kern w:val="0"/>
                <w:szCs w:val="21"/>
              </w:rPr>
              <w:t>25%~40</w:t>
            </w: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color w:val="000000" w:themeColor="text1"/>
                <w:kern w:val="0"/>
                <w:szCs w:val="21"/>
              </w:rPr>
              <w:t xml:space="preserve"> q8~16h</w:t>
            </w:r>
          </w:p>
        </w:tc>
        <w:tc>
          <w:tcPr>
            <w:tcW w:w="400"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kern w:val="0"/>
                <w:szCs w:val="21"/>
              </w:rPr>
              <w:t>不用</w:t>
            </w:r>
          </w:p>
        </w:tc>
        <w:tc>
          <w:tcPr>
            <w:tcW w:w="418" w:type="pct"/>
            <w:tcBorders>
              <w:top w:val="single" w:sz="4" w:space="0" w:color="000000"/>
              <w:left w:val="single" w:sz="4" w:space="0" w:color="000000"/>
              <w:bottom w:val="single" w:sz="4" w:space="0" w:color="000000"/>
              <w:right w:val="single" w:sz="4" w:space="0" w:color="000000"/>
            </w:tcBorders>
          </w:tcPr>
          <w:p w:rsidR="002E5476" w:rsidRDefault="00423E71">
            <w:pPr>
              <w:widowControl/>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kern w:val="0"/>
                <w:szCs w:val="21"/>
              </w:rPr>
              <w:t>q8h</w:t>
            </w:r>
          </w:p>
        </w:tc>
      </w:tr>
    </w:tbl>
    <w:p w:rsidR="002E5476" w:rsidRDefault="00423E71">
      <w:pPr>
        <w:jc w:val="left"/>
        <w:rPr>
          <w:rFonts w:ascii="Times New Roman" w:eastAsia="宋体" w:hAnsi="Times New Roman" w:cs="Times New Roman"/>
          <w:color w:val="000000" w:themeColor="text1"/>
          <w:kern w:val="0"/>
          <w:sz w:val="18"/>
          <w:szCs w:val="18"/>
        </w:rPr>
      </w:pPr>
      <w:r>
        <w:rPr>
          <w:rFonts w:ascii="Times New Roman" w:eastAsia="宋体" w:hAnsi="Times New Roman" w:cs="Times New Roman" w:hint="eastAsia"/>
          <w:color w:val="000000" w:themeColor="text1"/>
          <w:kern w:val="0"/>
          <w:sz w:val="18"/>
          <w:szCs w:val="18"/>
        </w:rPr>
        <w:t>注：主要参考国内外药品说明书；</w:t>
      </w:r>
      <w:r>
        <w:rPr>
          <w:rFonts w:ascii="Times New Roman" w:eastAsia="宋体" w:hAnsi="Times New Roman" w:cs="Times New Roman"/>
          <w:color w:val="000000" w:themeColor="text1"/>
          <w:kern w:val="0"/>
          <w:sz w:val="18"/>
          <w:szCs w:val="18"/>
        </w:rPr>
        <w:t>eGFR</w:t>
      </w:r>
      <w:r>
        <w:rPr>
          <w:rFonts w:ascii="Times New Roman" w:eastAsia="宋体" w:hAnsi="Times New Roman" w:cs="Times New Roman" w:hint="eastAsia"/>
          <w:color w:val="000000" w:themeColor="text1"/>
          <w:kern w:val="0"/>
          <w:sz w:val="18"/>
          <w:szCs w:val="18"/>
        </w:rPr>
        <w:t>：估算肾小球滤过率，单位为</w:t>
      </w:r>
      <w:r>
        <w:rPr>
          <w:rFonts w:ascii="Times New Roman" w:eastAsia="宋体" w:hAnsi="Times New Roman" w:cs="Times New Roman"/>
          <w:color w:val="000000" w:themeColor="text1"/>
          <w:sz w:val="18"/>
          <w:szCs w:val="18"/>
        </w:rPr>
        <w:t>ml</w:t>
      </w:r>
      <w:r>
        <w:rPr>
          <w:rFonts w:ascii="Times New Roman" w:eastAsia="宋体" w:hAnsi="Times New Roman" w:cs="Times New Roman" w:hint="eastAsia"/>
          <w:color w:val="000000" w:themeColor="text1"/>
          <w:sz w:val="18"/>
          <w:szCs w:val="18"/>
        </w:rPr>
        <w:t>·</w:t>
      </w:r>
      <w:r>
        <w:rPr>
          <w:rFonts w:ascii="Times New Roman" w:eastAsia="宋体" w:hAnsi="Times New Roman" w:cs="Times New Roman"/>
          <w:color w:val="000000" w:themeColor="text1"/>
          <w:sz w:val="18"/>
          <w:szCs w:val="18"/>
        </w:rPr>
        <w:t>min</w:t>
      </w:r>
      <w:r>
        <w:rPr>
          <w:rFonts w:ascii="Times New Roman" w:eastAsia="宋体" w:hAnsi="Times New Roman" w:cs="Times New Roman"/>
          <w:color w:val="000000" w:themeColor="text1"/>
          <w:sz w:val="18"/>
          <w:szCs w:val="18"/>
          <w:vertAlign w:val="superscript"/>
        </w:rPr>
        <w:t>-1</w:t>
      </w:r>
      <w:r>
        <w:rPr>
          <w:rFonts w:ascii="Times New Roman" w:eastAsia="宋体" w:hAnsi="Times New Roman" w:cs="Times New Roman" w:hint="eastAsia"/>
          <w:color w:val="000000" w:themeColor="text1"/>
          <w:sz w:val="18"/>
          <w:szCs w:val="18"/>
        </w:rPr>
        <w:t>·</w:t>
      </w:r>
      <w:r>
        <w:rPr>
          <w:rFonts w:ascii="Times New Roman" w:eastAsia="宋体" w:hAnsi="Times New Roman" w:cs="Times New Roman"/>
          <w:color w:val="000000" w:themeColor="text1"/>
          <w:sz w:val="18"/>
          <w:szCs w:val="18"/>
        </w:rPr>
        <w:t>(1.73 m</w:t>
      </w:r>
      <w:r>
        <w:rPr>
          <w:rFonts w:ascii="Times New Roman" w:eastAsia="宋体" w:hAnsi="Times New Roman" w:cs="Times New Roman"/>
          <w:color w:val="000000" w:themeColor="text1"/>
          <w:sz w:val="18"/>
          <w:szCs w:val="18"/>
          <w:vertAlign w:val="superscript"/>
        </w:rPr>
        <w:t>2</w:t>
      </w:r>
      <w:r>
        <w:rPr>
          <w:rFonts w:ascii="Times New Roman" w:eastAsia="宋体" w:hAnsi="Times New Roman" w:cs="Times New Roman"/>
          <w:color w:val="000000" w:themeColor="text1"/>
          <w:sz w:val="18"/>
          <w:szCs w:val="18"/>
        </w:rPr>
        <w:t>)</w:t>
      </w:r>
      <w:r>
        <w:rPr>
          <w:rFonts w:ascii="Times New Roman" w:eastAsia="宋体" w:hAnsi="Times New Roman" w:cs="Times New Roman"/>
          <w:color w:val="000000" w:themeColor="text1"/>
          <w:sz w:val="18"/>
          <w:szCs w:val="18"/>
          <w:vertAlign w:val="superscript"/>
        </w:rPr>
        <w:t>-1</w:t>
      </w:r>
      <w:r>
        <w:rPr>
          <w:rFonts w:ascii="Times New Roman" w:eastAsia="宋体" w:hAnsi="Times New Roman" w:cs="Times New Roman" w:hint="eastAsia"/>
          <w:color w:val="000000" w:themeColor="text1"/>
          <w:sz w:val="18"/>
          <w:szCs w:val="18"/>
        </w:rPr>
        <w:t>；</w:t>
      </w:r>
      <w:r>
        <w:rPr>
          <w:rFonts w:ascii="Times New Roman" w:eastAsia="宋体" w:hAnsi="Times New Roman" w:cs="Times New Roman"/>
          <w:color w:val="000000" w:themeColor="text1"/>
          <w:sz w:val="18"/>
          <w:szCs w:val="18"/>
        </w:rPr>
        <w:t>CAPD</w:t>
      </w:r>
      <w:r>
        <w:rPr>
          <w:rFonts w:ascii="Times New Roman" w:eastAsia="宋体" w:hAnsi="Times New Roman" w:cs="Times New Roman" w:hint="eastAsia"/>
          <w:color w:val="000000" w:themeColor="text1"/>
          <w:sz w:val="18"/>
          <w:szCs w:val="18"/>
        </w:rPr>
        <w:t>：持续性不卧床腹膜透析（</w:t>
      </w:r>
      <w:r>
        <w:rPr>
          <w:rFonts w:ascii="Times New Roman" w:eastAsia="宋体" w:hAnsi="Times New Roman" w:cs="Times New Roman"/>
          <w:color w:val="000000" w:themeColor="text1"/>
          <w:sz w:val="18"/>
          <w:szCs w:val="18"/>
        </w:rPr>
        <w:t>continuous ambulatory peritoneal dialysis</w:t>
      </w:r>
      <w:r>
        <w:rPr>
          <w:rFonts w:ascii="Times New Roman" w:eastAsia="宋体" w:hAnsi="Times New Roman" w:cs="Times New Roman" w:hint="eastAsia"/>
          <w:color w:val="000000" w:themeColor="text1"/>
          <w:sz w:val="18"/>
          <w:szCs w:val="18"/>
        </w:rPr>
        <w:t>）；</w:t>
      </w:r>
      <w:r>
        <w:rPr>
          <w:rFonts w:ascii="Times New Roman" w:eastAsia="宋体" w:hAnsi="Times New Roman" w:cs="Times New Roman"/>
          <w:color w:val="000000" w:themeColor="text1"/>
          <w:sz w:val="18"/>
          <w:szCs w:val="18"/>
        </w:rPr>
        <w:t>HD</w:t>
      </w:r>
      <w:r>
        <w:rPr>
          <w:rFonts w:ascii="Times New Roman" w:eastAsia="宋体" w:hAnsi="Times New Roman" w:cs="Times New Roman" w:hint="eastAsia"/>
          <w:color w:val="000000" w:themeColor="text1"/>
          <w:sz w:val="18"/>
          <w:szCs w:val="18"/>
        </w:rPr>
        <w:t>：血液透析（</w:t>
      </w:r>
      <w:r>
        <w:rPr>
          <w:rFonts w:ascii="Times New Roman" w:eastAsia="宋体" w:hAnsi="Times New Roman" w:cs="Times New Roman"/>
          <w:color w:val="000000" w:themeColor="text1"/>
          <w:sz w:val="18"/>
          <w:szCs w:val="18"/>
        </w:rPr>
        <w:t>hemodialysis</w:t>
      </w:r>
      <w:r>
        <w:rPr>
          <w:rFonts w:ascii="Times New Roman" w:eastAsia="宋体" w:hAnsi="Times New Roman" w:cs="Times New Roman" w:hint="eastAsia"/>
          <w:color w:val="000000" w:themeColor="text1"/>
          <w:sz w:val="18"/>
          <w:szCs w:val="18"/>
        </w:rPr>
        <w:t>）；</w:t>
      </w:r>
      <w:r>
        <w:rPr>
          <w:rFonts w:ascii="Times New Roman" w:eastAsia="宋体" w:hAnsi="Times New Roman" w:cs="Times New Roman"/>
          <w:color w:val="000000" w:themeColor="text1"/>
          <w:sz w:val="18"/>
          <w:szCs w:val="18"/>
        </w:rPr>
        <w:t>CRRT</w:t>
      </w:r>
      <w:r>
        <w:rPr>
          <w:rFonts w:ascii="Times New Roman" w:eastAsia="宋体" w:hAnsi="Times New Roman" w:cs="Times New Roman" w:hint="eastAsia"/>
          <w:color w:val="000000" w:themeColor="text1"/>
          <w:sz w:val="18"/>
          <w:szCs w:val="18"/>
        </w:rPr>
        <w:t>：连续性肾脏替代疗法（</w:t>
      </w:r>
      <w:r>
        <w:rPr>
          <w:rFonts w:ascii="Times New Roman" w:eastAsia="宋体" w:hAnsi="Times New Roman" w:cs="Times New Roman"/>
          <w:color w:val="000000" w:themeColor="text1"/>
          <w:sz w:val="18"/>
          <w:szCs w:val="18"/>
        </w:rPr>
        <w:t>continuous renal replacement therapy</w:t>
      </w:r>
      <w:r>
        <w:rPr>
          <w:rFonts w:ascii="Times New Roman" w:eastAsia="宋体" w:hAnsi="Times New Roman" w:cs="Times New Roman" w:hint="eastAsia"/>
          <w:color w:val="000000" w:themeColor="text1"/>
          <w:sz w:val="18"/>
          <w:szCs w:val="18"/>
        </w:rPr>
        <w:t>）；</w:t>
      </w:r>
      <w:r>
        <w:rPr>
          <w:rFonts w:ascii="Times New Roman" w:eastAsia="宋体" w:hAnsi="Times New Roman" w:cs="Times New Roman"/>
          <w:color w:val="000000" w:themeColor="text1"/>
          <w:sz w:val="18"/>
          <w:szCs w:val="18"/>
        </w:rPr>
        <w:t>ACEI</w:t>
      </w:r>
      <w:r>
        <w:rPr>
          <w:rFonts w:ascii="Times New Roman" w:eastAsia="宋体" w:hAnsi="Times New Roman" w:cs="Times New Roman" w:hint="eastAsia"/>
          <w:color w:val="000000" w:themeColor="text1"/>
          <w:sz w:val="18"/>
          <w:szCs w:val="18"/>
        </w:rPr>
        <w:t>：血管紧张素转化酶抑制剂（</w:t>
      </w:r>
      <w:r>
        <w:rPr>
          <w:rFonts w:ascii="Times New Roman" w:eastAsia="宋体" w:hAnsi="Times New Roman" w:cs="Times New Roman"/>
          <w:color w:val="000000" w:themeColor="text1"/>
          <w:sz w:val="18"/>
          <w:szCs w:val="18"/>
        </w:rPr>
        <w:t>angiotensin converting enzyme inhibitor</w:t>
      </w:r>
      <w:r>
        <w:rPr>
          <w:rFonts w:ascii="Times New Roman" w:eastAsia="宋体" w:hAnsi="Times New Roman" w:cs="Times New Roman" w:hint="eastAsia"/>
          <w:color w:val="000000" w:themeColor="text1"/>
          <w:sz w:val="18"/>
          <w:szCs w:val="18"/>
        </w:rPr>
        <w:t>）；</w:t>
      </w:r>
      <w:r>
        <w:rPr>
          <w:rFonts w:ascii="Times New Roman" w:eastAsia="宋体" w:hAnsi="Times New Roman" w:cs="Times New Roman"/>
          <w:color w:val="000000" w:themeColor="text1"/>
          <w:sz w:val="18"/>
          <w:szCs w:val="18"/>
        </w:rPr>
        <w:t>ARB</w:t>
      </w:r>
      <w:r>
        <w:rPr>
          <w:rFonts w:ascii="Times New Roman" w:eastAsia="宋体" w:hAnsi="Times New Roman" w:cs="Times New Roman" w:hint="eastAsia"/>
          <w:color w:val="000000" w:themeColor="text1"/>
          <w:sz w:val="18"/>
          <w:szCs w:val="18"/>
        </w:rPr>
        <w:t>：血管紧张素Ⅱ受体阻滞剂（</w:t>
      </w:r>
      <w:r>
        <w:rPr>
          <w:rFonts w:ascii="Times New Roman" w:eastAsia="宋体" w:hAnsi="Times New Roman" w:cs="Times New Roman"/>
          <w:color w:val="000000" w:themeColor="text1"/>
          <w:sz w:val="18"/>
          <w:szCs w:val="18"/>
        </w:rPr>
        <w:t>angiotensin</w:t>
      </w:r>
      <w:r>
        <w:rPr>
          <w:rFonts w:ascii="Times New Roman" w:eastAsia="宋体" w:hAnsi="Times New Roman" w:cs="Times New Roman" w:hint="eastAsia"/>
          <w:color w:val="000000" w:themeColor="text1"/>
          <w:sz w:val="18"/>
          <w:szCs w:val="18"/>
        </w:rPr>
        <w:t>Ⅱ</w:t>
      </w:r>
      <w:r>
        <w:rPr>
          <w:rFonts w:ascii="Times New Roman" w:eastAsia="宋体" w:hAnsi="Times New Roman" w:cs="Times New Roman"/>
          <w:color w:val="000000" w:themeColor="text1"/>
          <w:sz w:val="18"/>
          <w:szCs w:val="18"/>
        </w:rPr>
        <w:t>receptor blocker</w:t>
      </w:r>
      <w:r>
        <w:rPr>
          <w:rFonts w:ascii="Times New Roman" w:eastAsia="宋体" w:hAnsi="Times New Roman" w:cs="Times New Roman" w:hint="eastAsia"/>
          <w:color w:val="000000" w:themeColor="text1"/>
          <w:sz w:val="18"/>
          <w:szCs w:val="18"/>
        </w:rPr>
        <w:t>）；</w:t>
      </w:r>
      <w:r>
        <w:rPr>
          <w:rFonts w:ascii="Times New Roman" w:eastAsia="宋体" w:hAnsi="Times New Roman" w:cs="Times New Roman"/>
          <w:color w:val="000000" w:themeColor="text1"/>
          <w:sz w:val="18"/>
          <w:szCs w:val="18"/>
        </w:rPr>
        <w:t>CCB</w:t>
      </w:r>
      <w:r>
        <w:rPr>
          <w:rFonts w:ascii="Times New Roman" w:eastAsia="宋体" w:hAnsi="Times New Roman" w:cs="Times New Roman" w:hint="eastAsia"/>
          <w:color w:val="000000" w:themeColor="text1"/>
          <w:sz w:val="18"/>
          <w:szCs w:val="18"/>
        </w:rPr>
        <w:t>：钙通道阻滞剂（</w:t>
      </w:r>
      <w:r>
        <w:rPr>
          <w:rFonts w:ascii="Times New Roman" w:eastAsia="宋体" w:hAnsi="Times New Roman" w:cs="Times New Roman"/>
          <w:color w:val="000000" w:themeColor="text1"/>
          <w:sz w:val="18"/>
          <w:szCs w:val="18"/>
        </w:rPr>
        <w:t>calcium channel blocker</w:t>
      </w:r>
      <w:r>
        <w:rPr>
          <w:rFonts w:ascii="Times New Roman" w:eastAsia="宋体" w:hAnsi="Times New Roman" w:cs="Times New Roman" w:hint="eastAsia"/>
          <w:color w:val="000000" w:themeColor="text1"/>
          <w:sz w:val="18"/>
          <w:szCs w:val="18"/>
        </w:rPr>
        <w:t>）；</w:t>
      </w:r>
      <w:r>
        <w:rPr>
          <w:rFonts w:ascii="Times New Roman" w:eastAsia="宋体" w:hAnsi="Times New Roman" w:cs="Times New Roman"/>
          <w:color w:val="000000" w:themeColor="text1"/>
          <w:sz w:val="18"/>
          <w:szCs w:val="18"/>
        </w:rPr>
        <w:t>AUC</w:t>
      </w:r>
      <w:r>
        <w:rPr>
          <w:rFonts w:ascii="Times New Roman" w:eastAsia="宋体" w:hAnsi="Times New Roman" w:cs="Times New Roman" w:hint="eastAsia"/>
          <w:color w:val="000000" w:themeColor="text1"/>
          <w:sz w:val="18"/>
          <w:szCs w:val="18"/>
        </w:rPr>
        <w:t>：血药浓度</w:t>
      </w:r>
      <w:r>
        <w:rPr>
          <w:rFonts w:ascii="Times New Roman" w:eastAsia="宋体" w:hAnsi="Times New Roman" w:cs="Times New Roman"/>
          <w:color w:val="000000" w:themeColor="text1"/>
          <w:sz w:val="18"/>
          <w:szCs w:val="18"/>
        </w:rPr>
        <w:t>-</w:t>
      </w:r>
      <w:r>
        <w:rPr>
          <w:rFonts w:ascii="Times New Roman" w:eastAsia="宋体" w:hAnsi="Times New Roman" w:cs="Times New Roman" w:hint="eastAsia"/>
          <w:color w:val="000000" w:themeColor="text1"/>
          <w:sz w:val="18"/>
          <w:szCs w:val="18"/>
        </w:rPr>
        <w:t>时间曲线下面积；</w:t>
      </w:r>
      <w:r>
        <w:rPr>
          <w:rFonts w:ascii="Times New Roman" w:eastAsia="宋体" w:hAnsi="Times New Roman" w:cs="Times New Roman" w:hint="eastAsia"/>
          <w:color w:val="000000" w:themeColor="text1"/>
          <w:kern w:val="0"/>
          <w:sz w:val="18"/>
          <w:szCs w:val="18"/>
        </w:rPr>
        <w:t>剂量调整方面参考以下文献：</w:t>
      </w:r>
      <w:r>
        <w:rPr>
          <w:rFonts w:ascii="Times New Roman" w:eastAsia="宋体" w:hAnsi="Times New Roman" w:cs="Times New Roman"/>
          <w:color w:val="000000" w:themeColor="text1"/>
          <w:sz w:val="18"/>
          <w:szCs w:val="18"/>
        </w:rPr>
        <w:t>[101][102][103][23]</w:t>
      </w:r>
    </w:p>
    <w:p w:rsidR="002E5476" w:rsidRDefault="002E5476">
      <w:pPr>
        <w:spacing w:line="360" w:lineRule="auto"/>
        <w:ind w:firstLineChars="200" w:firstLine="422"/>
        <w:jc w:val="center"/>
        <w:outlineLvl w:val="1"/>
        <w:rPr>
          <w:rFonts w:ascii="Times New Roman" w:eastAsia="宋体" w:hAnsi="Times New Roman" w:cs="Times New Roman"/>
          <w:b/>
          <w:color w:val="000000" w:themeColor="text1"/>
          <w:szCs w:val="21"/>
        </w:rPr>
      </w:pPr>
    </w:p>
    <w:p w:rsidR="002E5476" w:rsidRDefault="00423E71">
      <w:pPr>
        <w:spacing w:line="360" w:lineRule="auto"/>
        <w:ind w:firstLineChars="200" w:firstLine="482"/>
        <w:jc w:val="center"/>
        <w:outlineLvl w:val="1"/>
        <w:rPr>
          <w:rFonts w:ascii="Times New Roman" w:eastAsia="宋体" w:hAnsi="Times New Roman" w:cs="Times New Roman"/>
          <w:b/>
          <w:color w:val="000000" w:themeColor="text1"/>
          <w:sz w:val="24"/>
          <w:szCs w:val="24"/>
        </w:rPr>
      </w:pPr>
      <w:bookmarkStart w:id="38" w:name="_Toc1334893861_WPSOffice_Level1"/>
      <w:r>
        <w:rPr>
          <w:rFonts w:ascii="Times New Roman" w:eastAsia="宋体" w:hAnsi="Times New Roman" w:cs="Times New Roman" w:hint="eastAsia"/>
          <w:b/>
          <w:color w:val="000000" w:themeColor="text1"/>
          <w:sz w:val="24"/>
          <w:szCs w:val="24"/>
        </w:rPr>
        <w:t>表</w:t>
      </w:r>
      <w:r>
        <w:rPr>
          <w:rFonts w:ascii="Times New Roman" w:eastAsia="宋体" w:hAnsi="Times New Roman" w:cs="Times New Roman"/>
          <w:b/>
          <w:color w:val="000000" w:themeColor="text1"/>
          <w:sz w:val="24"/>
          <w:szCs w:val="24"/>
        </w:rPr>
        <w:t xml:space="preserve">6 </w:t>
      </w:r>
      <w:r>
        <w:rPr>
          <w:rFonts w:ascii="Times New Roman" w:eastAsia="宋体" w:hAnsi="Times New Roman" w:cs="Times New Roman" w:hint="eastAsia"/>
          <w:b/>
          <w:color w:val="000000" w:themeColor="text1"/>
          <w:sz w:val="24"/>
          <w:szCs w:val="24"/>
        </w:rPr>
        <w:t>妊娠合并高血压常用口服降压药</w:t>
      </w:r>
      <w:bookmarkEnd w:id="38"/>
      <w:r>
        <w:rPr>
          <w:rFonts w:ascii="Times New Roman" w:eastAsia="宋体" w:hAnsi="Times New Roman" w:cs="Times New Roman" w:hint="eastAsia"/>
          <w:b/>
          <w:color w:val="000000" w:themeColor="text1"/>
          <w:sz w:val="24"/>
          <w:szCs w:val="24"/>
        </w:rPr>
        <w:t>物</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7" w:type="dxa"/>
          <w:left w:w="17" w:type="dxa"/>
          <w:bottom w:w="17" w:type="dxa"/>
          <w:right w:w="17" w:type="dxa"/>
        </w:tblCellMar>
        <w:tblLook w:val="04A0"/>
      </w:tblPr>
      <w:tblGrid>
        <w:gridCol w:w="1173"/>
        <w:gridCol w:w="868"/>
        <w:gridCol w:w="938"/>
        <w:gridCol w:w="793"/>
        <w:gridCol w:w="1155"/>
        <w:gridCol w:w="1300"/>
        <w:gridCol w:w="2598"/>
        <w:gridCol w:w="1676"/>
      </w:tblGrid>
      <w:tr w:rsidR="002E5476">
        <w:trPr>
          <w:trHeight w:val="624"/>
        </w:trPr>
        <w:tc>
          <w:tcPr>
            <w:tcW w:w="558" w:type="pct"/>
            <w:shd w:val="clear" w:color="auto" w:fill="D9D9D9"/>
            <w:vAlign w:val="center"/>
          </w:tcPr>
          <w:p w:rsidR="002E5476" w:rsidRDefault="00423E71">
            <w:pPr>
              <w:widowControl/>
              <w:jc w:val="center"/>
              <w:textAlignment w:val="center"/>
              <w:rPr>
                <w:rFonts w:ascii="Times New Roman" w:eastAsia="宋体" w:hAnsi="Times New Roman" w:cs="Times New Roman"/>
                <w:b/>
                <w:bCs/>
                <w:color w:val="000000" w:themeColor="text1"/>
                <w:szCs w:val="21"/>
              </w:rPr>
            </w:pPr>
            <w:r>
              <w:rPr>
                <w:rFonts w:ascii="Times New Roman" w:eastAsia="宋体" w:hAnsi="Times New Roman" w:cs="Times New Roman" w:hint="eastAsia"/>
                <w:b/>
                <w:bCs/>
                <w:color w:val="000000" w:themeColor="text1"/>
                <w:kern w:val="0"/>
                <w:szCs w:val="21"/>
              </w:rPr>
              <w:t>药物</w:t>
            </w:r>
          </w:p>
        </w:tc>
        <w:tc>
          <w:tcPr>
            <w:tcW w:w="413" w:type="pct"/>
            <w:shd w:val="clear" w:color="auto" w:fill="D9D9D9"/>
            <w:vAlign w:val="center"/>
          </w:tcPr>
          <w:p w:rsidR="002E5476" w:rsidRDefault="00423E71">
            <w:pPr>
              <w:widowControl/>
              <w:jc w:val="center"/>
              <w:textAlignment w:val="center"/>
              <w:rPr>
                <w:rFonts w:ascii="Times New Roman" w:eastAsia="宋体" w:hAnsi="Times New Roman" w:cs="Times New Roman"/>
                <w:b/>
                <w:bCs/>
                <w:color w:val="000000" w:themeColor="text1"/>
                <w:szCs w:val="21"/>
              </w:rPr>
            </w:pPr>
            <w:r>
              <w:rPr>
                <w:rFonts w:ascii="Times New Roman" w:eastAsia="宋体" w:hAnsi="Times New Roman" w:cs="Times New Roman"/>
                <w:b/>
                <w:bCs/>
                <w:color w:val="000000" w:themeColor="text1"/>
                <w:kern w:val="0"/>
                <w:szCs w:val="21"/>
              </w:rPr>
              <w:t>FDA</w:t>
            </w:r>
            <w:r>
              <w:rPr>
                <w:rFonts w:ascii="Times New Roman" w:eastAsia="宋体" w:hAnsi="Times New Roman" w:cs="Times New Roman" w:hint="eastAsia"/>
                <w:b/>
                <w:bCs/>
                <w:color w:val="000000" w:themeColor="text1"/>
                <w:kern w:val="0"/>
                <w:szCs w:val="21"/>
              </w:rPr>
              <w:t>妊娠分级（旧）</w:t>
            </w:r>
          </w:p>
        </w:tc>
        <w:tc>
          <w:tcPr>
            <w:tcW w:w="446" w:type="pct"/>
            <w:shd w:val="clear" w:color="auto" w:fill="D9D9D9"/>
            <w:vAlign w:val="center"/>
          </w:tcPr>
          <w:p w:rsidR="002E5476" w:rsidRDefault="00423E71">
            <w:pPr>
              <w:widowControl/>
              <w:jc w:val="center"/>
              <w:textAlignment w:val="center"/>
              <w:rPr>
                <w:rFonts w:ascii="Times New Roman" w:eastAsia="宋体" w:hAnsi="Times New Roman" w:cs="Times New Roman"/>
                <w:b/>
                <w:bCs/>
                <w:color w:val="000000" w:themeColor="text1"/>
                <w:szCs w:val="21"/>
              </w:rPr>
            </w:pPr>
            <w:r>
              <w:rPr>
                <w:rFonts w:ascii="Times New Roman" w:eastAsia="宋体" w:hAnsi="Times New Roman" w:cs="Times New Roman" w:hint="eastAsia"/>
                <w:b/>
                <w:bCs/>
                <w:color w:val="000000" w:themeColor="text1"/>
                <w:kern w:val="0"/>
                <w:szCs w:val="21"/>
              </w:rPr>
              <w:t>通过胎盘</w:t>
            </w:r>
          </w:p>
        </w:tc>
        <w:tc>
          <w:tcPr>
            <w:tcW w:w="377" w:type="pct"/>
            <w:shd w:val="clear" w:color="auto" w:fill="D9D9D9"/>
            <w:vAlign w:val="center"/>
          </w:tcPr>
          <w:p w:rsidR="002E5476" w:rsidRDefault="00423E71">
            <w:pPr>
              <w:widowControl/>
              <w:jc w:val="center"/>
              <w:textAlignment w:val="center"/>
              <w:rPr>
                <w:rFonts w:ascii="Times New Roman" w:eastAsia="宋体" w:hAnsi="Times New Roman" w:cs="Times New Roman"/>
                <w:b/>
                <w:bCs/>
                <w:color w:val="000000" w:themeColor="text1"/>
                <w:szCs w:val="21"/>
              </w:rPr>
            </w:pPr>
            <w:r>
              <w:rPr>
                <w:rFonts w:ascii="Times New Roman" w:eastAsia="宋体" w:hAnsi="Times New Roman" w:cs="Times New Roman" w:hint="eastAsia"/>
                <w:b/>
                <w:bCs/>
                <w:color w:val="000000" w:themeColor="text1"/>
                <w:kern w:val="0"/>
                <w:szCs w:val="21"/>
              </w:rPr>
              <w:t>致畸作用</w:t>
            </w:r>
          </w:p>
        </w:tc>
        <w:tc>
          <w:tcPr>
            <w:tcW w:w="550" w:type="pct"/>
            <w:shd w:val="clear" w:color="auto" w:fill="D9D9D9"/>
            <w:vAlign w:val="center"/>
          </w:tcPr>
          <w:p w:rsidR="002E5476" w:rsidRDefault="00423E71">
            <w:pPr>
              <w:widowControl/>
              <w:jc w:val="center"/>
              <w:textAlignment w:val="center"/>
              <w:rPr>
                <w:rFonts w:ascii="Times New Roman" w:eastAsia="宋体" w:hAnsi="Times New Roman" w:cs="Times New Roman"/>
                <w:b/>
                <w:bCs/>
                <w:color w:val="000000" w:themeColor="text1"/>
                <w:szCs w:val="21"/>
              </w:rPr>
            </w:pPr>
            <w:r>
              <w:rPr>
                <w:rFonts w:ascii="Times New Roman" w:eastAsia="宋体" w:hAnsi="Times New Roman" w:cs="Times New Roman" w:hint="eastAsia"/>
                <w:b/>
                <w:bCs/>
                <w:color w:val="000000" w:themeColor="text1"/>
                <w:kern w:val="0"/>
                <w:szCs w:val="21"/>
              </w:rPr>
              <w:t>是否影响胎儿</w:t>
            </w:r>
            <w:r>
              <w:rPr>
                <w:rFonts w:ascii="Times New Roman" w:eastAsia="宋体" w:hAnsi="Times New Roman" w:cs="Times New Roman"/>
                <w:b/>
                <w:bCs/>
                <w:color w:val="000000" w:themeColor="text1"/>
                <w:kern w:val="0"/>
                <w:szCs w:val="21"/>
              </w:rPr>
              <w:t>/</w:t>
            </w:r>
            <w:r>
              <w:rPr>
                <w:rFonts w:ascii="Times New Roman" w:eastAsia="宋体" w:hAnsi="Times New Roman" w:cs="Times New Roman" w:hint="eastAsia"/>
                <w:b/>
                <w:bCs/>
                <w:color w:val="000000" w:themeColor="text1"/>
                <w:kern w:val="0"/>
                <w:szCs w:val="21"/>
              </w:rPr>
              <w:t>新生儿</w:t>
            </w:r>
          </w:p>
        </w:tc>
        <w:tc>
          <w:tcPr>
            <w:tcW w:w="619" w:type="pct"/>
            <w:shd w:val="clear" w:color="auto" w:fill="D9D9D9"/>
            <w:vAlign w:val="center"/>
          </w:tcPr>
          <w:p w:rsidR="002E5476" w:rsidRDefault="00423E71">
            <w:pPr>
              <w:widowControl/>
              <w:jc w:val="center"/>
              <w:textAlignment w:val="center"/>
              <w:rPr>
                <w:rFonts w:ascii="Times New Roman" w:eastAsia="宋体" w:hAnsi="Times New Roman" w:cs="Times New Roman"/>
                <w:b/>
                <w:bCs/>
                <w:color w:val="000000" w:themeColor="text1"/>
                <w:szCs w:val="21"/>
              </w:rPr>
            </w:pPr>
            <w:r>
              <w:rPr>
                <w:rFonts w:ascii="Times New Roman" w:eastAsia="宋体" w:hAnsi="Times New Roman" w:cs="Times New Roman" w:hint="eastAsia"/>
                <w:b/>
                <w:bCs/>
                <w:color w:val="000000" w:themeColor="text1"/>
                <w:kern w:val="0"/>
                <w:szCs w:val="21"/>
              </w:rPr>
              <w:t>妊娠期安全性</w:t>
            </w:r>
          </w:p>
        </w:tc>
        <w:tc>
          <w:tcPr>
            <w:tcW w:w="1237" w:type="pct"/>
            <w:shd w:val="clear" w:color="auto" w:fill="D9D9D9" w:themeFill="background1" w:themeFillShade="D9"/>
            <w:vAlign w:val="center"/>
          </w:tcPr>
          <w:p w:rsidR="002E5476" w:rsidRDefault="00423E71">
            <w:pPr>
              <w:widowControl/>
              <w:jc w:val="center"/>
              <w:textAlignment w:val="center"/>
              <w:rPr>
                <w:rFonts w:ascii="Times New Roman" w:eastAsia="宋体" w:hAnsi="Times New Roman" w:cs="Times New Roman"/>
                <w:b/>
                <w:bCs/>
                <w:color w:val="000000" w:themeColor="text1"/>
                <w:kern w:val="0"/>
                <w:szCs w:val="21"/>
              </w:rPr>
            </w:pPr>
            <w:r>
              <w:rPr>
                <w:rFonts w:ascii="Times New Roman" w:eastAsia="宋体" w:hAnsi="Times New Roman" w:cs="Times New Roman" w:hint="eastAsia"/>
                <w:b/>
                <w:bCs/>
                <w:color w:val="000000" w:themeColor="text1"/>
                <w:kern w:val="0"/>
                <w:szCs w:val="21"/>
              </w:rPr>
              <w:t>用法用量</w:t>
            </w:r>
          </w:p>
        </w:tc>
        <w:tc>
          <w:tcPr>
            <w:tcW w:w="798" w:type="pct"/>
            <w:shd w:val="clear" w:color="auto" w:fill="D9D9D9"/>
            <w:vAlign w:val="center"/>
          </w:tcPr>
          <w:p w:rsidR="002E5476" w:rsidRDefault="00423E71">
            <w:pPr>
              <w:widowControl/>
              <w:jc w:val="center"/>
              <w:textAlignment w:val="center"/>
              <w:rPr>
                <w:rFonts w:ascii="Times New Roman" w:eastAsia="宋体" w:hAnsi="Times New Roman" w:cs="Times New Roman"/>
                <w:b/>
                <w:bCs/>
                <w:color w:val="000000" w:themeColor="text1"/>
                <w:kern w:val="0"/>
                <w:szCs w:val="21"/>
              </w:rPr>
            </w:pPr>
            <w:r>
              <w:rPr>
                <w:rFonts w:ascii="Times New Roman" w:eastAsia="宋体" w:hAnsi="Times New Roman" w:cs="Times New Roman" w:hint="eastAsia"/>
                <w:b/>
                <w:bCs/>
                <w:color w:val="000000" w:themeColor="text1"/>
                <w:kern w:val="0"/>
                <w:szCs w:val="21"/>
              </w:rPr>
              <w:t>注意事项</w:t>
            </w:r>
          </w:p>
        </w:tc>
      </w:tr>
      <w:tr w:rsidR="002E5476">
        <w:trPr>
          <w:trHeight w:val="1023"/>
        </w:trPr>
        <w:tc>
          <w:tcPr>
            <w:tcW w:w="558" w:type="pct"/>
            <w:shd w:val="clear" w:color="auto" w:fill="auto"/>
            <w:vAlign w:val="center"/>
          </w:tcPr>
          <w:p w:rsidR="002E5476" w:rsidRDefault="00423E71">
            <w:pPr>
              <w:widowControl/>
              <w:jc w:val="left"/>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甲基多巴</w:t>
            </w:r>
          </w:p>
        </w:tc>
        <w:tc>
          <w:tcPr>
            <w:tcW w:w="413" w:type="pct"/>
            <w:shd w:val="clear" w:color="auto" w:fill="auto"/>
            <w:vAlign w:val="center"/>
          </w:tcPr>
          <w:p w:rsidR="002E5476" w:rsidRDefault="00423E71">
            <w:pPr>
              <w:widowControl/>
              <w:jc w:val="left"/>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B</w:t>
            </w:r>
          </w:p>
        </w:tc>
        <w:tc>
          <w:tcPr>
            <w:tcW w:w="446" w:type="pct"/>
            <w:shd w:val="clear" w:color="auto" w:fill="auto"/>
            <w:vAlign w:val="center"/>
          </w:tcPr>
          <w:p w:rsidR="002E5476" w:rsidRDefault="00423E71">
            <w:pPr>
              <w:widowControl/>
              <w:jc w:val="left"/>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可</w:t>
            </w:r>
          </w:p>
        </w:tc>
        <w:tc>
          <w:tcPr>
            <w:tcW w:w="377" w:type="pct"/>
            <w:shd w:val="clear" w:color="auto" w:fill="auto"/>
            <w:vAlign w:val="center"/>
          </w:tcPr>
          <w:p w:rsidR="002E5476" w:rsidRDefault="00423E71">
            <w:pPr>
              <w:widowControl/>
              <w:jc w:val="left"/>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无</w:t>
            </w:r>
          </w:p>
        </w:tc>
        <w:tc>
          <w:tcPr>
            <w:tcW w:w="550" w:type="pct"/>
            <w:shd w:val="clear" w:color="auto" w:fill="auto"/>
            <w:vAlign w:val="center"/>
          </w:tcPr>
          <w:p w:rsidR="002E5476" w:rsidRDefault="00423E71">
            <w:pPr>
              <w:widowControl/>
              <w:jc w:val="left"/>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否</w:t>
            </w:r>
          </w:p>
        </w:tc>
        <w:tc>
          <w:tcPr>
            <w:tcW w:w="619" w:type="pct"/>
            <w:shd w:val="clear" w:color="auto" w:fill="auto"/>
            <w:vAlign w:val="center"/>
          </w:tcPr>
          <w:p w:rsidR="002E5476" w:rsidRDefault="00423E71">
            <w:pPr>
              <w:widowControl/>
              <w:jc w:val="left"/>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首选，母体有不良反应时限制使用（如嗜睡）</w:t>
            </w:r>
          </w:p>
        </w:tc>
        <w:tc>
          <w:tcPr>
            <w:tcW w:w="1237" w:type="pct"/>
          </w:tcPr>
          <w:p w:rsidR="002E5476" w:rsidRDefault="00423E71">
            <w:pPr>
              <w:widowControl/>
              <w:jc w:val="left"/>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szCs w:val="21"/>
              </w:rPr>
              <w:t>200~500 mg/</w:t>
            </w:r>
            <w:r>
              <w:rPr>
                <w:rFonts w:ascii="Times New Roman" w:eastAsia="宋体" w:hAnsi="Times New Roman" w:cs="Times New Roman" w:hint="eastAsia"/>
                <w:color w:val="000000" w:themeColor="text1"/>
                <w:szCs w:val="21"/>
              </w:rPr>
              <w:t>次，每日</w:t>
            </w:r>
            <w:r>
              <w:rPr>
                <w:rFonts w:ascii="Times New Roman" w:eastAsia="宋体" w:hAnsi="Times New Roman" w:cs="Times New Roman"/>
                <w:color w:val="000000" w:themeColor="text1"/>
                <w:szCs w:val="21"/>
              </w:rPr>
              <w:t>2~4</w:t>
            </w:r>
            <w:r>
              <w:rPr>
                <w:rFonts w:ascii="Times New Roman" w:eastAsia="宋体" w:hAnsi="Times New Roman" w:cs="Times New Roman" w:hint="eastAsia"/>
                <w:color w:val="000000" w:themeColor="text1"/>
                <w:szCs w:val="21"/>
              </w:rPr>
              <w:t>次</w:t>
            </w:r>
          </w:p>
        </w:tc>
        <w:tc>
          <w:tcPr>
            <w:tcW w:w="798" w:type="pct"/>
          </w:tcPr>
          <w:p w:rsidR="002E5476" w:rsidRDefault="00423E71">
            <w:pPr>
              <w:widowControl/>
              <w:jc w:val="left"/>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szCs w:val="21"/>
              </w:rPr>
              <w:t>抑郁、过度镇静、低血压</w:t>
            </w:r>
          </w:p>
        </w:tc>
      </w:tr>
      <w:tr w:rsidR="002E5476">
        <w:trPr>
          <w:trHeight w:val="1034"/>
        </w:trPr>
        <w:tc>
          <w:tcPr>
            <w:tcW w:w="558" w:type="pct"/>
            <w:shd w:val="clear" w:color="auto" w:fill="auto"/>
            <w:vAlign w:val="center"/>
          </w:tcPr>
          <w:p w:rsidR="002E5476" w:rsidRDefault="00423E71">
            <w:pPr>
              <w:widowControl/>
              <w:jc w:val="left"/>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α</w:t>
            </w:r>
            <w:r>
              <w:rPr>
                <w:rFonts w:ascii="Times New Roman" w:eastAsia="宋体" w:hAnsi="Times New Roman" w:cs="Times New Roman" w:hint="eastAsia"/>
                <w:color w:val="000000" w:themeColor="text1"/>
                <w:kern w:val="0"/>
                <w:szCs w:val="21"/>
              </w:rPr>
              <w:t>、</w:t>
            </w:r>
            <w:r>
              <w:rPr>
                <w:rFonts w:ascii="Times New Roman" w:eastAsia="宋体" w:hAnsi="Times New Roman" w:cs="Times New Roman"/>
                <w:color w:val="000000" w:themeColor="text1"/>
                <w:kern w:val="0"/>
                <w:szCs w:val="21"/>
              </w:rPr>
              <w:t>β</w:t>
            </w:r>
            <w:r>
              <w:rPr>
                <w:rFonts w:ascii="Times New Roman" w:eastAsia="宋体" w:hAnsi="Times New Roman" w:cs="Times New Roman" w:hint="eastAsia"/>
                <w:color w:val="000000" w:themeColor="text1"/>
                <w:kern w:val="0"/>
                <w:szCs w:val="21"/>
              </w:rPr>
              <w:t>受体阻滞剂（拉贝洛尔）</w:t>
            </w:r>
          </w:p>
        </w:tc>
        <w:tc>
          <w:tcPr>
            <w:tcW w:w="413" w:type="pct"/>
            <w:shd w:val="clear" w:color="auto" w:fill="auto"/>
            <w:vAlign w:val="center"/>
          </w:tcPr>
          <w:p w:rsidR="002E5476" w:rsidRDefault="00423E71">
            <w:pPr>
              <w:widowControl/>
              <w:jc w:val="left"/>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C</w:t>
            </w:r>
          </w:p>
        </w:tc>
        <w:tc>
          <w:tcPr>
            <w:tcW w:w="446" w:type="pct"/>
            <w:shd w:val="clear" w:color="auto" w:fill="auto"/>
            <w:vAlign w:val="center"/>
          </w:tcPr>
          <w:p w:rsidR="002E5476" w:rsidRDefault="00423E71">
            <w:pPr>
              <w:widowControl/>
              <w:jc w:val="left"/>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可</w:t>
            </w:r>
          </w:p>
        </w:tc>
        <w:tc>
          <w:tcPr>
            <w:tcW w:w="377" w:type="pct"/>
            <w:shd w:val="clear" w:color="auto" w:fill="auto"/>
            <w:vAlign w:val="center"/>
          </w:tcPr>
          <w:p w:rsidR="002E5476" w:rsidRDefault="00423E71">
            <w:pPr>
              <w:widowControl/>
              <w:jc w:val="left"/>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无</w:t>
            </w:r>
          </w:p>
        </w:tc>
        <w:tc>
          <w:tcPr>
            <w:tcW w:w="550" w:type="pct"/>
            <w:shd w:val="clear" w:color="auto" w:fill="auto"/>
            <w:vAlign w:val="center"/>
          </w:tcPr>
          <w:p w:rsidR="002E5476" w:rsidRDefault="00423E71">
            <w:pPr>
              <w:widowControl/>
              <w:jc w:val="left"/>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部分研究显示胎儿生长受限；妊娠早期使用阿替洛尔导致胎儿心动过缓</w:t>
            </w:r>
          </w:p>
        </w:tc>
        <w:tc>
          <w:tcPr>
            <w:tcW w:w="619" w:type="pct"/>
            <w:shd w:val="clear" w:color="auto" w:fill="auto"/>
            <w:vAlign w:val="center"/>
          </w:tcPr>
          <w:p w:rsidR="002E5476" w:rsidRDefault="00423E71">
            <w:pPr>
              <w:widowControl/>
              <w:jc w:val="left"/>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首选</w:t>
            </w:r>
          </w:p>
        </w:tc>
        <w:tc>
          <w:tcPr>
            <w:tcW w:w="1237" w:type="pct"/>
          </w:tcPr>
          <w:p w:rsidR="002E5476" w:rsidRDefault="00423E71">
            <w:pPr>
              <w:widowControl/>
              <w:jc w:val="left"/>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拉贝洛尔</w:t>
            </w:r>
            <w:r>
              <w:rPr>
                <w:rFonts w:ascii="Times New Roman" w:eastAsia="宋体" w:hAnsi="Times New Roman" w:cs="Times New Roman" w:hint="eastAsia"/>
                <w:color w:val="000000" w:themeColor="text1"/>
                <w:szCs w:val="21"/>
              </w:rPr>
              <w:t>口服用法：</w:t>
            </w:r>
            <w:r>
              <w:rPr>
                <w:rFonts w:ascii="Times New Roman" w:eastAsia="宋体" w:hAnsi="Times New Roman" w:cs="Times New Roman"/>
                <w:color w:val="000000" w:themeColor="text1"/>
                <w:szCs w:val="21"/>
              </w:rPr>
              <w:t>50~150 mg/</w:t>
            </w:r>
            <w:r>
              <w:rPr>
                <w:rFonts w:ascii="Times New Roman" w:eastAsia="宋体" w:hAnsi="Times New Roman" w:cs="Times New Roman" w:hint="eastAsia"/>
                <w:color w:val="000000" w:themeColor="text1"/>
                <w:szCs w:val="21"/>
              </w:rPr>
              <w:t>次，</w:t>
            </w:r>
            <w:r>
              <w:rPr>
                <w:rFonts w:ascii="Times New Roman" w:eastAsia="宋体" w:hAnsi="Times New Roman" w:cs="Times New Roman"/>
                <w:color w:val="000000" w:themeColor="text1"/>
                <w:szCs w:val="21"/>
              </w:rPr>
              <w:t>3~4</w:t>
            </w:r>
            <w:r>
              <w:rPr>
                <w:rFonts w:ascii="Times New Roman" w:eastAsia="宋体" w:hAnsi="Times New Roman" w:cs="Times New Roman" w:hint="eastAsia"/>
                <w:color w:val="000000" w:themeColor="text1"/>
                <w:szCs w:val="21"/>
              </w:rPr>
              <w:t>次</w:t>
            </w:r>
            <w:r>
              <w:rPr>
                <w:rFonts w:ascii="Times New Roman" w:eastAsia="宋体" w:hAnsi="Times New Roman" w:cs="Times New Roman"/>
                <w:color w:val="000000" w:themeColor="text1"/>
                <w:szCs w:val="21"/>
              </w:rPr>
              <w:t>/d</w:t>
            </w:r>
            <w:r>
              <w:rPr>
                <w:rFonts w:ascii="Times New Roman" w:eastAsia="宋体" w:hAnsi="Times New Roman" w:cs="Times New Roman" w:hint="eastAsia"/>
                <w:color w:val="000000" w:themeColor="text1"/>
                <w:szCs w:val="21"/>
              </w:rPr>
              <w:t>，最大</w:t>
            </w:r>
            <w:r>
              <w:rPr>
                <w:rFonts w:ascii="Times New Roman" w:eastAsia="宋体" w:hAnsi="Times New Roman" w:cs="Times New Roman"/>
                <w:color w:val="000000" w:themeColor="text1"/>
                <w:szCs w:val="21"/>
              </w:rPr>
              <w:t>600 mg/d</w:t>
            </w:r>
          </w:p>
        </w:tc>
        <w:tc>
          <w:tcPr>
            <w:tcW w:w="798" w:type="pct"/>
          </w:tcPr>
          <w:p w:rsidR="002E5476" w:rsidRDefault="00423E71">
            <w:pPr>
              <w:widowControl/>
              <w:jc w:val="left"/>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szCs w:val="21"/>
              </w:rPr>
              <w:t>胎儿心动过缓、皮肤瘙痒</w:t>
            </w:r>
          </w:p>
        </w:tc>
      </w:tr>
      <w:tr w:rsidR="002E5476">
        <w:trPr>
          <w:trHeight w:val="624"/>
        </w:trPr>
        <w:tc>
          <w:tcPr>
            <w:tcW w:w="558" w:type="pct"/>
            <w:shd w:val="clear" w:color="auto" w:fill="auto"/>
            <w:vAlign w:val="center"/>
          </w:tcPr>
          <w:p w:rsidR="002E5476" w:rsidRDefault="00423E71">
            <w:pPr>
              <w:widowControl/>
              <w:jc w:val="left"/>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钙通道阻滞剂（硝苯地平）</w:t>
            </w:r>
          </w:p>
        </w:tc>
        <w:tc>
          <w:tcPr>
            <w:tcW w:w="413" w:type="pct"/>
            <w:shd w:val="clear" w:color="auto" w:fill="auto"/>
            <w:vAlign w:val="center"/>
          </w:tcPr>
          <w:p w:rsidR="002E5476" w:rsidRDefault="00423E71">
            <w:pPr>
              <w:widowControl/>
              <w:jc w:val="left"/>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C</w:t>
            </w:r>
          </w:p>
        </w:tc>
        <w:tc>
          <w:tcPr>
            <w:tcW w:w="446" w:type="pct"/>
            <w:shd w:val="clear" w:color="auto" w:fill="auto"/>
            <w:vAlign w:val="center"/>
          </w:tcPr>
          <w:p w:rsidR="002E5476" w:rsidRDefault="00423E71">
            <w:pPr>
              <w:widowControl/>
              <w:jc w:val="left"/>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可</w:t>
            </w:r>
          </w:p>
        </w:tc>
        <w:tc>
          <w:tcPr>
            <w:tcW w:w="377" w:type="pct"/>
            <w:shd w:val="clear" w:color="auto" w:fill="auto"/>
            <w:vAlign w:val="center"/>
          </w:tcPr>
          <w:p w:rsidR="002E5476" w:rsidRDefault="00423E71">
            <w:pPr>
              <w:widowControl/>
              <w:jc w:val="left"/>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无</w:t>
            </w:r>
          </w:p>
        </w:tc>
        <w:tc>
          <w:tcPr>
            <w:tcW w:w="550" w:type="pct"/>
            <w:shd w:val="clear" w:color="auto" w:fill="auto"/>
            <w:vAlign w:val="center"/>
          </w:tcPr>
          <w:p w:rsidR="002E5476" w:rsidRDefault="00423E71">
            <w:pPr>
              <w:widowControl/>
              <w:jc w:val="left"/>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否</w:t>
            </w:r>
          </w:p>
        </w:tc>
        <w:tc>
          <w:tcPr>
            <w:tcW w:w="619" w:type="pct"/>
            <w:shd w:val="clear" w:color="auto" w:fill="auto"/>
            <w:vAlign w:val="center"/>
          </w:tcPr>
          <w:p w:rsidR="002E5476" w:rsidRDefault="00423E71">
            <w:pPr>
              <w:widowControl/>
              <w:jc w:val="left"/>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二线药物，常与甲基多巴和拉贝洛尔联合</w:t>
            </w:r>
          </w:p>
        </w:tc>
        <w:tc>
          <w:tcPr>
            <w:tcW w:w="1237" w:type="pct"/>
          </w:tcPr>
          <w:p w:rsidR="002E5476" w:rsidRDefault="00423E71">
            <w:pPr>
              <w:widowControl/>
              <w:jc w:val="left"/>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硝苯地平：</w:t>
            </w:r>
            <w:r>
              <w:rPr>
                <w:rFonts w:ascii="Times New Roman" w:eastAsia="宋体" w:hAnsi="Times New Roman" w:cs="Times New Roman"/>
                <w:color w:val="000000" w:themeColor="text1"/>
                <w:szCs w:val="21"/>
              </w:rPr>
              <w:t>5~10 mg/</w:t>
            </w:r>
            <w:r>
              <w:rPr>
                <w:rFonts w:ascii="Times New Roman" w:eastAsia="宋体" w:hAnsi="Times New Roman" w:cs="Times New Roman" w:hint="eastAsia"/>
                <w:color w:val="000000" w:themeColor="text1"/>
                <w:szCs w:val="21"/>
              </w:rPr>
              <w:t>次，</w:t>
            </w:r>
            <w:r>
              <w:rPr>
                <w:rFonts w:ascii="Times New Roman" w:eastAsia="宋体" w:hAnsi="Times New Roman" w:cs="Times New Roman"/>
                <w:color w:val="000000" w:themeColor="text1"/>
                <w:szCs w:val="21"/>
              </w:rPr>
              <w:t>3~4</w:t>
            </w:r>
            <w:r>
              <w:rPr>
                <w:rFonts w:ascii="Times New Roman" w:eastAsia="宋体" w:hAnsi="Times New Roman" w:cs="Times New Roman" w:hint="eastAsia"/>
                <w:color w:val="000000" w:themeColor="text1"/>
                <w:szCs w:val="21"/>
              </w:rPr>
              <w:t>次</w:t>
            </w:r>
            <w:r>
              <w:rPr>
                <w:rFonts w:ascii="Times New Roman" w:eastAsia="宋体" w:hAnsi="Times New Roman" w:cs="Times New Roman"/>
                <w:color w:val="000000" w:themeColor="text1"/>
                <w:szCs w:val="21"/>
              </w:rPr>
              <w:t>/d</w:t>
            </w:r>
            <w:r>
              <w:rPr>
                <w:rFonts w:ascii="Times New Roman" w:eastAsia="宋体" w:hAnsi="Times New Roman" w:cs="Times New Roman" w:hint="eastAsia"/>
                <w:color w:val="000000" w:themeColor="text1"/>
                <w:szCs w:val="21"/>
              </w:rPr>
              <w:t>，</w:t>
            </w:r>
            <w:r>
              <w:rPr>
                <w:rFonts w:ascii="Times New Roman" w:eastAsia="宋体" w:hAnsi="Times New Roman" w:cs="Times New Roman"/>
                <w:color w:val="000000" w:themeColor="text1"/>
                <w:kern w:val="0"/>
                <w:szCs w:val="21"/>
              </w:rPr>
              <w:t>24 h</w:t>
            </w:r>
            <w:r>
              <w:rPr>
                <w:rFonts w:ascii="Times New Roman" w:eastAsia="宋体" w:hAnsi="Times New Roman" w:cs="Times New Roman" w:hint="eastAsia"/>
                <w:color w:val="000000" w:themeColor="text1"/>
                <w:kern w:val="0"/>
                <w:szCs w:val="21"/>
              </w:rPr>
              <w:t>总量不超过</w:t>
            </w:r>
            <w:r>
              <w:rPr>
                <w:rFonts w:ascii="Times New Roman" w:eastAsia="宋体" w:hAnsi="Times New Roman" w:cs="Times New Roman"/>
                <w:color w:val="000000" w:themeColor="text1"/>
                <w:kern w:val="0"/>
                <w:szCs w:val="21"/>
              </w:rPr>
              <w:t>60 mg</w:t>
            </w:r>
            <w:r>
              <w:rPr>
                <w:rFonts w:ascii="Times New Roman" w:eastAsia="宋体" w:hAnsi="Times New Roman" w:cs="Times New Roman" w:hint="eastAsia"/>
                <w:color w:val="000000" w:themeColor="text1"/>
                <w:kern w:val="0"/>
                <w:szCs w:val="21"/>
              </w:rPr>
              <w:t>或</w:t>
            </w:r>
            <w:r>
              <w:rPr>
                <w:rFonts w:ascii="Times New Roman" w:eastAsia="宋体" w:hAnsi="Times New Roman" w:cs="Times New Roman" w:hint="eastAsia"/>
                <w:color w:val="000000" w:themeColor="text1"/>
                <w:szCs w:val="21"/>
              </w:rPr>
              <w:t>缓释制剂</w:t>
            </w:r>
            <w:r>
              <w:rPr>
                <w:rFonts w:ascii="Times New Roman" w:eastAsia="宋体" w:hAnsi="Times New Roman" w:cs="Times New Roman"/>
                <w:color w:val="000000" w:themeColor="text1"/>
                <w:szCs w:val="21"/>
              </w:rPr>
              <w:t>30 mg/</w:t>
            </w:r>
            <w:r>
              <w:rPr>
                <w:rFonts w:ascii="Times New Roman" w:eastAsia="宋体" w:hAnsi="Times New Roman" w:cs="Times New Roman" w:hint="eastAsia"/>
                <w:color w:val="000000" w:themeColor="text1"/>
                <w:szCs w:val="21"/>
              </w:rPr>
              <w:t>次口服，</w:t>
            </w:r>
            <w:r>
              <w:rPr>
                <w:rFonts w:ascii="Times New Roman" w:eastAsia="宋体" w:hAnsi="Times New Roman" w:cs="Times New Roman"/>
                <w:color w:val="000000" w:themeColor="text1"/>
                <w:szCs w:val="21"/>
              </w:rPr>
              <w:lastRenderedPageBreak/>
              <w:t>1~2</w:t>
            </w:r>
            <w:r>
              <w:rPr>
                <w:rFonts w:ascii="Times New Roman" w:eastAsia="宋体" w:hAnsi="Times New Roman" w:cs="Times New Roman" w:hint="eastAsia"/>
                <w:color w:val="000000" w:themeColor="text1"/>
                <w:szCs w:val="21"/>
              </w:rPr>
              <w:t>次</w:t>
            </w:r>
            <w:r>
              <w:rPr>
                <w:rFonts w:ascii="Times New Roman" w:eastAsia="宋体" w:hAnsi="Times New Roman" w:cs="Times New Roman"/>
                <w:color w:val="000000" w:themeColor="text1"/>
                <w:szCs w:val="21"/>
              </w:rPr>
              <w:t>/d</w:t>
            </w:r>
            <w:r>
              <w:rPr>
                <w:rFonts w:ascii="Times New Roman" w:eastAsia="宋体" w:hAnsi="Times New Roman" w:cs="Times New Roman" w:hint="eastAsia"/>
                <w:color w:val="000000" w:themeColor="text1"/>
                <w:szCs w:val="21"/>
              </w:rPr>
              <w:t>；</w:t>
            </w:r>
          </w:p>
          <w:p w:rsidR="002E5476" w:rsidRDefault="00423E71">
            <w:pPr>
              <w:widowControl/>
              <w:jc w:val="left"/>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尼莫地平：</w:t>
            </w:r>
            <w:r>
              <w:rPr>
                <w:rFonts w:ascii="Times New Roman" w:eastAsia="宋体" w:hAnsi="Times New Roman" w:cs="Times New Roman"/>
                <w:color w:val="000000" w:themeColor="text1"/>
                <w:szCs w:val="21"/>
              </w:rPr>
              <w:t>20~60 mg/</w:t>
            </w:r>
            <w:r>
              <w:rPr>
                <w:rFonts w:ascii="Times New Roman" w:eastAsia="宋体" w:hAnsi="Times New Roman" w:cs="Times New Roman" w:hint="eastAsia"/>
                <w:color w:val="000000" w:themeColor="text1"/>
                <w:szCs w:val="21"/>
              </w:rPr>
              <w:t>次，</w:t>
            </w:r>
            <w:r>
              <w:rPr>
                <w:rFonts w:ascii="Times New Roman" w:eastAsia="宋体" w:hAnsi="Times New Roman" w:cs="Times New Roman"/>
                <w:color w:val="000000" w:themeColor="text1"/>
                <w:szCs w:val="21"/>
              </w:rPr>
              <w:t>2~3</w:t>
            </w:r>
            <w:r>
              <w:rPr>
                <w:rFonts w:ascii="Times New Roman" w:eastAsia="宋体" w:hAnsi="Times New Roman" w:cs="Times New Roman" w:hint="eastAsia"/>
                <w:color w:val="000000" w:themeColor="text1"/>
                <w:szCs w:val="21"/>
              </w:rPr>
              <w:t>次</w:t>
            </w:r>
            <w:r>
              <w:rPr>
                <w:rFonts w:ascii="Times New Roman" w:eastAsia="宋体" w:hAnsi="Times New Roman" w:cs="Times New Roman"/>
                <w:color w:val="000000" w:themeColor="text1"/>
                <w:szCs w:val="21"/>
              </w:rPr>
              <w:t>/d</w:t>
            </w:r>
            <w:r>
              <w:rPr>
                <w:rFonts w:ascii="Times New Roman" w:eastAsia="宋体" w:hAnsi="Times New Roman" w:cs="Times New Roman" w:hint="eastAsia"/>
                <w:color w:val="000000" w:themeColor="text1"/>
                <w:szCs w:val="21"/>
              </w:rPr>
              <w:t>；</w:t>
            </w:r>
          </w:p>
          <w:p w:rsidR="002E5476" w:rsidRDefault="00423E71">
            <w:pPr>
              <w:widowControl/>
              <w:jc w:val="left"/>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szCs w:val="21"/>
              </w:rPr>
              <w:t>尼卡地平：初始剂量</w:t>
            </w:r>
            <w:r>
              <w:rPr>
                <w:rFonts w:ascii="Times New Roman" w:eastAsia="宋体" w:hAnsi="Times New Roman" w:cs="Times New Roman"/>
                <w:color w:val="000000" w:themeColor="text1"/>
                <w:szCs w:val="21"/>
              </w:rPr>
              <w:t>20~40 mg/</w:t>
            </w:r>
            <w:r>
              <w:rPr>
                <w:rFonts w:ascii="Times New Roman" w:eastAsia="宋体" w:hAnsi="Times New Roman" w:cs="Times New Roman" w:hint="eastAsia"/>
                <w:color w:val="000000" w:themeColor="text1"/>
                <w:szCs w:val="21"/>
              </w:rPr>
              <w:t>次，</w:t>
            </w:r>
            <w:r>
              <w:rPr>
                <w:rFonts w:ascii="Times New Roman" w:eastAsia="宋体" w:hAnsi="Times New Roman" w:cs="Times New Roman"/>
                <w:color w:val="000000" w:themeColor="text1"/>
                <w:szCs w:val="21"/>
              </w:rPr>
              <w:t>3</w:t>
            </w:r>
            <w:r>
              <w:rPr>
                <w:rFonts w:ascii="Times New Roman" w:eastAsia="宋体" w:hAnsi="Times New Roman" w:cs="Times New Roman" w:hint="eastAsia"/>
                <w:color w:val="000000" w:themeColor="text1"/>
                <w:szCs w:val="21"/>
              </w:rPr>
              <w:t>次</w:t>
            </w:r>
            <w:r>
              <w:rPr>
                <w:rFonts w:ascii="Times New Roman" w:eastAsia="宋体" w:hAnsi="Times New Roman" w:cs="Times New Roman"/>
                <w:color w:val="000000" w:themeColor="text1"/>
                <w:szCs w:val="21"/>
              </w:rPr>
              <w:t>/d</w:t>
            </w:r>
          </w:p>
        </w:tc>
        <w:tc>
          <w:tcPr>
            <w:tcW w:w="798" w:type="pct"/>
          </w:tcPr>
          <w:p w:rsidR="002E5476" w:rsidRDefault="00423E71">
            <w:pPr>
              <w:widowControl/>
              <w:jc w:val="left"/>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szCs w:val="21"/>
              </w:rPr>
              <w:lastRenderedPageBreak/>
              <w:t>低血压</w:t>
            </w:r>
          </w:p>
        </w:tc>
      </w:tr>
      <w:tr w:rsidR="002E5476">
        <w:trPr>
          <w:trHeight w:val="1196"/>
        </w:trPr>
        <w:tc>
          <w:tcPr>
            <w:tcW w:w="558" w:type="pct"/>
            <w:shd w:val="clear" w:color="auto" w:fill="auto"/>
            <w:vAlign w:val="center"/>
          </w:tcPr>
          <w:p w:rsidR="002E5476" w:rsidRDefault="00423E71">
            <w:pPr>
              <w:widowControl/>
              <w:jc w:val="left"/>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lastRenderedPageBreak/>
              <w:t>氢氯噻嗪</w:t>
            </w:r>
          </w:p>
        </w:tc>
        <w:tc>
          <w:tcPr>
            <w:tcW w:w="413" w:type="pct"/>
            <w:shd w:val="clear" w:color="auto" w:fill="auto"/>
            <w:vAlign w:val="center"/>
          </w:tcPr>
          <w:p w:rsidR="002E5476" w:rsidRDefault="00423E71">
            <w:pPr>
              <w:widowControl/>
              <w:jc w:val="left"/>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B</w:t>
            </w:r>
          </w:p>
        </w:tc>
        <w:tc>
          <w:tcPr>
            <w:tcW w:w="446" w:type="pct"/>
            <w:shd w:val="clear" w:color="auto" w:fill="auto"/>
            <w:vAlign w:val="center"/>
          </w:tcPr>
          <w:p w:rsidR="002E5476" w:rsidRDefault="00423E71">
            <w:pPr>
              <w:widowControl/>
              <w:jc w:val="left"/>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可</w:t>
            </w:r>
          </w:p>
        </w:tc>
        <w:tc>
          <w:tcPr>
            <w:tcW w:w="377" w:type="pct"/>
            <w:shd w:val="clear" w:color="auto" w:fill="auto"/>
            <w:vAlign w:val="center"/>
          </w:tcPr>
          <w:p w:rsidR="002E5476" w:rsidRDefault="00423E71">
            <w:pPr>
              <w:widowControl/>
              <w:jc w:val="left"/>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无</w:t>
            </w:r>
          </w:p>
        </w:tc>
        <w:tc>
          <w:tcPr>
            <w:tcW w:w="550" w:type="pct"/>
            <w:shd w:val="clear" w:color="auto" w:fill="auto"/>
            <w:vAlign w:val="center"/>
          </w:tcPr>
          <w:p w:rsidR="002E5476" w:rsidRDefault="00423E71">
            <w:pPr>
              <w:widowControl/>
              <w:jc w:val="left"/>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引起胎儿利尿</w:t>
            </w:r>
          </w:p>
        </w:tc>
        <w:tc>
          <w:tcPr>
            <w:tcW w:w="619" w:type="pct"/>
            <w:shd w:val="clear" w:color="auto" w:fill="auto"/>
            <w:vAlign w:val="center"/>
          </w:tcPr>
          <w:p w:rsidR="002E5476" w:rsidRDefault="00423E71">
            <w:pPr>
              <w:widowControl/>
              <w:jc w:val="left"/>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理论上可导致血管内容量减少，减少胎盘灌注量，可在液体过剩时谨慎使用，或控制难治性高血压</w:t>
            </w:r>
          </w:p>
        </w:tc>
        <w:tc>
          <w:tcPr>
            <w:tcW w:w="1237" w:type="pct"/>
          </w:tcPr>
          <w:p w:rsidR="002E5476" w:rsidRDefault="00423E71">
            <w:pPr>
              <w:widowControl/>
              <w:jc w:val="left"/>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szCs w:val="21"/>
              </w:rPr>
              <w:t>氢氯噻嗪：</w:t>
            </w:r>
            <w:r>
              <w:rPr>
                <w:rFonts w:ascii="Times New Roman" w:eastAsia="宋体" w:hAnsi="Times New Roman" w:cs="Times New Roman"/>
                <w:color w:val="000000" w:themeColor="text1"/>
                <w:szCs w:val="21"/>
              </w:rPr>
              <w:t>6.25~12.5 mg/d</w:t>
            </w:r>
          </w:p>
        </w:tc>
        <w:tc>
          <w:tcPr>
            <w:tcW w:w="798" w:type="pct"/>
          </w:tcPr>
          <w:p w:rsidR="002E5476" w:rsidRDefault="00423E71">
            <w:pPr>
              <w:widowControl/>
              <w:jc w:val="left"/>
              <w:textAlignment w:val="center"/>
              <w:rPr>
                <w:rFonts w:ascii="Times New Roman" w:eastAsia="宋体" w:hAnsi="Times New Roman" w:cs="Times New Roman"/>
                <w:color w:val="000000" w:themeColor="text1"/>
                <w:kern w:val="0"/>
                <w:szCs w:val="21"/>
              </w:rPr>
            </w:pPr>
            <w:r>
              <w:rPr>
                <w:rFonts w:ascii="Times New Roman" w:eastAsia="宋体" w:hAnsi="Times New Roman" w:cs="Times New Roman" w:hint="eastAsia"/>
                <w:color w:val="000000" w:themeColor="text1"/>
                <w:szCs w:val="21"/>
              </w:rPr>
              <w:t>大剂量影响胎盘血流</w:t>
            </w:r>
          </w:p>
        </w:tc>
      </w:tr>
      <w:tr w:rsidR="002E5476">
        <w:trPr>
          <w:trHeight w:val="2022"/>
        </w:trPr>
        <w:tc>
          <w:tcPr>
            <w:tcW w:w="558" w:type="pct"/>
            <w:shd w:val="clear" w:color="auto" w:fill="auto"/>
            <w:vAlign w:val="center"/>
          </w:tcPr>
          <w:p w:rsidR="002E5476" w:rsidRDefault="00423E71">
            <w:pPr>
              <w:widowControl/>
              <w:jc w:val="left"/>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ACEI/ARB</w:t>
            </w:r>
          </w:p>
        </w:tc>
        <w:tc>
          <w:tcPr>
            <w:tcW w:w="413" w:type="pct"/>
            <w:shd w:val="clear" w:color="auto" w:fill="auto"/>
            <w:vAlign w:val="center"/>
          </w:tcPr>
          <w:p w:rsidR="002E5476" w:rsidRDefault="00423E71">
            <w:pPr>
              <w:widowControl/>
              <w:jc w:val="left"/>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kern w:val="0"/>
                <w:szCs w:val="21"/>
              </w:rPr>
              <w:t>D</w:t>
            </w:r>
          </w:p>
        </w:tc>
        <w:tc>
          <w:tcPr>
            <w:tcW w:w="446" w:type="pct"/>
            <w:shd w:val="clear" w:color="auto" w:fill="auto"/>
            <w:vAlign w:val="center"/>
          </w:tcPr>
          <w:p w:rsidR="002E5476" w:rsidRDefault="00423E71">
            <w:pPr>
              <w:widowControl/>
              <w:jc w:val="left"/>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可</w:t>
            </w:r>
          </w:p>
        </w:tc>
        <w:tc>
          <w:tcPr>
            <w:tcW w:w="377" w:type="pct"/>
            <w:shd w:val="clear" w:color="auto" w:fill="auto"/>
            <w:vAlign w:val="center"/>
          </w:tcPr>
          <w:p w:rsidR="002E5476" w:rsidRDefault="00423E71">
            <w:pPr>
              <w:widowControl/>
              <w:jc w:val="left"/>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新生儿无尿和肾功能不全，四肢挛缩，颅面骨畸形，肺发育不全，动脉导管未闭</w:t>
            </w:r>
          </w:p>
        </w:tc>
        <w:tc>
          <w:tcPr>
            <w:tcW w:w="550" w:type="pct"/>
            <w:shd w:val="clear" w:color="auto" w:fill="auto"/>
            <w:vAlign w:val="center"/>
          </w:tcPr>
          <w:p w:rsidR="002E5476" w:rsidRDefault="00423E71">
            <w:pPr>
              <w:widowControl/>
              <w:jc w:val="left"/>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长期应用，由于肾乳头萎缩和肾髓质浓度梯度形成障碍可导致肾功能不全，尿浓缩能力损伤</w:t>
            </w:r>
          </w:p>
        </w:tc>
        <w:tc>
          <w:tcPr>
            <w:tcW w:w="619" w:type="pct"/>
            <w:shd w:val="clear" w:color="auto" w:fill="auto"/>
            <w:vAlign w:val="center"/>
          </w:tcPr>
          <w:p w:rsidR="002E5476" w:rsidRDefault="00423E71">
            <w:pPr>
              <w:widowControl/>
              <w:jc w:val="left"/>
              <w:textAlignment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kern w:val="0"/>
                <w:szCs w:val="21"/>
              </w:rPr>
              <w:t>禁用（受孕前停用）</w:t>
            </w:r>
          </w:p>
        </w:tc>
        <w:tc>
          <w:tcPr>
            <w:tcW w:w="1237" w:type="pct"/>
          </w:tcPr>
          <w:p w:rsidR="002E5476" w:rsidRDefault="002E5476">
            <w:pPr>
              <w:widowControl/>
              <w:jc w:val="left"/>
              <w:textAlignment w:val="center"/>
              <w:rPr>
                <w:rFonts w:ascii="Times New Roman" w:eastAsia="宋体" w:hAnsi="Times New Roman" w:cs="Times New Roman"/>
                <w:color w:val="000000" w:themeColor="text1"/>
                <w:kern w:val="0"/>
                <w:szCs w:val="21"/>
              </w:rPr>
            </w:pPr>
          </w:p>
        </w:tc>
        <w:tc>
          <w:tcPr>
            <w:tcW w:w="798" w:type="pct"/>
          </w:tcPr>
          <w:p w:rsidR="002E5476" w:rsidRDefault="002E5476">
            <w:pPr>
              <w:widowControl/>
              <w:jc w:val="left"/>
              <w:textAlignment w:val="center"/>
              <w:rPr>
                <w:rFonts w:ascii="Times New Roman" w:eastAsia="宋体" w:hAnsi="Times New Roman" w:cs="Times New Roman"/>
                <w:color w:val="000000" w:themeColor="text1"/>
                <w:kern w:val="0"/>
                <w:szCs w:val="21"/>
              </w:rPr>
            </w:pPr>
          </w:p>
        </w:tc>
      </w:tr>
    </w:tbl>
    <w:p w:rsidR="002E5476" w:rsidRDefault="00423E71" w:rsidP="00351487">
      <w:pPr>
        <w:widowControl/>
        <w:jc w:val="left"/>
        <w:rPr>
          <w:rFonts w:ascii="Times New Roman" w:eastAsia="宋体" w:hAnsi="Times New Roman" w:cs="Times New Roman"/>
          <w:color w:val="000000" w:themeColor="text1"/>
          <w:sz w:val="18"/>
          <w:szCs w:val="18"/>
        </w:rPr>
      </w:pPr>
      <w:r>
        <w:rPr>
          <w:rFonts w:ascii="Times New Roman" w:eastAsia="宋体" w:hAnsi="Times New Roman" w:cs="Times New Roman" w:hint="eastAsia"/>
          <w:bCs/>
          <w:color w:val="000000" w:themeColor="text1"/>
          <w:sz w:val="18"/>
          <w:szCs w:val="18"/>
        </w:rPr>
        <w:t>注：</w:t>
      </w:r>
      <w:r>
        <w:rPr>
          <w:rFonts w:ascii="Times New Roman" w:eastAsia="宋体" w:hAnsi="Times New Roman" w:cs="Times New Roman"/>
          <w:bCs/>
          <w:color w:val="000000" w:themeColor="text1"/>
          <w:sz w:val="18"/>
          <w:szCs w:val="18"/>
        </w:rPr>
        <w:t>FDA</w:t>
      </w:r>
      <w:r>
        <w:rPr>
          <w:rFonts w:ascii="Times New Roman" w:eastAsia="宋体" w:hAnsi="Times New Roman" w:cs="Times New Roman" w:hint="eastAsia"/>
          <w:bCs/>
          <w:color w:val="000000" w:themeColor="text1"/>
          <w:sz w:val="18"/>
          <w:szCs w:val="18"/>
        </w:rPr>
        <w:t>：美国食品和药物管理局；</w:t>
      </w:r>
      <w:r>
        <w:rPr>
          <w:rFonts w:ascii="Times New Roman" w:eastAsia="宋体" w:hAnsi="Times New Roman" w:cs="Times New Roman"/>
          <w:bCs/>
          <w:color w:val="000000" w:themeColor="text1"/>
          <w:sz w:val="18"/>
          <w:szCs w:val="18"/>
        </w:rPr>
        <w:t>FDA</w:t>
      </w:r>
      <w:r>
        <w:rPr>
          <w:rFonts w:ascii="Times New Roman" w:eastAsia="宋体" w:hAnsi="Times New Roman" w:cs="Times New Roman" w:hint="eastAsia"/>
          <w:bCs/>
          <w:color w:val="000000" w:themeColor="text1"/>
          <w:sz w:val="18"/>
          <w:szCs w:val="18"/>
        </w:rPr>
        <w:t>的妊娠用药分级</w:t>
      </w:r>
      <w:r>
        <w:rPr>
          <w:rFonts w:ascii="Times New Roman" w:eastAsia="宋体" w:hAnsi="Times New Roman" w:cs="Times New Roman" w:hint="eastAsia"/>
          <w:color w:val="000000" w:themeColor="text1"/>
          <w:sz w:val="18"/>
          <w:szCs w:val="18"/>
        </w:rPr>
        <w:t>（即</w:t>
      </w:r>
      <w:r>
        <w:rPr>
          <w:rFonts w:ascii="Times New Roman" w:eastAsia="宋体" w:hAnsi="Times New Roman" w:cs="Times New Roman"/>
          <w:color w:val="000000" w:themeColor="text1"/>
          <w:sz w:val="18"/>
          <w:szCs w:val="18"/>
        </w:rPr>
        <w:t>ABCDX</w:t>
      </w:r>
      <w:r>
        <w:rPr>
          <w:rFonts w:ascii="Times New Roman" w:eastAsia="宋体" w:hAnsi="Times New Roman" w:cs="Times New Roman" w:hint="eastAsia"/>
          <w:color w:val="000000" w:themeColor="text1"/>
          <w:sz w:val="18"/>
          <w:szCs w:val="18"/>
        </w:rPr>
        <w:t>，但已被</w:t>
      </w:r>
      <w:r>
        <w:rPr>
          <w:rFonts w:ascii="Times New Roman" w:eastAsia="宋体" w:hAnsi="Times New Roman" w:cs="Times New Roman"/>
          <w:color w:val="000000" w:themeColor="text1"/>
          <w:sz w:val="18"/>
          <w:szCs w:val="18"/>
        </w:rPr>
        <w:t>FDA</w:t>
      </w:r>
      <w:r>
        <w:rPr>
          <w:rFonts w:ascii="Times New Roman" w:eastAsia="宋体" w:hAnsi="Times New Roman" w:cs="Times New Roman" w:hint="eastAsia"/>
          <w:color w:val="000000" w:themeColor="text1"/>
          <w:sz w:val="18"/>
          <w:szCs w:val="18"/>
        </w:rPr>
        <w:t>放弃；关于妊娠</w:t>
      </w:r>
      <w:r>
        <w:rPr>
          <w:rFonts w:ascii="Times New Roman" w:eastAsia="宋体" w:hAnsi="Times New Roman" w:cs="Times New Roman"/>
          <w:color w:val="000000" w:themeColor="text1"/>
          <w:sz w:val="18"/>
          <w:szCs w:val="18"/>
        </w:rPr>
        <w:t>/</w:t>
      </w:r>
      <w:r>
        <w:rPr>
          <w:rFonts w:ascii="Times New Roman" w:eastAsia="宋体" w:hAnsi="Times New Roman" w:cs="Times New Roman" w:hint="eastAsia"/>
          <w:color w:val="000000" w:themeColor="text1"/>
          <w:sz w:val="18"/>
          <w:szCs w:val="18"/>
        </w:rPr>
        <w:t>哺乳期用药，</w:t>
      </w:r>
      <w:r>
        <w:rPr>
          <w:rFonts w:ascii="Times New Roman" w:eastAsia="宋体" w:hAnsi="Times New Roman" w:cs="Times New Roman"/>
          <w:color w:val="000000" w:themeColor="text1"/>
          <w:sz w:val="18"/>
          <w:szCs w:val="18"/>
        </w:rPr>
        <w:t>FDA</w:t>
      </w:r>
      <w:r>
        <w:rPr>
          <w:rFonts w:ascii="Times New Roman" w:eastAsia="宋体" w:hAnsi="Times New Roman" w:cs="Times New Roman" w:hint="eastAsia"/>
          <w:color w:val="000000" w:themeColor="text1"/>
          <w:sz w:val="18"/>
          <w:szCs w:val="18"/>
        </w:rPr>
        <w:t>要求药品说明书采用更详细的描述，但鉴于该分类方法相对直观，仍按此分类标识），</w:t>
      </w:r>
      <w:r>
        <w:rPr>
          <w:rFonts w:ascii="Times New Roman" w:eastAsia="宋体" w:hAnsi="Times New Roman" w:cs="Times New Roman"/>
          <w:color w:val="000000" w:themeColor="text1"/>
          <w:sz w:val="18"/>
          <w:szCs w:val="18"/>
        </w:rPr>
        <w:t>A</w:t>
      </w:r>
      <w:r>
        <w:rPr>
          <w:rFonts w:ascii="Times New Roman" w:eastAsia="宋体" w:hAnsi="Times New Roman" w:cs="Times New Roman" w:hint="eastAsia"/>
          <w:color w:val="000000" w:themeColor="text1"/>
          <w:sz w:val="18"/>
          <w:szCs w:val="18"/>
        </w:rPr>
        <w:t>：最安全，充分严格的对照研究证明，怀孕前</w:t>
      </w:r>
      <w:r>
        <w:rPr>
          <w:rFonts w:ascii="Times New Roman" w:eastAsia="宋体" w:hAnsi="Times New Roman" w:cs="Times New Roman"/>
          <w:color w:val="000000" w:themeColor="text1"/>
          <w:sz w:val="18"/>
          <w:szCs w:val="18"/>
        </w:rPr>
        <w:t>3</w:t>
      </w:r>
      <w:r>
        <w:rPr>
          <w:rFonts w:ascii="Times New Roman" w:eastAsia="宋体" w:hAnsi="Times New Roman" w:cs="Times New Roman" w:hint="eastAsia"/>
          <w:color w:val="000000" w:themeColor="text1"/>
          <w:sz w:val="18"/>
          <w:szCs w:val="18"/>
        </w:rPr>
        <w:t>个月的妇女用药后未发现对胎儿危害的证据（在其后</w:t>
      </w:r>
      <w:r>
        <w:rPr>
          <w:rFonts w:ascii="Times New Roman" w:eastAsia="宋体" w:hAnsi="Times New Roman" w:cs="Times New Roman"/>
          <w:color w:val="000000" w:themeColor="text1"/>
          <w:sz w:val="18"/>
          <w:szCs w:val="18"/>
        </w:rPr>
        <w:t>6</w:t>
      </w:r>
      <w:r>
        <w:rPr>
          <w:rFonts w:ascii="Times New Roman" w:eastAsia="宋体" w:hAnsi="Times New Roman" w:cs="Times New Roman" w:hint="eastAsia"/>
          <w:color w:val="000000" w:themeColor="text1"/>
          <w:sz w:val="18"/>
          <w:szCs w:val="18"/>
        </w:rPr>
        <w:t>个月中也未见到危害证据），可能对胎儿的伤害极小；</w:t>
      </w:r>
      <w:r>
        <w:rPr>
          <w:rFonts w:ascii="Times New Roman" w:eastAsia="宋体" w:hAnsi="Times New Roman" w:cs="Times New Roman"/>
          <w:color w:val="000000" w:themeColor="text1"/>
          <w:sz w:val="18"/>
          <w:szCs w:val="18"/>
        </w:rPr>
        <w:t>B</w:t>
      </w:r>
      <w:r>
        <w:rPr>
          <w:rFonts w:ascii="Times New Roman" w:eastAsia="宋体" w:hAnsi="Times New Roman" w:cs="Times New Roman" w:hint="eastAsia"/>
          <w:color w:val="000000" w:themeColor="text1"/>
          <w:sz w:val="18"/>
          <w:szCs w:val="18"/>
        </w:rPr>
        <w:t>：比较安全，尚未进行孕妇对照研究，但在动物繁殖性研究中，未见到对胎儿的影响；</w:t>
      </w:r>
      <w:r>
        <w:rPr>
          <w:rFonts w:ascii="Times New Roman" w:eastAsia="宋体" w:hAnsi="Times New Roman" w:cs="Times New Roman"/>
          <w:color w:val="000000" w:themeColor="text1"/>
          <w:sz w:val="18"/>
          <w:szCs w:val="18"/>
        </w:rPr>
        <w:t>C</w:t>
      </w:r>
      <w:r>
        <w:rPr>
          <w:rFonts w:ascii="Times New Roman" w:eastAsia="宋体" w:hAnsi="Times New Roman" w:cs="Times New Roman" w:hint="eastAsia"/>
          <w:color w:val="000000" w:themeColor="text1"/>
          <w:sz w:val="18"/>
          <w:szCs w:val="18"/>
        </w:rPr>
        <w:t>：中等安全，动物繁殖性研究证明本类药物对胎儿有毒副作用（致畸或死胎），尚未进行孕妇对照研究，但孕妇的用药获益可能胜于潜在危害，因此使用本类药物之前必须充分权衡其对胎儿的利弊；</w:t>
      </w:r>
      <w:r>
        <w:rPr>
          <w:rFonts w:ascii="Times New Roman" w:eastAsia="宋体" w:hAnsi="Times New Roman" w:cs="Times New Roman"/>
          <w:color w:val="000000" w:themeColor="text1"/>
          <w:sz w:val="18"/>
          <w:szCs w:val="18"/>
        </w:rPr>
        <w:t>D</w:t>
      </w:r>
      <w:r>
        <w:rPr>
          <w:rFonts w:ascii="Times New Roman" w:eastAsia="宋体" w:hAnsi="Times New Roman" w:cs="Times New Roman" w:hint="eastAsia"/>
          <w:color w:val="000000" w:themeColor="text1"/>
          <w:sz w:val="18"/>
          <w:szCs w:val="18"/>
        </w:rPr>
        <w:t>：可能危险，本类药物有危害人类胎儿的明确证据，但孕妇用药的获益大于对胎儿危害，如：母亲处于危及生命或严重疾病的情况下，且没有其他更好的替代药物时可考虑使用，并考虑停止母乳喂养；</w:t>
      </w:r>
      <w:r>
        <w:rPr>
          <w:rFonts w:ascii="Times New Roman" w:eastAsia="宋体" w:hAnsi="Times New Roman" w:cs="Times New Roman"/>
          <w:color w:val="000000" w:themeColor="text1"/>
          <w:sz w:val="18"/>
          <w:szCs w:val="18"/>
        </w:rPr>
        <w:t>X</w:t>
      </w:r>
      <w:r>
        <w:rPr>
          <w:rFonts w:ascii="Times New Roman" w:eastAsia="宋体" w:hAnsi="Times New Roman" w:cs="Times New Roman" w:hint="eastAsia"/>
          <w:color w:val="000000" w:themeColor="text1"/>
          <w:sz w:val="18"/>
          <w:szCs w:val="18"/>
        </w:rPr>
        <w:t>：禁忌，人体或动物实验证实该类药物有危害人类胎儿的明确证据，妊娠妇女使用该类药物对胎儿造成的风险明显大于服药可能带来的任何益处，本类药物禁用于妊娠或即将妊娠的患者</w:t>
      </w:r>
      <w:r>
        <w:rPr>
          <w:rFonts w:ascii="Times New Roman" w:eastAsia="宋体" w:hAnsi="Times New Roman" w:cs="Times New Roman" w:hint="eastAsia"/>
          <w:bCs/>
          <w:color w:val="000000" w:themeColor="text1"/>
          <w:sz w:val="18"/>
          <w:szCs w:val="18"/>
        </w:rPr>
        <w:t>；参考资料来源：</w:t>
      </w:r>
      <w:r>
        <w:rPr>
          <w:rFonts w:ascii="Times New Roman" w:eastAsia="宋体" w:hAnsi="Times New Roman" w:cs="Times New Roman"/>
          <w:color w:val="000000" w:themeColor="text1"/>
          <w:sz w:val="18"/>
          <w:szCs w:val="18"/>
        </w:rPr>
        <w:t>[95][105]</w:t>
      </w:r>
    </w:p>
    <w:p w:rsidR="00351487" w:rsidRDefault="00351487" w:rsidP="00351487">
      <w:pPr>
        <w:widowControl/>
        <w:jc w:val="left"/>
        <w:rPr>
          <w:rFonts w:ascii="Times New Roman" w:eastAsia="宋体" w:hAnsi="Times New Roman" w:cs="Times New Roman"/>
          <w:color w:val="000000" w:themeColor="text1"/>
          <w:sz w:val="18"/>
          <w:szCs w:val="18"/>
        </w:rPr>
      </w:pPr>
    </w:p>
    <w:p w:rsidR="00351487" w:rsidRDefault="00351487" w:rsidP="00351487">
      <w:pPr>
        <w:widowControl/>
        <w:jc w:val="left"/>
        <w:rPr>
          <w:rFonts w:ascii="Times New Roman" w:eastAsia="宋体" w:hAnsi="Times New Roman" w:cs="Times New Roman"/>
          <w:color w:val="000000" w:themeColor="text1"/>
          <w:sz w:val="18"/>
          <w:szCs w:val="18"/>
        </w:rPr>
      </w:pPr>
    </w:p>
    <w:p w:rsidR="00351487" w:rsidRDefault="00351487" w:rsidP="00351487">
      <w:pPr>
        <w:widowControl/>
        <w:jc w:val="left"/>
        <w:rPr>
          <w:rFonts w:ascii="Times New Roman" w:eastAsia="宋体" w:hAnsi="Times New Roman" w:cs="Times New Roman"/>
          <w:color w:val="000000" w:themeColor="text1"/>
          <w:sz w:val="18"/>
          <w:szCs w:val="18"/>
        </w:rPr>
      </w:pPr>
    </w:p>
    <w:p w:rsidR="00351487" w:rsidRPr="00351487" w:rsidRDefault="00351487" w:rsidP="00351487">
      <w:pPr>
        <w:widowControl/>
        <w:jc w:val="left"/>
        <w:rPr>
          <w:rFonts w:ascii="Times New Roman" w:eastAsia="宋体" w:hAnsi="Times New Roman" w:cs="Times New Roman"/>
          <w:color w:val="000000" w:themeColor="text1"/>
          <w:sz w:val="18"/>
          <w:szCs w:val="18"/>
        </w:rPr>
      </w:pPr>
    </w:p>
    <w:p w:rsidR="00423E71" w:rsidRDefault="00423E71">
      <w:pPr>
        <w:autoSpaceDE w:val="0"/>
        <w:autoSpaceDN w:val="0"/>
        <w:adjustRightInd w:val="0"/>
        <w:jc w:val="center"/>
        <w:rPr>
          <w:rFonts w:ascii="Times New Roman" w:eastAsia="宋体" w:hAnsi="Times New Roman" w:cs="Times New Roman"/>
          <w:b/>
          <w:bCs/>
          <w:color w:val="000000" w:themeColor="text1"/>
          <w:sz w:val="24"/>
          <w:szCs w:val="24"/>
        </w:rPr>
      </w:pPr>
      <w:bookmarkStart w:id="39" w:name="_Toc799461618_WPSOffice_Level1"/>
    </w:p>
    <w:p w:rsidR="00314A0E" w:rsidRDefault="00314A0E">
      <w:pPr>
        <w:autoSpaceDE w:val="0"/>
        <w:autoSpaceDN w:val="0"/>
        <w:adjustRightInd w:val="0"/>
        <w:jc w:val="center"/>
        <w:rPr>
          <w:rFonts w:ascii="Times New Roman" w:eastAsia="宋体" w:hAnsi="Times New Roman" w:cs="Times New Roman"/>
          <w:b/>
          <w:bCs/>
          <w:color w:val="000000" w:themeColor="text1"/>
          <w:sz w:val="24"/>
          <w:szCs w:val="24"/>
        </w:rPr>
      </w:pPr>
    </w:p>
    <w:p w:rsidR="00314A0E" w:rsidRDefault="00314A0E">
      <w:pPr>
        <w:autoSpaceDE w:val="0"/>
        <w:autoSpaceDN w:val="0"/>
        <w:adjustRightInd w:val="0"/>
        <w:jc w:val="center"/>
        <w:rPr>
          <w:rFonts w:ascii="Times New Roman" w:eastAsia="宋体" w:hAnsi="Times New Roman" w:cs="Times New Roman"/>
          <w:b/>
          <w:bCs/>
          <w:color w:val="000000" w:themeColor="text1"/>
          <w:sz w:val="24"/>
          <w:szCs w:val="24"/>
        </w:rPr>
      </w:pPr>
    </w:p>
    <w:p w:rsidR="00314A0E" w:rsidRDefault="00314A0E">
      <w:pPr>
        <w:autoSpaceDE w:val="0"/>
        <w:autoSpaceDN w:val="0"/>
        <w:adjustRightInd w:val="0"/>
        <w:jc w:val="center"/>
        <w:rPr>
          <w:rFonts w:ascii="Times New Roman" w:eastAsia="宋体" w:hAnsi="Times New Roman" w:cs="Times New Roman"/>
          <w:b/>
          <w:bCs/>
          <w:color w:val="000000" w:themeColor="text1"/>
          <w:sz w:val="24"/>
          <w:szCs w:val="24"/>
        </w:rPr>
      </w:pPr>
    </w:p>
    <w:p w:rsidR="00314A0E" w:rsidRDefault="00314A0E">
      <w:pPr>
        <w:autoSpaceDE w:val="0"/>
        <w:autoSpaceDN w:val="0"/>
        <w:adjustRightInd w:val="0"/>
        <w:jc w:val="center"/>
        <w:rPr>
          <w:rFonts w:ascii="Times New Roman" w:eastAsia="宋体" w:hAnsi="Times New Roman" w:cs="Times New Roman"/>
          <w:b/>
          <w:bCs/>
          <w:color w:val="000000" w:themeColor="text1"/>
          <w:sz w:val="24"/>
          <w:szCs w:val="24"/>
        </w:rPr>
      </w:pPr>
    </w:p>
    <w:p w:rsidR="00314A0E" w:rsidRDefault="00314A0E">
      <w:pPr>
        <w:autoSpaceDE w:val="0"/>
        <w:autoSpaceDN w:val="0"/>
        <w:adjustRightInd w:val="0"/>
        <w:jc w:val="center"/>
        <w:rPr>
          <w:rFonts w:ascii="Times New Roman" w:eastAsia="宋体" w:hAnsi="Times New Roman" w:cs="Times New Roman"/>
          <w:b/>
          <w:bCs/>
          <w:color w:val="000000" w:themeColor="text1"/>
          <w:sz w:val="24"/>
          <w:szCs w:val="24"/>
        </w:rPr>
      </w:pPr>
    </w:p>
    <w:p w:rsidR="00314A0E" w:rsidRDefault="00314A0E">
      <w:pPr>
        <w:autoSpaceDE w:val="0"/>
        <w:autoSpaceDN w:val="0"/>
        <w:adjustRightInd w:val="0"/>
        <w:jc w:val="center"/>
        <w:rPr>
          <w:rFonts w:ascii="Times New Roman" w:eastAsia="宋体" w:hAnsi="Times New Roman" w:cs="Times New Roman"/>
          <w:b/>
          <w:bCs/>
          <w:color w:val="000000" w:themeColor="text1"/>
          <w:sz w:val="24"/>
          <w:szCs w:val="24"/>
        </w:rPr>
      </w:pPr>
    </w:p>
    <w:p w:rsidR="00314A0E" w:rsidRDefault="00314A0E">
      <w:pPr>
        <w:autoSpaceDE w:val="0"/>
        <w:autoSpaceDN w:val="0"/>
        <w:adjustRightInd w:val="0"/>
        <w:jc w:val="center"/>
        <w:rPr>
          <w:rFonts w:ascii="Times New Roman" w:eastAsia="宋体" w:hAnsi="Times New Roman" w:cs="Times New Roman"/>
          <w:b/>
          <w:bCs/>
          <w:color w:val="000000" w:themeColor="text1"/>
          <w:sz w:val="24"/>
          <w:szCs w:val="24"/>
        </w:rPr>
      </w:pPr>
    </w:p>
    <w:p w:rsidR="002E5476" w:rsidRPr="003F268E" w:rsidRDefault="00423E71">
      <w:pPr>
        <w:autoSpaceDE w:val="0"/>
        <w:autoSpaceDN w:val="0"/>
        <w:adjustRightInd w:val="0"/>
        <w:jc w:val="center"/>
        <w:rPr>
          <w:rFonts w:asciiTheme="majorEastAsia" w:eastAsiaTheme="majorEastAsia" w:hAnsiTheme="majorEastAsia" w:cs="Times New Roman"/>
          <w:b/>
          <w:bCs/>
          <w:color w:val="000000" w:themeColor="text1"/>
          <w:kern w:val="0"/>
          <w:sz w:val="24"/>
          <w:szCs w:val="24"/>
        </w:rPr>
      </w:pPr>
      <w:r w:rsidRPr="003F268E">
        <w:rPr>
          <w:rFonts w:asciiTheme="majorEastAsia" w:eastAsiaTheme="majorEastAsia" w:hAnsiTheme="majorEastAsia" w:cs="Times New Roman" w:hint="eastAsia"/>
          <w:b/>
          <w:bCs/>
          <w:color w:val="000000" w:themeColor="text1"/>
          <w:sz w:val="24"/>
          <w:szCs w:val="24"/>
        </w:rPr>
        <w:lastRenderedPageBreak/>
        <w:t>表</w:t>
      </w:r>
      <w:r w:rsidRPr="003F268E">
        <w:rPr>
          <w:rFonts w:asciiTheme="majorEastAsia" w:eastAsiaTheme="majorEastAsia" w:hAnsiTheme="majorEastAsia" w:cs="Times New Roman"/>
          <w:b/>
          <w:bCs/>
          <w:color w:val="000000" w:themeColor="text1"/>
          <w:sz w:val="24"/>
          <w:szCs w:val="24"/>
        </w:rPr>
        <w:t xml:space="preserve">7 </w:t>
      </w:r>
      <w:r w:rsidRPr="003F268E">
        <w:rPr>
          <w:rFonts w:asciiTheme="majorEastAsia" w:eastAsiaTheme="majorEastAsia" w:hAnsiTheme="majorEastAsia" w:cs="Times New Roman" w:hint="eastAsia"/>
          <w:b/>
          <w:bCs/>
          <w:color w:val="000000" w:themeColor="text1"/>
          <w:sz w:val="24"/>
          <w:szCs w:val="24"/>
        </w:rPr>
        <w:t>超说明书用药目录</w:t>
      </w:r>
      <w:bookmarkEnd w:id="39"/>
    </w:p>
    <w:tbl>
      <w:tblPr>
        <w:tblW w:w="5321" w:type="pct"/>
        <w:tblInd w:w="-299" w:type="dxa"/>
        <w:tblCellMar>
          <w:top w:w="15" w:type="dxa"/>
          <w:left w:w="15" w:type="dxa"/>
          <w:bottom w:w="15" w:type="dxa"/>
          <w:right w:w="15" w:type="dxa"/>
        </w:tblCellMar>
        <w:tblLook w:val="04A0"/>
      </w:tblPr>
      <w:tblGrid>
        <w:gridCol w:w="534"/>
        <w:gridCol w:w="677"/>
        <w:gridCol w:w="677"/>
        <w:gridCol w:w="1001"/>
        <w:gridCol w:w="1340"/>
        <w:gridCol w:w="1915"/>
        <w:gridCol w:w="1995"/>
        <w:gridCol w:w="1080"/>
        <w:gridCol w:w="964"/>
        <w:gridCol w:w="988"/>
      </w:tblGrid>
      <w:tr w:rsidR="00F47729" w:rsidRPr="009F686C" w:rsidTr="00F47729">
        <w:trPr>
          <w:trHeight w:val="285"/>
        </w:trPr>
        <w:tc>
          <w:tcPr>
            <w:tcW w:w="243" w:type="pct"/>
            <w:vMerge w:val="restart"/>
            <w:tcBorders>
              <w:top w:val="single" w:sz="12" w:space="0" w:color="000000"/>
              <w:left w:val="single" w:sz="12" w:space="0" w:color="000000"/>
              <w:bottom w:val="single" w:sz="12" w:space="0" w:color="000000"/>
              <w:right w:val="single" w:sz="12" w:space="0" w:color="000000"/>
            </w:tcBorders>
            <w:shd w:val="clear" w:color="auto" w:fill="auto"/>
            <w:vAlign w:val="center"/>
          </w:tcPr>
          <w:p w:rsidR="00F47729" w:rsidRPr="00924B43" w:rsidRDefault="00F47729" w:rsidP="00F47729">
            <w:pPr>
              <w:widowControl/>
              <w:jc w:val="center"/>
              <w:textAlignment w:val="center"/>
              <w:rPr>
                <w:rFonts w:asciiTheme="minorEastAsia" w:hAnsiTheme="minorEastAsia" w:cs="Times New Roman"/>
                <w:b/>
                <w:color w:val="000000" w:themeColor="text1"/>
                <w:szCs w:val="21"/>
              </w:rPr>
            </w:pPr>
            <w:r w:rsidRPr="00924B43">
              <w:rPr>
                <w:rFonts w:asciiTheme="minorEastAsia" w:hAnsiTheme="minorEastAsia" w:cs="Times New Roman" w:hint="eastAsia"/>
                <w:b/>
                <w:color w:val="000000" w:themeColor="text1"/>
                <w:kern w:val="0"/>
                <w:szCs w:val="21"/>
              </w:rPr>
              <w:t>排序</w:t>
            </w:r>
          </w:p>
        </w:tc>
        <w:tc>
          <w:tcPr>
            <w:tcW w:w="1066" w:type="pct"/>
            <w:gridSpan w:val="3"/>
            <w:tcBorders>
              <w:top w:val="single" w:sz="12" w:space="0" w:color="000000"/>
              <w:bottom w:val="single" w:sz="12" w:space="0" w:color="000000"/>
              <w:right w:val="single" w:sz="12" w:space="0" w:color="000000"/>
            </w:tcBorders>
            <w:shd w:val="clear" w:color="auto" w:fill="auto"/>
            <w:vAlign w:val="center"/>
          </w:tcPr>
          <w:p w:rsidR="00F47729" w:rsidRPr="00924B43" w:rsidRDefault="00F47729" w:rsidP="00F47729">
            <w:pPr>
              <w:widowControl/>
              <w:jc w:val="center"/>
              <w:textAlignment w:val="center"/>
              <w:rPr>
                <w:rFonts w:asciiTheme="minorEastAsia" w:hAnsiTheme="minorEastAsia" w:cs="Times New Roman"/>
                <w:b/>
                <w:color w:val="000000" w:themeColor="text1"/>
                <w:szCs w:val="21"/>
              </w:rPr>
            </w:pPr>
            <w:r w:rsidRPr="00924B43">
              <w:rPr>
                <w:rFonts w:asciiTheme="minorEastAsia" w:hAnsiTheme="minorEastAsia" w:cs="Times New Roman" w:hint="eastAsia"/>
                <w:b/>
                <w:color w:val="000000" w:themeColor="text1"/>
                <w:kern w:val="0"/>
                <w:szCs w:val="21"/>
              </w:rPr>
              <w:t>药品信息</w:t>
            </w:r>
          </w:p>
        </w:tc>
        <w:tc>
          <w:tcPr>
            <w:tcW w:w="2362" w:type="pct"/>
            <w:gridSpan w:val="3"/>
            <w:tcBorders>
              <w:top w:val="single" w:sz="12" w:space="0" w:color="000000"/>
              <w:bottom w:val="single" w:sz="12" w:space="0" w:color="000000"/>
              <w:right w:val="single" w:sz="12" w:space="0" w:color="000000"/>
            </w:tcBorders>
            <w:shd w:val="clear" w:color="auto" w:fill="auto"/>
            <w:vAlign w:val="center"/>
          </w:tcPr>
          <w:p w:rsidR="00F47729" w:rsidRPr="00924B43" w:rsidRDefault="00F47729" w:rsidP="00F47729">
            <w:pPr>
              <w:widowControl/>
              <w:jc w:val="center"/>
              <w:textAlignment w:val="center"/>
              <w:rPr>
                <w:rFonts w:asciiTheme="minorEastAsia" w:hAnsiTheme="minorEastAsia" w:cs="Times New Roman"/>
                <w:b/>
                <w:color w:val="000000" w:themeColor="text1"/>
                <w:szCs w:val="21"/>
              </w:rPr>
            </w:pPr>
            <w:r w:rsidRPr="00924B43">
              <w:rPr>
                <w:rFonts w:asciiTheme="minorEastAsia" w:hAnsiTheme="minorEastAsia" w:cs="Times New Roman" w:hint="eastAsia"/>
                <w:b/>
                <w:color w:val="000000" w:themeColor="text1"/>
                <w:kern w:val="0"/>
                <w:szCs w:val="21"/>
              </w:rPr>
              <w:t>超说明书内容</w:t>
            </w:r>
          </w:p>
        </w:tc>
        <w:tc>
          <w:tcPr>
            <w:tcW w:w="1330" w:type="pct"/>
            <w:gridSpan w:val="3"/>
            <w:tcBorders>
              <w:top w:val="single" w:sz="12" w:space="0" w:color="000000"/>
              <w:bottom w:val="single" w:sz="12" w:space="0" w:color="000000"/>
              <w:right w:val="single" w:sz="12" w:space="0" w:color="000000"/>
            </w:tcBorders>
            <w:shd w:val="clear" w:color="auto" w:fill="auto"/>
            <w:vAlign w:val="center"/>
          </w:tcPr>
          <w:p w:rsidR="00F47729" w:rsidRPr="00924B43" w:rsidRDefault="00F47729" w:rsidP="00F47729">
            <w:pPr>
              <w:widowControl/>
              <w:jc w:val="center"/>
              <w:textAlignment w:val="center"/>
              <w:rPr>
                <w:rFonts w:asciiTheme="minorEastAsia" w:hAnsiTheme="minorEastAsia" w:cs="Times New Roman"/>
                <w:b/>
                <w:color w:val="000000" w:themeColor="text1"/>
                <w:szCs w:val="21"/>
              </w:rPr>
            </w:pPr>
            <w:r w:rsidRPr="00924B43">
              <w:rPr>
                <w:rStyle w:val="af0"/>
                <w:rFonts w:asciiTheme="minorEastAsia" w:hAnsiTheme="minorEastAsia" w:cs="Times New Roman"/>
                <w:i w:val="0"/>
                <w:iCs w:val="0"/>
                <w:color w:val="000000" w:themeColor="text1"/>
                <w:szCs w:val="21"/>
                <w:shd w:val="clear" w:color="auto" w:fill="FFFFFF"/>
              </w:rPr>
              <w:t>Micromedex</w:t>
            </w:r>
            <w:r w:rsidRPr="00924B43">
              <w:rPr>
                <w:rFonts w:asciiTheme="minorEastAsia" w:hAnsiTheme="minorEastAsia" w:cs="Times New Roman" w:hint="eastAsia"/>
                <w:color w:val="000000" w:themeColor="text1"/>
                <w:szCs w:val="21"/>
                <w:shd w:val="clear" w:color="auto" w:fill="FFFFFF"/>
              </w:rPr>
              <w:t>的</w:t>
            </w:r>
            <w:r w:rsidRPr="00924B43">
              <w:rPr>
                <w:rFonts w:asciiTheme="minorEastAsia" w:hAnsiTheme="minorEastAsia" w:cs="Times New Roman"/>
                <w:color w:val="000000" w:themeColor="text1"/>
                <w:szCs w:val="21"/>
                <w:shd w:val="clear" w:color="auto" w:fill="FFFFFF"/>
              </w:rPr>
              <w:t>Thomson</w:t>
            </w:r>
            <w:r w:rsidRPr="00924B43">
              <w:rPr>
                <w:rStyle w:val="af0"/>
                <w:rFonts w:asciiTheme="minorEastAsia" w:hAnsiTheme="minorEastAsia" w:cs="Times New Roman" w:hint="eastAsia"/>
                <w:i w:val="0"/>
                <w:iCs w:val="0"/>
                <w:color w:val="000000" w:themeColor="text1"/>
                <w:szCs w:val="21"/>
                <w:shd w:val="clear" w:color="auto" w:fill="FFFFFF"/>
              </w:rPr>
              <w:t>分级</w:t>
            </w:r>
          </w:p>
        </w:tc>
      </w:tr>
      <w:tr w:rsidR="00F47729" w:rsidRPr="009F686C" w:rsidTr="00F47729">
        <w:trPr>
          <w:trHeight w:val="285"/>
        </w:trPr>
        <w:tc>
          <w:tcPr>
            <w:tcW w:w="243" w:type="pct"/>
            <w:vMerge/>
            <w:tcBorders>
              <w:top w:val="single" w:sz="12" w:space="0" w:color="000000"/>
              <w:left w:val="single" w:sz="12" w:space="0" w:color="000000"/>
              <w:bottom w:val="single" w:sz="12" w:space="0" w:color="000000"/>
              <w:right w:val="single" w:sz="12" w:space="0" w:color="000000"/>
            </w:tcBorders>
            <w:shd w:val="clear" w:color="auto" w:fill="auto"/>
            <w:vAlign w:val="center"/>
          </w:tcPr>
          <w:p w:rsidR="00F47729" w:rsidRPr="00924B43" w:rsidRDefault="00F47729" w:rsidP="00F47729">
            <w:pPr>
              <w:jc w:val="center"/>
              <w:rPr>
                <w:rFonts w:asciiTheme="minorEastAsia" w:hAnsiTheme="minorEastAsia" w:cs="Times New Roman"/>
                <w:b/>
                <w:color w:val="000000" w:themeColor="text1"/>
                <w:szCs w:val="21"/>
              </w:rPr>
            </w:pPr>
          </w:p>
        </w:tc>
        <w:tc>
          <w:tcPr>
            <w:tcW w:w="307" w:type="pct"/>
            <w:tcBorders>
              <w:bottom w:val="single" w:sz="12" w:space="0" w:color="000000"/>
              <w:right w:val="single" w:sz="12" w:space="0" w:color="000000"/>
            </w:tcBorders>
            <w:shd w:val="clear" w:color="auto" w:fill="auto"/>
            <w:vAlign w:val="center"/>
          </w:tcPr>
          <w:p w:rsidR="00F47729" w:rsidRPr="00924B43" w:rsidRDefault="00F47729" w:rsidP="00F47729">
            <w:pPr>
              <w:widowControl/>
              <w:jc w:val="center"/>
              <w:textAlignment w:val="center"/>
              <w:rPr>
                <w:rFonts w:asciiTheme="minorEastAsia" w:hAnsiTheme="minorEastAsia" w:cs="Times New Roman"/>
                <w:b/>
                <w:color w:val="000000" w:themeColor="text1"/>
                <w:szCs w:val="21"/>
              </w:rPr>
            </w:pPr>
            <w:r w:rsidRPr="00924B43">
              <w:rPr>
                <w:rFonts w:asciiTheme="minorEastAsia" w:hAnsiTheme="minorEastAsia" w:cs="Times New Roman" w:hint="eastAsia"/>
                <w:b/>
                <w:color w:val="000000" w:themeColor="text1"/>
                <w:kern w:val="0"/>
                <w:szCs w:val="21"/>
              </w:rPr>
              <w:t>通用名</w:t>
            </w:r>
          </w:p>
        </w:tc>
        <w:tc>
          <w:tcPr>
            <w:tcW w:w="307" w:type="pct"/>
            <w:tcBorders>
              <w:bottom w:val="single" w:sz="12" w:space="0" w:color="000000"/>
              <w:right w:val="single" w:sz="12" w:space="0" w:color="000000"/>
            </w:tcBorders>
            <w:shd w:val="clear" w:color="auto" w:fill="auto"/>
            <w:vAlign w:val="center"/>
          </w:tcPr>
          <w:p w:rsidR="00F47729" w:rsidRPr="00924B43" w:rsidRDefault="00F47729" w:rsidP="00F47729">
            <w:pPr>
              <w:widowControl/>
              <w:jc w:val="center"/>
              <w:textAlignment w:val="center"/>
              <w:rPr>
                <w:rFonts w:asciiTheme="minorEastAsia" w:hAnsiTheme="minorEastAsia" w:cs="Times New Roman"/>
                <w:b/>
                <w:color w:val="000000" w:themeColor="text1"/>
                <w:szCs w:val="21"/>
              </w:rPr>
            </w:pPr>
            <w:r w:rsidRPr="00924B43">
              <w:rPr>
                <w:rFonts w:asciiTheme="minorEastAsia" w:hAnsiTheme="minorEastAsia" w:cs="Times New Roman" w:hint="eastAsia"/>
                <w:b/>
                <w:color w:val="000000" w:themeColor="text1"/>
                <w:kern w:val="0"/>
                <w:szCs w:val="21"/>
              </w:rPr>
              <w:t>剂型</w:t>
            </w:r>
          </w:p>
        </w:tc>
        <w:tc>
          <w:tcPr>
            <w:tcW w:w="451" w:type="pct"/>
            <w:tcBorders>
              <w:bottom w:val="single" w:sz="12" w:space="0" w:color="000000"/>
              <w:right w:val="single" w:sz="12" w:space="0" w:color="000000"/>
            </w:tcBorders>
            <w:shd w:val="clear" w:color="auto" w:fill="auto"/>
            <w:vAlign w:val="center"/>
          </w:tcPr>
          <w:p w:rsidR="00F47729" w:rsidRPr="00924B43" w:rsidRDefault="00F47729" w:rsidP="00F47729">
            <w:pPr>
              <w:widowControl/>
              <w:jc w:val="center"/>
              <w:textAlignment w:val="center"/>
              <w:rPr>
                <w:rFonts w:asciiTheme="minorEastAsia" w:hAnsiTheme="minorEastAsia" w:cs="Times New Roman"/>
                <w:b/>
                <w:color w:val="000000" w:themeColor="text1"/>
                <w:szCs w:val="21"/>
              </w:rPr>
            </w:pPr>
            <w:r w:rsidRPr="00924B43">
              <w:rPr>
                <w:rFonts w:asciiTheme="minorEastAsia" w:hAnsiTheme="minorEastAsia" w:cs="Times New Roman" w:hint="eastAsia"/>
                <w:b/>
                <w:color w:val="000000" w:themeColor="text1"/>
                <w:kern w:val="0"/>
                <w:szCs w:val="21"/>
              </w:rPr>
              <w:t>规格</w:t>
            </w:r>
          </w:p>
        </w:tc>
        <w:tc>
          <w:tcPr>
            <w:tcW w:w="604" w:type="pct"/>
            <w:tcBorders>
              <w:bottom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b/>
                <w:color w:val="000000" w:themeColor="text1"/>
                <w:szCs w:val="21"/>
              </w:rPr>
            </w:pPr>
            <w:r w:rsidRPr="00924B43">
              <w:rPr>
                <w:rFonts w:asciiTheme="minorEastAsia" w:hAnsiTheme="minorEastAsia" w:cs="Times New Roman" w:hint="eastAsia"/>
                <w:b/>
                <w:color w:val="000000" w:themeColor="text1"/>
                <w:kern w:val="0"/>
                <w:szCs w:val="21"/>
              </w:rPr>
              <w:t>适应证</w:t>
            </w:r>
          </w:p>
        </w:tc>
        <w:tc>
          <w:tcPr>
            <w:tcW w:w="861" w:type="pct"/>
            <w:tcBorders>
              <w:top w:val="single" w:sz="12" w:space="0" w:color="000000"/>
              <w:bottom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b/>
                <w:color w:val="000000" w:themeColor="text1"/>
                <w:szCs w:val="21"/>
              </w:rPr>
            </w:pPr>
            <w:r w:rsidRPr="00924B43">
              <w:rPr>
                <w:rFonts w:asciiTheme="minorEastAsia" w:hAnsiTheme="minorEastAsia" w:cs="Times New Roman" w:hint="eastAsia"/>
                <w:b/>
                <w:color w:val="000000" w:themeColor="text1"/>
                <w:kern w:val="0"/>
                <w:szCs w:val="21"/>
              </w:rPr>
              <w:t>具体用法</w:t>
            </w:r>
          </w:p>
        </w:tc>
        <w:tc>
          <w:tcPr>
            <w:tcW w:w="896" w:type="pct"/>
            <w:tcBorders>
              <w:top w:val="single" w:sz="12" w:space="0" w:color="000000"/>
              <w:bottom w:val="single" w:sz="12" w:space="0" w:color="000000"/>
              <w:right w:val="single" w:sz="12" w:space="0" w:color="000000"/>
            </w:tcBorders>
            <w:shd w:val="clear" w:color="auto" w:fill="auto"/>
            <w:vAlign w:val="center"/>
          </w:tcPr>
          <w:p w:rsidR="00F47729" w:rsidRPr="00924B43" w:rsidRDefault="00F47729" w:rsidP="00F47729">
            <w:pPr>
              <w:widowControl/>
              <w:jc w:val="center"/>
              <w:textAlignment w:val="center"/>
              <w:rPr>
                <w:rFonts w:asciiTheme="minorEastAsia" w:hAnsiTheme="minorEastAsia" w:cs="Times New Roman"/>
                <w:b/>
                <w:color w:val="000000" w:themeColor="text1"/>
                <w:szCs w:val="21"/>
              </w:rPr>
            </w:pPr>
            <w:r w:rsidRPr="00924B43">
              <w:rPr>
                <w:rFonts w:asciiTheme="minorEastAsia" w:hAnsiTheme="minorEastAsia" w:cs="Times New Roman" w:hint="eastAsia"/>
                <w:b/>
                <w:color w:val="000000" w:themeColor="text1"/>
                <w:kern w:val="0"/>
                <w:szCs w:val="21"/>
              </w:rPr>
              <w:t>依据以及参考文献</w:t>
            </w:r>
          </w:p>
        </w:tc>
        <w:tc>
          <w:tcPr>
            <w:tcW w:w="448" w:type="pct"/>
            <w:tcBorders>
              <w:top w:val="single" w:sz="12" w:space="0" w:color="000000"/>
              <w:bottom w:val="single" w:sz="12" w:space="0" w:color="000000"/>
              <w:right w:val="single" w:sz="12" w:space="0" w:color="000000"/>
            </w:tcBorders>
            <w:shd w:val="clear" w:color="auto" w:fill="auto"/>
            <w:vAlign w:val="center"/>
          </w:tcPr>
          <w:p w:rsidR="00F47729" w:rsidRPr="00924B43" w:rsidRDefault="00F47729" w:rsidP="00F47729">
            <w:pPr>
              <w:widowControl/>
              <w:jc w:val="center"/>
              <w:textAlignment w:val="center"/>
              <w:rPr>
                <w:rFonts w:asciiTheme="minorEastAsia" w:hAnsiTheme="minorEastAsia" w:cs="Times New Roman"/>
                <w:b/>
                <w:color w:val="000000" w:themeColor="text1"/>
                <w:szCs w:val="21"/>
              </w:rPr>
            </w:pPr>
            <w:r w:rsidRPr="00924B43">
              <w:rPr>
                <w:rFonts w:asciiTheme="minorEastAsia" w:hAnsiTheme="minorEastAsia" w:cs="Times New Roman" w:hint="eastAsia"/>
                <w:b/>
                <w:color w:val="000000" w:themeColor="text1"/>
                <w:kern w:val="0"/>
                <w:szCs w:val="21"/>
              </w:rPr>
              <w:t>有效性</w:t>
            </w:r>
          </w:p>
        </w:tc>
        <w:tc>
          <w:tcPr>
            <w:tcW w:w="435" w:type="pct"/>
            <w:tcBorders>
              <w:top w:val="single" w:sz="12" w:space="0" w:color="000000"/>
              <w:bottom w:val="single" w:sz="12" w:space="0" w:color="000000"/>
              <w:right w:val="single" w:sz="12" w:space="0" w:color="000000"/>
            </w:tcBorders>
            <w:shd w:val="clear" w:color="auto" w:fill="auto"/>
            <w:vAlign w:val="center"/>
          </w:tcPr>
          <w:p w:rsidR="00F47729" w:rsidRPr="00924B43" w:rsidRDefault="00F47729" w:rsidP="00F47729">
            <w:pPr>
              <w:widowControl/>
              <w:jc w:val="center"/>
              <w:textAlignment w:val="center"/>
              <w:rPr>
                <w:rFonts w:asciiTheme="minorEastAsia" w:hAnsiTheme="minorEastAsia" w:cs="Times New Roman"/>
                <w:b/>
                <w:color w:val="000000" w:themeColor="text1"/>
                <w:szCs w:val="21"/>
              </w:rPr>
            </w:pPr>
            <w:r w:rsidRPr="00924B43">
              <w:rPr>
                <w:rFonts w:asciiTheme="minorEastAsia" w:hAnsiTheme="minorEastAsia" w:cs="Times New Roman" w:hint="eastAsia"/>
                <w:b/>
                <w:color w:val="000000" w:themeColor="text1"/>
                <w:kern w:val="0"/>
                <w:szCs w:val="21"/>
              </w:rPr>
              <w:t>推荐等级</w:t>
            </w:r>
          </w:p>
        </w:tc>
        <w:tc>
          <w:tcPr>
            <w:tcW w:w="447" w:type="pct"/>
            <w:tcBorders>
              <w:top w:val="single" w:sz="12" w:space="0" w:color="000000"/>
              <w:bottom w:val="single" w:sz="12" w:space="0" w:color="000000"/>
              <w:right w:val="single" w:sz="12" w:space="0" w:color="000000"/>
            </w:tcBorders>
            <w:shd w:val="clear" w:color="auto" w:fill="auto"/>
            <w:vAlign w:val="center"/>
          </w:tcPr>
          <w:p w:rsidR="00F47729" w:rsidRPr="00924B43" w:rsidRDefault="00F47729" w:rsidP="00F47729">
            <w:pPr>
              <w:widowControl/>
              <w:jc w:val="center"/>
              <w:textAlignment w:val="center"/>
              <w:rPr>
                <w:rFonts w:asciiTheme="minorEastAsia" w:hAnsiTheme="minorEastAsia" w:cs="Times New Roman"/>
                <w:b/>
                <w:color w:val="000000" w:themeColor="text1"/>
                <w:szCs w:val="21"/>
              </w:rPr>
            </w:pPr>
            <w:r w:rsidRPr="00924B43">
              <w:rPr>
                <w:rFonts w:asciiTheme="minorEastAsia" w:hAnsiTheme="minorEastAsia" w:cs="Times New Roman" w:hint="eastAsia"/>
                <w:b/>
                <w:color w:val="000000" w:themeColor="text1"/>
                <w:kern w:val="0"/>
                <w:szCs w:val="21"/>
              </w:rPr>
              <w:t>证据强度</w:t>
            </w:r>
          </w:p>
        </w:tc>
      </w:tr>
      <w:tr w:rsidR="00F47729" w:rsidRPr="009F686C" w:rsidTr="00F47729">
        <w:trPr>
          <w:trHeight w:val="210"/>
        </w:trPr>
        <w:tc>
          <w:tcPr>
            <w:tcW w:w="243" w:type="pct"/>
            <w:vMerge w:val="restart"/>
            <w:tcBorders>
              <w:left w:val="single" w:sz="12" w:space="0" w:color="000000"/>
              <w:bottom w:val="single" w:sz="12" w:space="0" w:color="000000"/>
              <w:right w:val="single" w:sz="12" w:space="0" w:color="000000"/>
            </w:tcBorders>
            <w:shd w:val="clear" w:color="auto" w:fill="auto"/>
            <w:vAlign w:val="center"/>
          </w:tcPr>
          <w:p w:rsidR="00F47729" w:rsidRPr="00924B43" w:rsidRDefault="00F47729" w:rsidP="00F47729">
            <w:pPr>
              <w:widowControl/>
              <w:jc w:val="center"/>
              <w:textAlignment w:val="center"/>
              <w:rPr>
                <w:rFonts w:asciiTheme="minorEastAsia" w:hAnsiTheme="minorEastAsia" w:cs="Times New Roman"/>
                <w:color w:val="000000" w:themeColor="text1"/>
                <w:szCs w:val="21"/>
              </w:rPr>
            </w:pPr>
            <w:r w:rsidRPr="00924B43">
              <w:rPr>
                <w:rFonts w:asciiTheme="minorEastAsia" w:hAnsiTheme="minorEastAsia" w:cs="Times New Roman"/>
                <w:color w:val="000000" w:themeColor="text1"/>
                <w:kern w:val="0"/>
                <w:szCs w:val="21"/>
              </w:rPr>
              <w:t>1</w:t>
            </w:r>
          </w:p>
        </w:tc>
        <w:tc>
          <w:tcPr>
            <w:tcW w:w="307" w:type="pct"/>
            <w:vMerge w:val="restart"/>
            <w:tcBorders>
              <w:bottom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hint="eastAsia"/>
                <w:color w:val="000000" w:themeColor="text1"/>
                <w:kern w:val="0"/>
                <w:szCs w:val="21"/>
              </w:rPr>
              <w:t>厄贝沙坦</w:t>
            </w:r>
          </w:p>
        </w:tc>
        <w:tc>
          <w:tcPr>
            <w:tcW w:w="307" w:type="pct"/>
            <w:vMerge w:val="restart"/>
            <w:tcBorders>
              <w:bottom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hint="eastAsia"/>
                <w:color w:val="000000" w:themeColor="text1"/>
                <w:kern w:val="0"/>
                <w:szCs w:val="21"/>
              </w:rPr>
              <w:t>片剂</w:t>
            </w:r>
          </w:p>
        </w:tc>
        <w:tc>
          <w:tcPr>
            <w:tcW w:w="451" w:type="pct"/>
            <w:tcBorders>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Cambria Math" w:hint="eastAsia"/>
                <w:color w:val="000000" w:themeColor="text1"/>
                <w:kern w:val="0"/>
                <w:szCs w:val="21"/>
              </w:rPr>
              <w:t>①</w:t>
            </w:r>
            <w:r w:rsidRPr="00924B43">
              <w:rPr>
                <w:rFonts w:asciiTheme="minorEastAsia" w:hAnsiTheme="minorEastAsia" w:cs="Times New Roman"/>
                <w:color w:val="000000" w:themeColor="text1"/>
                <w:kern w:val="0"/>
                <w:szCs w:val="21"/>
              </w:rPr>
              <w:t>75 mg</w:t>
            </w:r>
          </w:p>
        </w:tc>
        <w:tc>
          <w:tcPr>
            <w:tcW w:w="604" w:type="pct"/>
            <w:vMerge w:val="restart"/>
            <w:tcBorders>
              <w:bottom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hint="eastAsia"/>
                <w:color w:val="000000" w:themeColor="text1"/>
                <w:kern w:val="0"/>
                <w:szCs w:val="21"/>
              </w:rPr>
              <w:t>糖尿病肾病</w:t>
            </w:r>
          </w:p>
        </w:tc>
        <w:tc>
          <w:tcPr>
            <w:tcW w:w="861" w:type="pct"/>
            <w:vMerge w:val="restart"/>
            <w:tcBorders>
              <w:bottom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u w:val="single"/>
              </w:rPr>
            </w:pPr>
            <w:r w:rsidRPr="00924B43">
              <w:rPr>
                <w:rFonts w:asciiTheme="minorEastAsia" w:hAnsiTheme="minorEastAsia" w:cs="Times New Roman" w:hint="eastAsia"/>
                <w:color w:val="000000" w:themeColor="text1"/>
                <w:kern w:val="0"/>
                <w:szCs w:val="21"/>
                <w:u w:val="single"/>
              </w:rPr>
              <w:t>每日</w:t>
            </w:r>
            <w:r w:rsidRPr="00924B43">
              <w:rPr>
                <w:rFonts w:asciiTheme="minorEastAsia" w:hAnsiTheme="minorEastAsia" w:cs="Times New Roman"/>
                <w:color w:val="000000" w:themeColor="text1"/>
                <w:kern w:val="0"/>
                <w:szCs w:val="21"/>
                <w:u w:val="single"/>
              </w:rPr>
              <w:t>300 mg qd</w:t>
            </w:r>
            <w:r w:rsidRPr="00924B43">
              <w:rPr>
                <w:rFonts w:asciiTheme="minorEastAsia" w:hAnsiTheme="minorEastAsia" w:cs="Times New Roman" w:hint="eastAsia"/>
                <w:color w:val="000000" w:themeColor="text1"/>
                <w:kern w:val="0"/>
                <w:szCs w:val="21"/>
                <w:u w:val="single"/>
              </w:rPr>
              <w:t>口服</w:t>
            </w:r>
          </w:p>
        </w:tc>
        <w:tc>
          <w:tcPr>
            <w:tcW w:w="896" w:type="pct"/>
            <w:tcBorders>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color w:val="000000" w:themeColor="text1"/>
                <w:kern w:val="0"/>
                <w:szCs w:val="21"/>
              </w:rPr>
              <w:t>1.</w:t>
            </w:r>
            <w:r w:rsidRPr="00924B43">
              <w:rPr>
                <w:rFonts w:asciiTheme="minorEastAsia" w:hAnsiTheme="minorEastAsia" w:cs="Times New Roman" w:hint="eastAsia"/>
                <w:color w:val="000000" w:themeColor="text1"/>
                <w:kern w:val="0"/>
                <w:szCs w:val="21"/>
              </w:rPr>
              <w:t>美国</w:t>
            </w:r>
            <w:r w:rsidRPr="00924B43">
              <w:rPr>
                <w:rFonts w:asciiTheme="minorEastAsia" w:hAnsiTheme="minorEastAsia" w:cs="Times New Roman"/>
                <w:color w:val="000000" w:themeColor="text1"/>
                <w:kern w:val="0"/>
                <w:szCs w:val="21"/>
              </w:rPr>
              <w:t>FDA</w:t>
            </w:r>
            <w:r w:rsidRPr="00924B43">
              <w:rPr>
                <w:rFonts w:asciiTheme="minorEastAsia" w:hAnsiTheme="minorEastAsia" w:cs="Times New Roman" w:hint="eastAsia"/>
                <w:color w:val="000000" w:themeColor="text1"/>
                <w:kern w:val="0"/>
                <w:szCs w:val="21"/>
              </w:rPr>
              <w:t>批准用于成人糖尿病肾病；</w:t>
            </w:r>
          </w:p>
        </w:tc>
        <w:tc>
          <w:tcPr>
            <w:tcW w:w="448" w:type="pct"/>
            <w:vMerge w:val="restart"/>
            <w:tcBorders>
              <w:bottom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color w:val="000000" w:themeColor="text1"/>
                <w:kern w:val="0"/>
                <w:szCs w:val="21"/>
              </w:rPr>
              <w:t xml:space="preserve">Class </w:t>
            </w:r>
            <w:r w:rsidRPr="00924B43">
              <w:rPr>
                <w:rFonts w:asciiTheme="minorEastAsia" w:hAnsiTheme="minorEastAsia" w:cs="Times New Roman" w:hint="eastAsia"/>
                <w:color w:val="000000" w:themeColor="text1"/>
                <w:kern w:val="0"/>
                <w:szCs w:val="21"/>
              </w:rPr>
              <w:t>Ⅰ</w:t>
            </w:r>
          </w:p>
        </w:tc>
        <w:tc>
          <w:tcPr>
            <w:tcW w:w="435" w:type="pct"/>
            <w:vMerge w:val="restart"/>
            <w:tcBorders>
              <w:bottom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color w:val="000000" w:themeColor="text1"/>
                <w:kern w:val="0"/>
                <w:szCs w:val="21"/>
              </w:rPr>
              <w:t xml:space="preserve">Class </w:t>
            </w:r>
            <w:r w:rsidRPr="00924B43">
              <w:rPr>
                <w:rFonts w:asciiTheme="minorEastAsia" w:hAnsiTheme="minorEastAsia" w:cs="Times New Roman" w:hint="eastAsia"/>
                <w:color w:val="000000" w:themeColor="text1"/>
                <w:kern w:val="0"/>
                <w:szCs w:val="21"/>
              </w:rPr>
              <w:t>Ⅱ</w:t>
            </w:r>
            <w:r w:rsidRPr="00924B43">
              <w:rPr>
                <w:rFonts w:asciiTheme="minorEastAsia" w:hAnsiTheme="minorEastAsia" w:cs="Times New Roman"/>
                <w:color w:val="000000" w:themeColor="text1"/>
                <w:kern w:val="0"/>
                <w:szCs w:val="21"/>
              </w:rPr>
              <w:t>a</w:t>
            </w:r>
          </w:p>
        </w:tc>
        <w:tc>
          <w:tcPr>
            <w:tcW w:w="447" w:type="pct"/>
            <w:vMerge w:val="restart"/>
            <w:tcBorders>
              <w:bottom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color w:val="000000" w:themeColor="text1"/>
                <w:kern w:val="0"/>
                <w:szCs w:val="21"/>
              </w:rPr>
              <w:t>Category A</w:t>
            </w:r>
          </w:p>
        </w:tc>
      </w:tr>
      <w:tr w:rsidR="00F47729" w:rsidRPr="009F686C" w:rsidTr="00F47729">
        <w:trPr>
          <w:trHeight w:val="90"/>
        </w:trPr>
        <w:tc>
          <w:tcPr>
            <w:tcW w:w="243" w:type="pct"/>
            <w:vMerge/>
            <w:tcBorders>
              <w:left w:val="single" w:sz="12" w:space="0" w:color="000000"/>
              <w:bottom w:val="single" w:sz="12" w:space="0" w:color="000000"/>
              <w:right w:val="single" w:sz="12" w:space="0" w:color="000000"/>
            </w:tcBorders>
            <w:shd w:val="clear" w:color="auto" w:fill="auto"/>
            <w:vAlign w:val="center"/>
          </w:tcPr>
          <w:p w:rsidR="00F47729" w:rsidRPr="00924B43" w:rsidRDefault="00F47729" w:rsidP="00F47729">
            <w:pPr>
              <w:jc w:val="center"/>
              <w:rPr>
                <w:rFonts w:asciiTheme="minorEastAsia" w:hAnsiTheme="minorEastAsia" w:cs="Times New Roman"/>
                <w:color w:val="000000" w:themeColor="text1"/>
                <w:szCs w:val="21"/>
              </w:rPr>
            </w:pPr>
          </w:p>
        </w:tc>
        <w:tc>
          <w:tcPr>
            <w:tcW w:w="307"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307"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451" w:type="pct"/>
            <w:tcBorders>
              <w:bottom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Cambria Math" w:hint="eastAsia"/>
                <w:color w:val="000000" w:themeColor="text1"/>
                <w:kern w:val="0"/>
                <w:szCs w:val="21"/>
              </w:rPr>
              <w:t>②</w:t>
            </w:r>
            <w:r w:rsidRPr="00924B43">
              <w:rPr>
                <w:rFonts w:asciiTheme="minorEastAsia" w:hAnsiTheme="minorEastAsia" w:cs="Times New Roman"/>
                <w:color w:val="000000" w:themeColor="text1"/>
                <w:kern w:val="0"/>
                <w:szCs w:val="21"/>
              </w:rPr>
              <w:t>150 mg</w:t>
            </w:r>
          </w:p>
        </w:tc>
        <w:tc>
          <w:tcPr>
            <w:tcW w:w="604"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861"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u w:val="single"/>
              </w:rPr>
            </w:pPr>
          </w:p>
        </w:tc>
        <w:tc>
          <w:tcPr>
            <w:tcW w:w="896" w:type="pct"/>
            <w:tcBorders>
              <w:bottom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color w:val="000000" w:themeColor="text1"/>
                <w:kern w:val="0"/>
                <w:szCs w:val="21"/>
              </w:rPr>
              <w:t>2.</w:t>
            </w:r>
            <w:r w:rsidRPr="00924B43">
              <w:rPr>
                <w:rFonts w:asciiTheme="minorEastAsia" w:hAnsiTheme="minorEastAsia" w:cs="Times New Roman" w:hint="eastAsia"/>
                <w:color w:val="000000" w:themeColor="text1"/>
                <w:kern w:val="0"/>
                <w:szCs w:val="21"/>
              </w:rPr>
              <w:t>中华医学会糖尿病学分会微血管并发症学组，《中国糖尿病肾脏疾病防治临床指南》</w:t>
            </w:r>
            <w:r w:rsidRPr="00924B43">
              <w:rPr>
                <w:rFonts w:asciiTheme="minorEastAsia" w:hAnsiTheme="minorEastAsia" w:cs="Times New Roman"/>
                <w:color w:val="000000" w:themeColor="text1"/>
                <w:kern w:val="0"/>
                <w:szCs w:val="21"/>
              </w:rPr>
              <w:t>(2019)</w:t>
            </w:r>
            <w:r w:rsidR="00B411DC" w:rsidRPr="00924B43">
              <w:rPr>
                <w:rFonts w:asciiTheme="minorEastAsia" w:hAnsiTheme="minorEastAsia" w:cs="Times New Roman"/>
                <w:bCs/>
                <w:color w:val="000000" w:themeColor="text1"/>
                <w:szCs w:val="21"/>
              </w:rPr>
              <w:fldChar w:fldCharType="begin"/>
            </w:r>
            <w:r w:rsidRPr="00924B43">
              <w:rPr>
                <w:rFonts w:asciiTheme="minorEastAsia" w:hAnsiTheme="minorEastAsia" w:cs="Times New Roman"/>
                <w:bCs/>
                <w:color w:val="000000" w:themeColor="text1"/>
                <w:szCs w:val="21"/>
              </w:rPr>
              <w:instrText xml:space="preserve"> ADDIN NE.Ref.{F9029D81-B779-4F40-825F-80B0923574C5}</w:instrText>
            </w:r>
            <w:r w:rsidR="00B411DC" w:rsidRPr="00924B43">
              <w:rPr>
                <w:rFonts w:asciiTheme="minorEastAsia" w:hAnsiTheme="minorEastAsia" w:cs="Times New Roman"/>
                <w:bCs/>
                <w:color w:val="000000" w:themeColor="text1"/>
                <w:szCs w:val="21"/>
              </w:rPr>
              <w:fldChar w:fldCharType="separate"/>
            </w:r>
            <w:r w:rsidRPr="00924B43">
              <w:rPr>
                <w:rFonts w:asciiTheme="minorEastAsia" w:hAnsiTheme="minorEastAsia" w:cs="Times New Roman"/>
                <w:color w:val="000000" w:themeColor="text1"/>
                <w:kern w:val="0"/>
                <w:szCs w:val="21"/>
                <w:vertAlign w:val="superscript"/>
              </w:rPr>
              <w:t>[106]</w:t>
            </w:r>
            <w:r w:rsidR="00B411DC" w:rsidRPr="00924B43">
              <w:rPr>
                <w:rFonts w:asciiTheme="minorEastAsia" w:hAnsiTheme="minorEastAsia" w:cs="Times New Roman"/>
                <w:bCs/>
                <w:color w:val="000000" w:themeColor="text1"/>
                <w:szCs w:val="21"/>
              </w:rPr>
              <w:fldChar w:fldCharType="end"/>
            </w:r>
          </w:p>
        </w:tc>
        <w:tc>
          <w:tcPr>
            <w:tcW w:w="448"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435"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447"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r>
      <w:tr w:rsidR="00F47729" w:rsidRPr="009F686C" w:rsidTr="00F47729">
        <w:trPr>
          <w:trHeight w:val="210"/>
        </w:trPr>
        <w:tc>
          <w:tcPr>
            <w:tcW w:w="243" w:type="pct"/>
            <w:vMerge w:val="restart"/>
            <w:tcBorders>
              <w:left w:val="single" w:sz="12" w:space="0" w:color="000000"/>
              <w:bottom w:val="single" w:sz="12" w:space="0" w:color="000000"/>
              <w:right w:val="single" w:sz="12" w:space="0" w:color="000000"/>
            </w:tcBorders>
            <w:shd w:val="clear" w:color="auto" w:fill="auto"/>
            <w:vAlign w:val="center"/>
          </w:tcPr>
          <w:p w:rsidR="00F47729" w:rsidRPr="00924B43" w:rsidRDefault="00F47729" w:rsidP="00F47729">
            <w:pPr>
              <w:widowControl/>
              <w:jc w:val="center"/>
              <w:textAlignment w:val="center"/>
              <w:rPr>
                <w:rFonts w:asciiTheme="minorEastAsia" w:hAnsiTheme="minorEastAsia" w:cs="Times New Roman"/>
                <w:color w:val="000000" w:themeColor="text1"/>
                <w:szCs w:val="21"/>
              </w:rPr>
            </w:pPr>
            <w:r w:rsidRPr="00924B43">
              <w:rPr>
                <w:rFonts w:asciiTheme="minorEastAsia" w:hAnsiTheme="minorEastAsia" w:cs="Times New Roman"/>
                <w:color w:val="000000" w:themeColor="text1"/>
                <w:kern w:val="0"/>
                <w:szCs w:val="21"/>
              </w:rPr>
              <w:t>2</w:t>
            </w:r>
          </w:p>
        </w:tc>
        <w:tc>
          <w:tcPr>
            <w:tcW w:w="307" w:type="pct"/>
            <w:vMerge w:val="restart"/>
            <w:tcBorders>
              <w:bottom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hint="eastAsia"/>
                <w:color w:val="000000" w:themeColor="text1"/>
                <w:kern w:val="0"/>
                <w:szCs w:val="21"/>
              </w:rPr>
              <w:t>厄贝沙坦</w:t>
            </w:r>
          </w:p>
        </w:tc>
        <w:tc>
          <w:tcPr>
            <w:tcW w:w="307" w:type="pct"/>
            <w:vMerge w:val="restart"/>
            <w:tcBorders>
              <w:bottom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hint="eastAsia"/>
                <w:color w:val="000000" w:themeColor="text1"/>
                <w:kern w:val="0"/>
                <w:szCs w:val="21"/>
              </w:rPr>
              <w:t>片剂</w:t>
            </w:r>
          </w:p>
        </w:tc>
        <w:tc>
          <w:tcPr>
            <w:tcW w:w="451" w:type="pct"/>
            <w:tcBorders>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Cambria Math" w:hint="eastAsia"/>
                <w:color w:val="000000" w:themeColor="text1"/>
                <w:kern w:val="0"/>
                <w:szCs w:val="21"/>
              </w:rPr>
              <w:t>①</w:t>
            </w:r>
            <w:r w:rsidRPr="00924B43">
              <w:rPr>
                <w:rFonts w:asciiTheme="minorEastAsia" w:hAnsiTheme="minorEastAsia" w:cs="Times New Roman"/>
                <w:color w:val="000000" w:themeColor="text1"/>
                <w:kern w:val="0"/>
                <w:szCs w:val="21"/>
              </w:rPr>
              <w:t>75 mg</w:t>
            </w:r>
          </w:p>
        </w:tc>
        <w:tc>
          <w:tcPr>
            <w:tcW w:w="604" w:type="pct"/>
            <w:vMerge w:val="restart"/>
            <w:tcBorders>
              <w:bottom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hint="eastAsia"/>
                <w:color w:val="000000" w:themeColor="text1"/>
                <w:kern w:val="0"/>
                <w:szCs w:val="21"/>
              </w:rPr>
              <w:t>有蛋白尿的原发性或继发性肾小球疾病</w:t>
            </w:r>
          </w:p>
        </w:tc>
        <w:tc>
          <w:tcPr>
            <w:tcW w:w="861" w:type="pct"/>
            <w:vMerge w:val="restart"/>
            <w:tcBorders>
              <w:bottom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hint="eastAsia"/>
                <w:color w:val="000000" w:themeColor="text1"/>
                <w:kern w:val="0"/>
                <w:szCs w:val="21"/>
              </w:rPr>
              <w:t>单独治疗肾小球肾炎和蛋白尿患者时，将</w:t>
            </w:r>
            <w:r w:rsidRPr="00924B43">
              <w:rPr>
                <w:rFonts w:asciiTheme="minorEastAsia" w:hAnsiTheme="minorEastAsia" w:cs="Times New Roman"/>
                <w:color w:val="000000" w:themeColor="text1"/>
                <w:kern w:val="0"/>
                <w:szCs w:val="21"/>
              </w:rPr>
              <w:t>ACEI</w:t>
            </w:r>
            <w:r w:rsidRPr="00924B43">
              <w:rPr>
                <w:rFonts w:asciiTheme="minorEastAsia" w:hAnsiTheme="minorEastAsia" w:cs="Times New Roman" w:hint="eastAsia"/>
                <w:color w:val="000000" w:themeColor="text1"/>
                <w:kern w:val="0"/>
                <w:szCs w:val="21"/>
              </w:rPr>
              <w:t>或</w:t>
            </w:r>
            <w:r w:rsidRPr="00924B43">
              <w:rPr>
                <w:rFonts w:asciiTheme="minorEastAsia" w:hAnsiTheme="minorEastAsia" w:cs="Times New Roman"/>
                <w:color w:val="000000" w:themeColor="text1"/>
                <w:kern w:val="0"/>
                <w:szCs w:val="21"/>
              </w:rPr>
              <w:t>ARB</w:t>
            </w:r>
            <w:r w:rsidRPr="00924B43">
              <w:rPr>
                <w:rFonts w:asciiTheme="minorEastAsia" w:hAnsiTheme="minorEastAsia" w:cs="Times New Roman" w:hint="eastAsia"/>
                <w:color w:val="000000" w:themeColor="text1"/>
                <w:kern w:val="0"/>
                <w:szCs w:val="21"/>
              </w:rPr>
              <w:t>上调至首次最大耐受或允许剂量；厄贝沙坦最大剂量可</w:t>
            </w:r>
            <w:r w:rsidRPr="00924B43">
              <w:rPr>
                <w:rFonts w:asciiTheme="minorEastAsia" w:hAnsiTheme="minorEastAsia" w:cs="Times New Roman"/>
                <w:color w:val="000000" w:themeColor="text1"/>
                <w:kern w:val="0"/>
                <w:szCs w:val="21"/>
              </w:rPr>
              <w:t>300 mg/d</w:t>
            </w:r>
            <w:r w:rsidRPr="00924B43">
              <w:rPr>
                <w:rFonts w:asciiTheme="minorEastAsia" w:hAnsiTheme="minorEastAsia" w:cs="Times New Roman" w:hint="eastAsia"/>
                <w:color w:val="000000" w:themeColor="text1"/>
                <w:kern w:val="0"/>
                <w:szCs w:val="21"/>
              </w:rPr>
              <w:t>口服</w:t>
            </w:r>
          </w:p>
        </w:tc>
        <w:tc>
          <w:tcPr>
            <w:tcW w:w="896" w:type="pct"/>
            <w:tcBorders>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color w:val="000000" w:themeColor="text1"/>
                <w:kern w:val="0"/>
                <w:szCs w:val="21"/>
              </w:rPr>
              <w:t>1.</w:t>
            </w:r>
            <w:r w:rsidRPr="00924B43">
              <w:rPr>
                <w:rFonts w:asciiTheme="minorEastAsia" w:hAnsiTheme="minorEastAsia" w:cs="Times New Roman" w:hint="eastAsia"/>
                <w:color w:val="000000" w:themeColor="text1"/>
                <w:kern w:val="0"/>
                <w:szCs w:val="21"/>
              </w:rPr>
              <w:t>美国</w:t>
            </w:r>
            <w:r w:rsidRPr="00924B43">
              <w:rPr>
                <w:rFonts w:asciiTheme="minorEastAsia" w:hAnsiTheme="minorEastAsia" w:cs="Times New Roman"/>
                <w:color w:val="000000" w:themeColor="text1"/>
                <w:kern w:val="0"/>
                <w:szCs w:val="21"/>
              </w:rPr>
              <w:t>FDA</w:t>
            </w:r>
            <w:r w:rsidRPr="00924B43">
              <w:rPr>
                <w:rFonts w:asciiTheme="minorEastAsia" w:hAnsiTheme="minorEastAsia" w:cs="Times New Roman" w:hint="eastAsia"/>
                <w:color w:val="000000" w:themeColor="text1"/>
                <w:kern w:val="0"/>
                <w:szCs w:val="21"/>
              </w:rPr>
              <w:t>未批准厄贝沙坦用于治疗有蛋白尿的原发性或继发性肾小球疾病；</w:t>
            </w:r>
          </w:p>
        </w:tc>
        <w:tc>
          <w:tcPr>
            <w:tcW w:w="448" w:type="pct"/>
            <w:vMerge w:val="restart"/>
            <w:tcBorders>
              <w:bottom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color w:val="000000" w:themeColor="text1"/>
                <w:kern w:val="0"/>
                <w:szCs w:val="21"/>
              </w:rPr>
              <w:t>class</w:t>
            </w:r>
            <w:r w:rsidRPr="00924B43">
              <w:rPr>
                <w:rFonts w:asciiTheme="minorEastAsia" w:hAnsiTheme="minorEastAsia" w:cs="Times New Roman" w:hint="eastAsia"/>
                <w:color w:val="000000" w:themeColor="text1"/>
                <w:kern w:val="0"/>
                <w:szCs w:val="21"/>
              </w:rPr>
              <w:t>Ⅰ（糖尿病肾病）</w:t>
            </w:r>
          </w:p>
        </w:tc>
        <w:tc>
          <w:tcPr>
            <w:tcW w:w="435" w:type="pct"/>
            <w:vMerge w:val="restart"/>
            <w:tcBorders>
              <w:bottom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color w:val="000000" w:themeColor="text1"/>
                <w:kern w:val="0"/>
                <w:szCs w:val="21"/>
              </w:rPr>
              <w:t>Class</w:t>
            </w:r>
            <w:r w:rsidRPr="00924B43">
              <w:rPr>
                <w:rFonts w:asciiTheme="minorEastAsia" w:hAnsiTheme="minorEastAsia" w:cs="Times New Roman" w:hint="eastAsia"/>
                <w:color w:val="000000" w:themeColor="text1"/>
                <w:kern w:val="0"/>
                <w:szCs w:val="21"/>
              </w:rPr>
              <w:t>Ⅱ</w:t>
            </w:r>
            <w:r w:rsidRPr="00924B43">
              <w:rPr>
                <w:rFonts w:asciiTheme="minorEastAsia" w:hAnsiTheme="minorEastAsia" w:cs="Times New Roman"/>
                <w:color w:val="000000" w:themeColor="text1"/>
                <w:kern w:val="0"/>
                <w:szCs w:val="21"/>
              </w:rPr>
              <w:t>a</w:t>
            </w:r>
            <w:r w:rsidRPr="00924B43">
              <w:rPr>
                <w:rFonts w:asciiTheme="minorEastAsia" w:hAnsiTheme="minorEastAsia" w:cs="Times New Roman" w:hint="eastAsia"/>
                <w:color w:val="000000" w:themeColor="text1"/>
                <w:kern w:val="0"/>
                <w:szCs w:val="21"/>
              </w:rPr>
              <w:t>（糖尿病肾病）</w:t>
            </w:r>
          </w:p>
        </w:tc>
        <w:tc>
          <w:tcPr>
            <w:tcW w:w="447" w:type="pct"/>
            <w:vMerge w:val="restart"/>
            <w:tcBorders>
              <w:bottom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color w:val="000000" w:themeColor="text1"/>
                <w:kern w:val="0"/>
                <w:szCs w:val="21"/>
              </w:rPr>
              <w:t>Category A</w:t>
            </w:r>
            <w:r w:rsidRPr="00924B43">
              <w:rPr>
                <w:rFonts w:asciiTheme="minorEastAsia" w:hAnsiTheme="minorEastAsia" w:cs="Times New Roman" w:hint="eastAsia"/>
                <w:color w:val="000000" w:themeColor="text1"/>
                <w:kern w:val="0"/>
                <w:szCs w:val="21"/>
              </w:rPr>
              <w:t>（糖尿病肾病）</w:t>
            </w:r>
          </w:p>
        </w:tc>
      </w:tr>
      <w:tr w:rsidR="00F47729" w:rsidRPr="009F686C" w:rsidTr="00F47729">
        <w:trPr>
          <w:trHeight w:val="375"/>
        </w:trPr>
        <w:tc>
          <w:tcPr>
            <w:tcW w:w="243" w:type="pct"/>
            <w:vMerge/>
            <w:tcBorders>
              <w:left w:val="single" w:sz="12" w:space="0" w:color="000000"/>
              <w:bottom w:val="single" w:sz="12" w:space="0" w:color="000000"/>
              <w:right w:val="single" w:sz="12" w:space="0" w:color="000000"/>
            </w:tcBorders>
            <w:shd w:val="clear" w:color="auto" w:fill="auto"/>
            <w:vAlign w:val="center"/>
          </w:tcPr>
          <w:p w:rsidR="00F47729" w:rsidRPr="00924B43" w:rsidRDefault="00F47729" w:rsidP="00F47729">
            <w:pPr>
              <w:jc w:val="center"/>
              <w:rPr>
                <w:rFonts w:asciiTheme="minorEastAsia" w:hAnsiTheme="minorEastAsia" w:cs="Times New Roman"/>
                <w:color w:val="000000" w:themeColor="text1"/>
                <w:szCs w:val="21"/>
              </w:rPr>
            </w:pPr>
          </w:p>
        </w:tc>
        <w:tc>
          <w:tcPr>
            <w:tcW w:w="307"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307"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451" w:type="pct"/>
            <w:tcBorders>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Cambria Math" w:hint="eastAsia"/>
                <w:color w:val="000000" w:themeColor="text1"/>
                <w:kern w:val="0"/>
                <w:szCs w:val="21"/>
              </w:rPr>
              <w:t>②</w:t>
            </w:r>
            <w:r w:rsidRPr="00924B43">
              <w:rPr>
                <w:rFonts w:asciiTheme="minorEastAsia" w:hAnsiTheme="minorEastAsia" w:cs="Times New Roman"/>
                <w:color w:val="000000" w:themeColor="text1"/>
                <w:kern w:val="0"/>
                <w:szCs w:val="21"/>
              </w:rPr>
              <w:t>150 mg</w:t>
            </w:r>
          </w:p>
        </w:tc>
        <w:tc>
          <w:tcPr>
            <w:tcW w:w="604"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861"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896" w:type="pct"/>
            <w:tcBorders>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color w:val="000000" w:themeColor="text1"/>
                <w:kern w:val="0"/>
                <w:szCs w:val="21"/>
              </w:rPr>
              <w:t>2.</w:t>
            </w:r>
            <w:r w:rsidRPr="00924B43">
              <w:rPr>
                <w:rFonts w:asciiTheme="minorEastAsia" w:hAnsiTheme="minorEastAsia" w:cs="Times New Roman" w:hint="eastAsia"/>
                <w:color w:val="000000" w:themeColor="text1"/>
                <w:kern w:val="0"/>
                <w:szCs w:val="21"/>
              </w:rPr>
              <w:t>改善全球肾脏病预后组织</w:t>
            </w:r>
            <w:r w:rsidRPr="00924B43">
              <w:rPr>
                <w:rFonts w:asciiTheme="minorEastAsia" w:hAnsiTheme="minorEastAsia" w:cs="Times New Roman"/>
                <w:color w:val="000000" w:themeColor="text1"/>
                <w:kern w:val="0"/>
                <w:szCs w:val="21"/>
              </w:rPr>
              <w:t>(KDIGO)</w:t>
            </w:r>
            <w:r w:rsidRPr="00924B43">
              <w:rPr>
                <w:rFonts w:asciiTheme="minorEastAsia" w:hAnsiTheme="minorEastAsia" w:cs="Times New Roman" w:hint="eastAsia"/>
                <w:color w:val="000000" w:themeColor="text1"/>
                <w:kern w:val="0"/>
                <w:szCs w:val="21"/>
              </w:rPr>
              <w:t>临床实践指南</w:t>
            </w:r>
            <w:r w:rsidRPr="00924B43">
              <w:rPr>
                <w:rFonts w:asciiTheme="minorEastAsia" w:hAnsiTheme="minorEastAsia" w:cs="Times New Roman"/>
                <w:color w:val="000000" w:themeColor="text1"/>
                <w:kern w:val="0"/>
                <w:szCs w:val="21"/>
              </w:rPr>
              <w:t>-</w:t>
            </w:r>
            <w:r w:rsidRPr="00924B43">
              <w:rPr>
                <w:rFonts w:asciiTheme="minorEastAsia" w:hAnsiTheme="minorEastAsia" w:cs="Times New Roman" w:hint="eastAsia"/>
                <w:color w:val="000000" w:themeColor="text1"/>
                <w:kern w:val="0"/>
                <w:szCs w:val="21"/>
              </w:rPr>
              <w:t>肾小球疾病</w:t>
            </w:r>
            <w:r w:rsidRPr="00924B43">
              <w:rPr>
                <w:rFonts w:asciiTheme="minorEastAsia" w:hAnsiTheme="minorEastAsia" w:cs="Times New Roman"/>
                <w:color w:val="000000" w:themeColor="text1"/>
                <w:kern w:val="0"/>
                <w:szCs w:val="21"/>
              </w:rPr>
              <w:t>KDIGO 2021 Clinical Practice Guideline for the Management of Glomerular Diseases</w:t>
            </w:r>
            <w:r w:rsidR="00B411DC" w:rsidRPr="00924B43">
              <w:rPr>
                <w:rFonts w:asciiTheme="minorEastAsia" w:hAnsiTheme="minorEastAsia" w:cs="Times New Roman"/>
                <w:bCs/>
                <w:color w:val="000000" w:themeColor="text1"/>
                <w:szCs w:val="21"/>
              </w:rPr>
              <w:fldChar w:fldCharType="begin"/>
            </w:r>
            <w:r w:rsidRPr="00924B43">
              <w:rPr>
                <w:rFonts w:asciiTheme="minorEastAsia" w:hAnsiTheme="minorEastAsia" w:cs="Times New Roman"/>
                <w:bCs/>
                <w:color w:val="000000" w:themeColor="text1"/>
                <w:szCs w:val="21"/>
              </w:rPr>
              <w:instrText xml:space="preserve"> ADDIN NE.Ref.{F9029D81-B779-4F40-825F-80B0923574C5}</w:instrText>
            </w:r>
            <w:r w:rsidR="00B411DC" w:rsidRPr="00924B43">
              <w:rPr>
                <w:rFonts w:asciiTheme="minorEastAsia" w:hAnsiTheme="minorEastAsia" w:cs="Times New Roman"/>
                <w:bCs/>
                <w:color w:val="000000" w:themeColor="text1"/>
                <w:szCs w:val="21"/>
              </w:rPr>
              <w:fldChar w:fldCharType="separate"/>
            </w:r>
            <w:r w:rsidRPr="00924B43">
              <w:rPr>
                <w:rFonts w:asciiTheme="minorEastAsia" w:hAnsiTheme="minorEastAsia" w:cs="Times New Roman"/>
                <w:color w:val="000000" w:themeColor="text1"/>
                <w:kern w:val="0"/>
                <w:szCs w:val="21"/>
                <w:vertAlign w:val="superscript"/>
              </w:rPr>
              <w:t>[107]</w:t>
            </w:r>
            <w:r w:rsidR="00B411DC" w:rsidRPr="00924B43">
              <w:rPr>
                <w:rFonts w:asciiTheme="minorEastAsia" w:hAnsiTheme="minorEastAsia" w:cs="Times New Roman"/>
                <w:bCs/>
                <w:color w:val="000000" w:themeColor="text1"/>
                <w:szCs w:val="21"/>
              </w:rPr>
              <w:fldChar w:fldCharType="end"/>
            </w:r>
          </w:p>
        </w:tc>
        <w:tc>
          <w:tcPr>
            <w:tcW w:w="448"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435"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447"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r>
      <w:tr w:rsidR="00F47729" w:rsidRPr="009F686C" w:rsidTr="00F47729">
        <w:trPr>
          <w:trHeight w:val="420"/>
        </w:trPr>
        <w:tc>
          <w:tcPr>
            <w:tcW w:w="243" w:type="pct"/>
            <w:vMerge/>
            <w:tcBorders>
              <w:left w:val="single" w:sz="12" w:space="0" w:color="000000"/>
              <w:bottom w:val="single" w:sz="12" w:space="0" w:color="000000"/>
              <w:right w:val="single" w:sz="12" w:space="0" w:color="000000"/>
            </w:tcBorders>
            <w:shd w:val="clear" w:color="auto" w:fill="auto"/>
            <w:vAlign w:val="center"/>
          </w:tcPr>
          <w:p w:rsidR="00F47729" w:rsidRPr="00924B43" w:rsidRDefault="00F47729" w:rsidP="00F47729">
            <w:pPr>
              <w:jc w:val="center"/>
              <w:rPr>
                <w:rFonts w:asciiTheme="minorEastAsia" w:hAnsiTheme="minorEastAsia" w:cs="Times New Roman"/>
                <w:color w:val="000000" w:themeColor="text1"/>
                <w:szCs w:val="21"/>
              </w:rPr>
            </w:pPr>
          </w:p>
        </w:tc>
        <w:tc>
          <w:tcPr>
            <w:tcW w:w="307"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307"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451" w:type="pct"/>
            <w:tcBorders>
              <w:bottom w:val="single" w:sz="12" w:space="0" w:color="000000"/>
              <w:right w:val="single" w:sz="12" w:space="0" w:color="000000"/>
            </w:tcBorders>
            <w:shd w:val="clear" w:color="auto" w:fill="auto"/>
            <w:vAlign w:val="bottom"/>
          </w:tcPr>
          <w:p w:rsidR="00F47729" w:rsidRPr="00924B43" w:rsidRDefault="00F47729" w:rsidP="00F47729">
            <w:pPr>
              <w:rPr>
                <w:rFonts w:asciiTheme="minorEastAsia" w:hAnsiTheme="minorEastAsia" w:cs="Times New Roman"/>
                <w:color w:val="000000" w:themeColor="text1"/>
                <w:szCs w:val="21"/>
              </w:rPr>
            </w:pPr>
          </w:p>
        </w:tc>
        <w:tc>
          <w:tcPr>
            <w:tcW w:w="604"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861"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896" w:type="pct"/>
            <w:tcBorders>
              <w:bottom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color w:val="000000" w:themeColor="text1"/>
                <w:kern w:val="0"/>
                <w:szCs w:val="21"/>
              </w:rPr>
              <w:t>3.</w:t>
            </w:r>
            <w:r w:rsidRPr="00924B43">
              <w:rPr>
                <w:rFonts w:asciiTheme="minorEastAsia" w:hAnsiTheme="minorEastAsia" w:cs="Times New Roman" w:hint="eastAsia"/>
                <w:color w:val="000000" w:themeColor="text1"/>
                <w:kern w:val="0"/>
                <w:szCs w:val="21"/>
              </w:rPr>
              <w:t>中华医学会糖尿病学分会微血管并发症学组，《中国糖尿病肾脏疾病防治临床指南》</w:t>
            </w:r>
            <w:r w:rsidRPr="00924B43">
              <w:rPr>
                <w:rFonts w:asciiTheme="minorEastAsia" w:hAnsiTheme="minorEastAsia" w:cs="Times New Roman"/>
                <w:color w:val="000000" w:themeColor="text1"/>
                <w:kern w:val="0"/>
                <w:szCs w:val="21"/>
              </w:rPr>
              <w:t>(2019)</w:t>
            </w:r>
            <w:r w:rsidR="00B411DC" w:rsidRPr="00924B43">
              <w:rPr>
                <w:rFonts w:asciiTheme="minorEastAsia" w:hAnsiTheme="minorEastAsia" w:cs="Times New Roman"/>
                <w:bCs/>
                <w:color w:val="000000" w:themeColor="text1"/>
                <w:szCs w:val="21"/>
              </w:rPr>
              <w:fldChar w:fldCharType="begin"/>
            </w:r>
            <w:r w:rsidRPr="00924B43">
              <w:rPr>
                <w:rFonts w:asciiTheme="minorEastAsia" w:hAnsiTheme="minorEastAsia" w:cs="Times New Roman"/>
                <w:bCs/>
                <w:color w:val="000000" w:themeColor="text1"/>
                <w:szCs w:val="21"/>
              </w:rPr>
              <w:instrText xml:space="preserve"> ADDIN NE.Ref.{F9029D81-B779-4F40-825F-80B0923574C5}</w:instrText>
            </w:r>
            <w:r w:rsidR="00B411DC" w:rsidRPr="00924B43">
              <w:rPr>
                <w:rFonts w:asciiTheme="minorEastAsia" w:hAnsiTheme="minorEastAsia" w:cs="Times New Roman"/>
                <w:bCs/>
                <w:color w:val="000000" w:themeColor="text1"/>
                <w:szCs w:val="21"/>
              </w:rPr>
              <w:fldChar w:fldCharType="separate"/>
            </w:r>
            <w:r w:rsidRPr="00924B43">
              <w:rPr>
                <w:rFonts w:asciiTheme="minorEastAsia" w:hAnsiTheme="minorEastAsia" w:cs="Times New Roman"/>
                <w:color w:val="000000" w:themeColor="text1"/>
                <w:kern w:val="0"/>
                <w:szCs w:val="21"/>
                <w:vertAlign w:val="superscript"/>
              </w:rPr>
              <w:t>[106]</w:t>
            </w:r>
            <w:r w:rsidR="00B411DC" w:rsidRPr="00924B43">
              <w:rPr>
                <w:rFonts w:asciiTheme="minorEastAsia" w:hAnsiTheme="minorEastAsia" w:cs="Times New Roman"/>
                <w:bCs/>
                <w:color w:val="000000" w:themeColor="text1"/>
                <w:szCs w:val="21"/>
              </w:rPr>
              <w:fldChar w:fldCharType="end"/>
            </w:r>
          </w:p>
        </w:tc>
        <w:tc>
          <w:tcPr>
            <w:tcW w:w="448"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435"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447"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r>
      <w:tr w:rsidR="00F47729" w:rsidRPr="009F686C" w:rsidTr="00F47729">
        <w:trPr>
          <w:trHeight w:val="210"/>
        </w:trPr>
        <w:tc>
          <w:tcPr>
            <w:tcW w:w="243" w:type="pct"/>
            <w:vMerge w:val="restart"/>
            <w:tcBorders>
              <w:top w:val="single" w:sz="12" w:space="0" w:color="000000"/>
              <w:left w:val="single" w:sz="12" w:space="0" w:color="000000"/>
              <w:right w:val="single" w:sz="12" w:space="0" w:color="000000"/>
            </w:tcBorders>
            <w:shd w:val="clear" w:color="auto" w:fill="auto"/>
            <w:vAlign w:val="center"/>
          </w:tcPr>
          <w:p w:rsidR="00F47729" w:rsidRPr="00924B43" w:rsidRDefault="00F47729" w:rsidP="00F47729">
            <w:pPr>
              <w:widowControl/>
              <w:jc w:val="center"/>
              <w:textAlignment w:val="center"/>
              <w:rPr>
                <w:rFonts w:asciiTheme="minorEastAsia" w:hAnsiTheme="minorEastAsia" w:cs="Times New Roman"/>
                <w:color w:val="000000" w:themeColor="text1"/>
                <w:szCs w:val="21"/>
              </w:rPr>
            </w:pPr>
            <w:r w:rsidRPr="00924B43">
              <w:rPr>
                <w:rFonts w:asciiTheme="minorEastAsia" w:hAnsiTheme="minorEastAsia" w:cs="Times New Roman"/>
                <w:color w:val="000000" w:themeColor="text1"/>
                <w:kern w:val="0"/>
                <w:szCs w:val="21"/>
              </w:rPr>
              <w:t>3</w:t>
            </w:r>
          </w:p>
        </w:tc>
        <w:tc>
          <w:tcPr>
            <w:tcW w:w="307" w:type="pct"/>
            <w:vMerge w:val="restart"/>
            <w:tcBorders>
              <w:top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hint="eastAsia"/>
                <w:color w:val="000000" w:themeColor="text1"/>
                <w:kern w:val="0"/>
                <w:szCs w:val="21"/>
              </w:rPr>
              <w:t>福辛普利</w:t>
            </w:r>
          </w:p>
        </w:tc>
        <w:tc>
          <w:tcPr>
            <w:tcW w:w="307" w:type="pct"/>
            <w:vMerge w:val="restart"/>
            <w:tcBorders>
              <w:top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hint="eastAsia"/>
                <w:color w:val="000000" w:themeColor="text1"/>
                <w:kern w:val="0"/>
                <w:szCs w:val="21"/>
              </w:rPr>
              <w:t>片剂</w:t>
            </w:r>
          </w:p>
        </w:tc>
        <w:tc>
          <w:tcPr>
            <w:tcW w:w="451" w:type="pct"/>
            <w:vMerge w:val="restart"/>
            <w:tcBorders>
              <w:top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color w:val="000000" w:themeColor="text1"/>
                <w:kern w:val="0"/>
                <w:szCs w:val="21"/>
              </w:rPr>
              <w:t>10 mg</w:t>
            </w:r>
          </w:p>
        </w:tc>
        <w:tc>
          <w:tcPr>
            <w:tcW w:w="604" w:type="pct"/>
            <w:vMerge w:val="restart"/>
            <w:tcBorders>
              <w:top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hint="eastAsia"/>
                <w:color w:val="000000" w:themeColor="text1"/>
                <w:kern w:val="0"/>
                <w:szCs w:val="21"/>
              </w:rPr>
              <w:t>有蛋白尿的原发性或继发性肾小球疾病</w:t>
            </w:r>
          </w:p>
        </w:tc>
        <w:tc>
          <w:tcPr>
            <w:tcW w:w="861" w:type="pct"/>
            <w:vMerge w:val="restart"/>
            <w:tcBorders>
              <w:top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hint="eastAsia"/>
                <w:color w:val="000000" w:themeColor="text1"/>
                <w:kern w:val="0"/>
                <w:szCs w:val="21"/>
              </w:rPr>
              <w:t>单独治疗肾小球肾炎和蛋白尿患者时，将</w:t>
            </w:r>
            <w:r w:rsidRPr="00924B43">
              <w:rPr>
                <w:rFonts w:asciiTheme="minorEastAsia" w:hAnsiTheme="minorEastAsia" w:cs="Times New Roman"/>
                <w:color w:val="000000" w:themeColor="text1"/>
                <w:kern w:val="0"/>
                <w:szCs w:val="21"/>
              </w:rPr>
              <w:t>ACEI</w:t>
            </w:r>
            <w:r w:rsidRPr="00924B43">
              <w:rPr>
                <w:rFonts w:asciiTheme="minorEastAsia" w:hAnsiTheme="minorEastAsia" w:cs="Times New Roman" w:hint="eastAsia"/>
                <w:color w:val="000000" w:themeColor="text1"/>
                <w:kern w:val="0"/>
                <w:szCs w:val="21"/>
              </w:rPr>
              <w:t>或</w:t>
            </w:r>
            <w:r w:rsidRPr="00924B43">
              <w:rPr>
                <w:rFonts w:asciiTheme="minorEastAsia" w:hAnsiTheme="minorEastAsia" w:cs="Times New Roman"/>
                <w:color w:val="000000" w:themeColor="text1"/>
                <w:kern w:val="0"/>
                <w:szCs w:val="21"/>
              </w:rPr>
              <w:t>ARB</w:t>
            </w:r>
            <w:r w:rsidRPr="00924B43">
              <w:rPr>
                <w:rFonts w:asciiTheme="minorEastAsia" w:hAnsiTheme="minorEastAsia" w:cs="Times New Roman" w:hint="eastAsia"/>
                <w:color w:val="000000" w:themeColor="text1"/>
                <w:kern w:val="0"/>
                <w:szCs w:val="21"/>
              </w:rPr>
              <w:t>上调至首次最大耐受或允许剂量；福辛普利常用的最大剂量为</w:t>
            </w:r>
            <w:r w:rsidRPr="00924B43">
              <w:rPr>
                <w:rFonts w:asciiTheme="minorEastAsia" w:hAnsiTheme="minorEastAsia" w:cs="Times New Roman"/>
                <w:color w:val="000000" w:themeColor="text1"/>
                <w:kern w:val="0"/>
                <w:szCs w:val="21"/>
              </w:rPr>
              <w:t>40 mg/d</w:t>
            </w:r>
            <w:r w:rsidRPr="00924B43">
              <w:rPr>
                <w:rFonts w:asciiTheme="minorEastAsia" w:hAnsiTheme="minorEastAsia" w:cs="Times New Roman" w:hint="eastAsia"/>
                <w:color w:val="000000" w:themeColor="text1"/>
                <w:kern w:val="0"/>
                <w:szCs w:val="21"/>
              </w:rPr>
              <w:t>口服</w:t>
            </w:r>
          </w:p>
        </w:tc>
        <w:tc>
          <w:tcPr>
            <w:tcW w:w="896" w:type="pct"/>
            <w:tcBorders>
              <w:top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color w:val="000000" w:themeColor="text1"/>
                <w:kern w:val="0"/>
                <w:szCs w:val="21"/>
              </w:rPr>
              <w:t>1.</w:t>
            </w:r>
            <w:r w:rsidRPr="00924B43">
              <w:rPr>
                <w:rFonts w:asciiTheme="minorEastAsia" w:hAnsiTheme="minorEastAsia" w:cs="Times New Roman" w:hint="eastAsia"/>
                <w:color w:val="000000" w:themeColor="text1"/>
                <w:kern w:val="0"/>
                <w:szCs w:val="21"/>
              </w:rPr>
              <w:t>美国</w:t>
            </w:r>
            <w:r w:rsidRPr="00924B43">
              <w:rPr>
                <w:rFonts w:asciiTheme="minorEastAsia" w:hAnsiTheme="minorEastAsia" w:cs="Times New Roman"/>
                <w:color w:val="000000" w:themeColor="text1"/>
                <w:kern w:val="0"/>
                <w:szCs w:val="21"/>
              </w:rPr>
              <w:t>FDA</w:t>
            </w:r>
            <w:r w:rsidRPr="00924B43">
              <w:rPr>
                <w:rFonts w:asciiTheme="minorEastAsia" w:hAnsiTheme="minorEastAsia" w:cs="Times New Roman" w:hint="eastAsia"/>
                <w:color w:val="000000" w:themeColor="text1"/>
                <w:kern w:val="0"/>
                <w:szCs w:val="21"/>
              </w:rPr>
              <w:t>未批准福辛普利钠用于治疗肾小球疾病；</w:t>
            </w:r>
          </w:p>
        </w:tc>
        <w:tc>
          <w:tcPr>
            <w:tcW w:w="448" w:type="pct"/>
            <w:vMerge w:val="restart"/>
            <w:tcBorders>
              <w:top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color w:val="000000" w:themeColor="text1"/>
                <w:kern w:val="0"/>
                <w:szCs w:val="21"/>
              </w:rPr>
              <w:t xml:space="preserve">Class </w:t>
            </w:r>
            <w:r w:rsidRPr="00924B43">
              <w:rPr>
                <w:rFonts w:asciiTheme="minorEastAsia" w:hAnsiTheme="minorEastAsia" w:cs="Times New Roman" w:hint="eastAsia"/>
                <w:color w:val="000000" w:themeColor="text1"/>
                <w:kern w:val="0"/>
                <w:szCs w:val="21"/>
              </w:rPr>
              <w:t>Ⅱ</w:t>
            </w:r>
            <w:r w:rsidRPr="00924B43">
              <w:rPr>
                <w:rFonts w:asciiTheme="minorEastAsia" w:hAnsiTheme="minorEastAsia" w:cs="Times New Roman"/>
                <w:color w:val="000000" w:themeColor="text1"/>
                <w:kern w:val="0"/>
                <w:szCs w:val="21"/>
              </w:rPr>
              <w:t>a</w:t>
            </w:r>
            <w:r w:rsidRPr="00924B43">
              <w:rPr>
                <w:rFonts w:asciiTheme="minorEastAsia" w:hAnsiTheme="minorEastAsia" w:cs="Times New Roman" w:hint="eastAsia"/>
                <w:color w:val="000000" w:themeColor="text1"/>
                <w:kern w:val="0"/>
                <w:szCs w:val="21"/>
              </w:rPr>
              <w:t>（肾脏疾病）</w:t>
            </w:r>
          </w:p>
        </w:tc>
        <w:tc>
          <w:tcPr>
            <w:tcW w:w="435" w:type="pct"/>
            <w:vMerge w:val="restart"/>
            <w:tcBorders>
              <w:top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color w:val="000000" w:themeColor="text1"/>
                <w:kern w:val="0"/>
                <w:szCs w:val="21"/>
              </w:rPr>
              <w:t xml:space="preserve">Class </w:t>
            </w:r>
            <w:r w:rsidRPr="00924B43">
              <w:rPr>
                <w:rFonts w:asciiTheme="minorEastAsia" w:hAnsiTheme="minorEastAsia" w:cs="Times New Roman" w:hint="eastAsia"/>
                <w:color w:val="000000" w:themeColor="text1"/>
                <w:kern w:val="0"/>
                <w:szCs w:val="21"/>
              </w:rPr>
              <w:t>Ⅱ</w:t>
            </w:r>
            <w:r w:rsidRPr="00924B43">
              <w:rPr>
                <w:rFonts w:asciiTheme="minorEastAsia" w:hAnsiTheme="minorEastAsia" w:cs="Times New Roman"/>
                <w:color w:val="000000" w:themeColor="text1"/>
                <w:kern w:val="0"/>
                <w:szCs w:val="21"/>
              </w:rPr>
              <w:t>b</w:t>
            </w:r>
          </w:p>
        </w:tc>
        <w:tc>
          <w:tcPr>
            <w:tcW w:w="447" w:type="pct"/>
            <w:vMerge w:val="restart"/>
            <w:tcBorders>
              <w:top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color w:val="000000" w:themeColor="text1"/>
                <w:kern w:val="0"/>
                <w:szCs w:val="21"/>
              </w:rPr>
              <w:t>Category B</w:t>
            </w:r>
          </w:p>
        </w:tc>
      </w:tr>
      <w:tr w:rsidR="00F47729" w:rsidRPr="009F686C" w:rsidTr="00F47729">
        <w:trPr>
          <w:trHeight w:val="375"/>
        </w:trPr>
        <w:tc>
          <w:tcPr>
            <w:tcW w:w="243" w:type="pct"/>
            <w:vMerge/>
            <w:tcBorders>
              <w:left w:val="single" w:sz="12" w:space="0" w:color="000000"/>
              <w:bottom w:val="single" w:sz="12" w:space="0" w:color="000000"/>
              <w:right w:val="single" w:sz="12" w:space="0" w:color="000000"/>
            </w:tcBorders>
            <w:shd w:val="clear" w:color="auto" w:fill="auto"/>
            <w:vAlign w:val="center"/>
          </w:tcPr>
          <w:p w:rsidR="00F47729" w:rsidRPr="00924B43" w:rsidRDefault="00F47729" w:rsidP="00F47729">
            <w:pPr>
              <w:jc w:val="center"/>
              <w:rPr>
                <w:rFonts w:asciiTheme="minorEastAsia" w:hAnsiTheme="minorEastAsia" w:cs="Times New Roman"/>
                <w:color w:val="000000" w:themeColor="text1"/>
                <w:szCs w:val="21"/>
              </w:rPr>
            </w:pPr>
          </w:p>
        </w:tc>
        <w:tc>
          <w:tcPr>
            <w:tcW w:w="307"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307"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451"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604"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861"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896" w:type="pct"/>
            <w:tcBorders>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color w:val="000000" w:themeColor="text1"/>
                <w:kern w:val="0"/>
                <w:szCs w:val="21"/>
              </w:rPr>
              <w:t>2.</w:t>
            </w:r>
            <w:r w:rsidRPr="00924B43">
              <w:rPr>
                <w:rFonts w:asciiTheme="minorEastAsia" w:hAnsiTheme="minorEastAsia" w:cs="Times New Roman" w:hint="eastAsia"/>
                <w:color w:val="000000" w:themeColor="text1"/>
                <w:kern w:val="0"/>
                <w:szCs w:val="21"/>
              </w:rPr>
              <w:t>改善全球肾脏病预后组织</w:t>
            </w:r>
            <w:r w:rsidRPr="00924B43">
              <w:rPr>
                <w:rFonts w:asciiTheme="minorEastAsia" w:hAnsiTheme="minorEastAsia" w:cs="Times New Roman"/>
                <w:color w:val="000000" w:themeColor="text1"/>
                <w:kern w:val="0"/>
                <w:szCs w:val="21"/>
              </w:rPr>
              <w:t>(KDIGO)</w:t>
            </w:r>
            <w:r w:rsidRPr="00924B43">
              <w:rPr>
                <w:rFonts w:asciiTheme="minorEastAsia" w:hAnsiTheme="minorEastAsia" w:cs="Times New Roman" w:hint="eastAsia"/>
                <w:color w:val="000000" w:themeColor="text1"/>
                <w:kern w:val="0"/>
                <w:szCs w:val="21"/>
              </w:rPr>
              <w:t>临床实践指南</w:t>
            </w:r>
            <w:r w:rsidRPr="00924B43">
              <w:rPr>
                <w:rFonts w:asciiTheme="minorEastAsia" w:hAnsiTheme="minorEastAsia" w:cs="Times New Roman"/>
                <w:color w:val="000000" w:themeColor="text1"/>
                <w:kern w:val="0"/>
                <w:szCs w:val="21"/>
              </w:rPr>
              <w:t>-</w:t>
            </w:r>
            <w:r w:rsidRPr="00924B43">
              <w:rPr>
                <w:rFonts w:asciiTheme="minorEastAsia" w:hAnsiTheme="minorEastAsia" w:cs="Times New Roman" w:hint="eastAsia"/>
                <w:color w:val="000000" w:themeColor="text1"/>
                <w:kern w:val="0"/>
                <w:szCs w:val="21"/>
              </w:rPr>
              <w:t>肾小球疾病</w:t>
            </w:r>
            <w:r w:rsidRPr="00924B43">
              <w:rPr>
                <w:rFonts w:asciiTheme="minorEastAsia" w:hAnsiTheme="minorEastAsia" w:cs="Times New Roman"/>
                <w:color w:val="000000" w:themeColor="text1"/>
                <w:kern w:val="0"/>
                <w:szCs w:val="21"/>
              </w:rPr>
              <w:t>KDIGO 2021 Clinical Practice Guideline for the Management of Glomerular Diseases</w:t>
            </w:r>
            <w:r w:rsidR="00B411DC" w:rsidRPr="00924B43">
              <w:rPr>
                <w:rFonts w:asciiTheme="minorEastAsia" w:hAnsiTheme="minorEastAsia" w:cs="Times New Roman"/>
                <w:bCs/>
                <w:color w:val="000000" w:themeColor="text1"/>
                <w:szCs w:val="21"/>
              </w:rPr>
              <w:fldChar w:fldCharType="begin"/>
            </w:r>
            <w:r w:rsidRPr="00924B43">
              <w:rPr>
                <w:rFonts w:asciiTheme="minorEastAsia" w:hAnsiTheme="minorEastAsia" w:cs="Times New Roman"/>
                <w:bCs/>
                <w:color w:val="000000" w:themeColor="text1"/>
                <w:szCs w:val="21"/>
              </w:rPr>
              <w:instrText xml:space="preserve"> ADDIN NE.Ref.{F9029D81-B779-4F40-825F-80B0923574C5}</w:instrText>
            </w:r>
            <w:r w:rsidR="00B411DC" w:rsidRPr="00924B43">
              <w:rPr>
                <w:rFonts w:asciiTheme="minorEastAsia" w:hAnsiTheme="minorEastAsia" w:cs="Times New Roman"/>
                <w:bCs/>
                <w:color w:val="000000" w:themeColor="text1"/>
                <w:szCs w:val="21"/>
              </w:rPr>
              <w:fldChar w:fldCharType="separate"/>
            </w:r>
            <w:r w:rsidRPr="00924B43">
              <w:rPr>
                <w:rFonts w:asciiTheme="minorEastAsia" w:hAnsiTheme="minorEastAsia" w:cs="Times New Roman"/>
                <w:color w:val="000000" w:themeColor="text1"/>
                <w:kern w:val="0"/>
                <w:szCs w:val="21"/>
                <w:vertAlign w:val="superscript"/>
              </w:rPr>
              <w:t>[107]</w:t>
            </w:r>
            <w:r w:rsidR="00B411DC" w:rsidRPr="00924B43">
              <w:rPr>
                <w:rFonts w:asciiTheme="minorEastAsia" w:hAnsiTheme="minorEastAsia" w:cs="Times New Roman"/>
                <w:bCs/>
                <w:color w:val="000000" w:themeColor="text1"/>
                <w:szCs w:val="21"/>
              </w:rPr>
              <w:fldChar w:fldCharType="end"/>
            </w:r>
          </w:p>
        </w:tc>
        <w:tc>
          <w:tcPr>
            <w:tcW w:w="448"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435"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447"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r>
      <w:tr w:rsidR="00F47729" w:rsidRPr="009F686C" w:rsidTr="00F47729">
        <w:trPr>
          <w:trHeight w:val="420"/>
        </w:trPr>
        <w:tc>
          <w:tcPr>
            <w:tcW w:w="243" w:type="pct"/>
            <w:vMerge/>
            <w:tcBorders>
              <w:left w:val="single" w:sz="12" w:space="0" w:color="000000"/>
              <w:bottom w:val="single" w:sz="12" w:space="0" w:color="000000"/>
              <w:right w:val="single" w:sz="12" w:space="0" w:color="000000"/>
            </w:tcBorders>
            <w:shd w:val="clear" w:color="auto" w:fill="auto"/>
            <w:vAlign w:val="center"/>
          </w:tcPr>
          <w:p w:rsidR="00F47729" w:rsidRPr="00924B43" w:rsidRDefault="00F47729" w:rsidP="00F47729">
            <w:pPr>
              <w:jc w:val="center"/>
              <w:rPr>
                <w:rFonts w:asciiTheme="minorEastAsia" w:hAnsiTheme="minorEastAsia" w:cs="Times New Roman"/>
                <w:color w:val="000000" w:themeColor="text1"/>
                <w:szCs w:val="21"/>
              </w:rPr>
            </w:pPr>
          </w:p>
        </w:tc>
        <w:tc>
          <w:tcPr>
            <w:tcW w:w="307"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307"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451"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604"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861"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896" w:type="pct"/>
            <w:tcBorders>
              <w:bottom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color w:val="000000" w:themeColor="text1"/>
                <w:kern w:val="0"/>
                <w:szCs w:val="21"/>
              </w:rPr>
              <w:t>3.</w:t>
            </w:r>
            <w:r w:rsidRPr="00924B43">
              <w:rPr>
                <w:rFonts w:asciiTheme="minorEastAsia" w:hAnsiTheme="minorEastAsia" w:cs="Times New Roman" w:hint="eastAsia"/>
                <w:color w:val="000000" w:themeColor="text1"/>
                <w:kern w:val="0"/>
                <w:szCs w:val="21"/>
              </w:rPr>
              <w:t>中华医学会糖尿病学分会微血管并发症学组，《中国糖尿病肾脏疾病防治临床指</w:t>
            </w:r>
            <w:r w:rsidRPr="00924B43">
              <w:rPr>
                <w:rFonts w:asciiTheme="minorEastAsia" w:hAnsiTheme="minorEastAsia" w:cs="Times New Roman" w:hint="eastAsia"/>
                <w:color w:val="000000" w:themeColor="text1"/>
                <w:kern w:val="0"/>
                <w:szCs w:val="21"/>
              </w:rPr>
              <w:lastRenderedPageBreak/>
              <w:t>南》</w:t>
            </w:r>
            <w:r w:rsidRPr="00924B43">
              <w:rPr>
                <w:rFonts w:asciiTheme="minorEastAsia" w:hAnsiTheme="minorEastAsia" w:cs="Times New Roman"/>
                <w:color w:val="000000" w:themeColor="text1"/>
                <w:kern w:val="0"/>
                <w:szCs w:val="21"/>
              </w:rPr>
              <w:t>(2019)</w:t>
            </w:r>
            <w:r w:rsidR="00B411DC" w:rsidRPr="00924B43">
              <w:rPr>
                <w:rFonts w:asciiTheme="minorEastAsia" w:hAnsiTheme="minorEastAsia" w:cs="Times New Roman"/>
                <w:bCs/>
                <w:color w:val="000000" w:themeColor="text1"/>
                <w:szCs w:val="21"/>
              </w:rPr>
              <w:fldChar w:fldCharType="begin"/>
            </w:r>
            <w:r w:rsidRPr="00924B43">
              <w:rPr>
                <w:rFonts w:asciiTheme="minorEastAsia" w:hAnsiTheme="minorEastAsia" w:cs="Times New Roman"/>
                <w:bCs/>
                <w:color w:val="000000" w:themeColor="text1"/>
                <w:szCs w:val="21"/>
              </w:rPr>
              <w:instrText xml:space="preserve"> ADDIN NE.Ref.{F9029D81-B779-4F40-825F-80B0923574C5}</w:instrText>
            </w:r>
            <w:r w:rsidR="00B411DC" w:rsidRPr="00924B43">
              <w:rPr>
                <w:rFonts w:asciiTheme="minorEastAsia" w:hAnsiTheme="minorEastAsia" w:cs="Times New Roman"/>
                <w:bCs/>
                <w:color w:val="000000" w:themeColor="text1"/>
                <w:szCs w:val="21"/>
              </w:rPr>
              <w:fldChar w:fldCharType="separate"/>
            </w:r>
            <w:r w:rsidRPr="00924B43">
              <w:rPr>
                <w:rFonts w:asciiTheme="minorEastAsia" w:hAnsiTheme="minorEastAsia" w:cs="Times New Roman"/>
                <w:color w:val="000000" w:themeColor="text1"/>
                <w:kern w:val="0"/>
                <w:szCs w:val="21"/>
                <w:vertAlign w:val="superscript"/>
              </w:rPr>
              <w:t>[106]</w:t>
            </w:r>
            <w:r w:rsidR="00B411DC" w:rsidRPr="00924B43">
              <w:rPr>
                <w:rFonts w:asciiTheme="minorEastAsia" w:hAnsiTheme="minorEastAsia" w:cs="Times New Roman"/>
                <w:bCs/>
                <w:color w:val="000000" w:themeColor="text1"/>
                <w:szCs w:val="21"/>
              </w:rPr>
              <w:fldChar w:fldCharType="end"/>
            </w:r>
          </w:p>
        </w:tc>
        <w:tc>
          <w:tcPr>
            <w:tcW w:w="448"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435"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447"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r>
      <w:tr w:rsidR="00F47729" w:rsidRPr="009F686C" w:rsidTr="00F47729">
        <w:trPr>
          <w:trHeight w:val="420"/>
        </w:trPr>
        <w:tc>
          <w:tcPr>
            <w:tcW w:w="243" w:type="pct"/>
            <w:vMerge w:val="restart"/>
            <w:tcBorders>
              <w:left w:val="single" w:sz="12" w:space="0" w:color="000000"/>
              <w:bottom w:val="single" w:sz="12" w:space="0" w:color="000000"/>
              <w:right w:val="single" w:sz="12" w:space="0" w:color="000000"/>
            </w:tcBorders>
            <w:shd w:val="clear" w:color="auto" w:fill="auto"/>
            <w:vAlign w:val="center"/>
          </w:tcPr>
          <w:p w:rsidR="00F47729" w:rsidRPr="00924B43" w:rsidRDefault="00F47729" w:rsidP="00F47729">
            <w:pPr>
              <w:widowControl/>
              <w:jc w:val="center"/>
              <w:textAlignment w:val="center"/>
              <w:rPr>
                <w:rFonts w:asciiTheme="minorEastAsia" w:hAnsiTheme="minorEastAsia" w:cs="Times New Roman"/>
                <w:color w:val="000000" w:themeColor="text1"/>
                <w:szCs w:val="21"/>
              </w:rPr>
            </w:pPr>
            <w:r w:rsidRPr="00924B43">
              <w:rPr>
                <w:rFonts w:asciiTheme="minorEastAsia" w:hAnsiTheme="minorEastAsia" w:cs="Times New Roman"/>
                <w:color w:val="000000" w:themeColor="text1"/>
                <w:kern w:val="0"/>
                <w:szCs w:val="21"/>
              </w:rPr>
              <w:lastRenderedPageBreak/>
              <w:t>4</w:t>
            </w:r>
          </w:p>
        </w:tc>
        <w:tc>
          <w:tcPr>
            <w:tcW w:w="307" w:type="pct"/>
            <w:vMerge w:val="restart"/>
            <w:tcBorders>
              <w:bottom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hint="eastAsia"/>
                <w:color w:val="000000" w:themeColor="text1"/>
                <w:kern w:val="0"/>
                <w:szCs w:val="21"/>
              </w:rPr>
              <w:t>氯沙坦钾</w:t>
            </w:r>
          </w:p>
        </w:tc>
        <w:tc>
          <w:tcPr>
            <w:tcW w:w="307" w:type="pct"/>
            <w:vMerge w:val="restart"/>
            <w:tcBorders>
              <w:bottom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hint="eastAsia"/>
                <w:color w:val="000000" w:themeColor="text1"/>
                <w:kern w:val="0"/>
                <w:szCs w:val="21"/>
              </w:rPr>
              <w:t>片剂</w:t>
            </w:r>
          </w:p>
        </w:tc>
        <w:tc>
          <w:tcPr>
            <w:tcW w:w="451" w:type="pct"/>
            <w:tcBorders>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Cambria Math" w:hint="eastAsia"/>
                <w:color w:val="000000" w:themeColor="text1"/>
                <w:kern w:val="0"/>
                <w:szCs w:val="21"/>
              </w:rPr>
              <w:t>①</w:t>
            </w:r>
            <w:r w:rsidRPr="00924B43">
              <w:rPr>
                <w:rFonts w:asciiTheme="minorEastAsia" w:hAnsiTheme="minorEastAsia" w:cs="Times New Roman"/>
                <w:color w:val="000000" w:themeColor="text1"/>
                <w:kern w:val="0"/>
                <w:szCs w:val="21"/>
              </w:rPr>
              <w:t>50 mg</w:t>
            </w:r>
          </w:p>
        </w:tc>
        <w:tc>
          <w:tcPr>
            <w:tcW w:w="604" w:type="pct"/>
            <w:vMerge w:val="restart"/>
            <w:tcBorders>
              <w:bottom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hint="eastAsia"/>
                <w:color w:val="000000" w:themeColor="text1"/>
                <w:kern w:val="0"/>
                <w:szCs w:val="21"/>
              </w:rPr>
              <w:t>糖尿病肾病</w:t>
            </w:r>
          </w:p>
        </w:tc>
        <w:tc>
          <w:tcPr>
            <w:tcW w:w="861" w:type="pct"/>
            <w:vMerge w:val="restart"/>
            <w:tcBorders>
              <w:bottom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hint="eastAsia"/>
                <w:color w:val="000000" w:themeColor="text1"/>
                <w:kern w:val="0"/>
                <w:szCs w:val="21"/>
              </w:rPr>
              <w:t>有研究显示口服双倍剂量可能获益更多</w:t>
            </w:r>
          </w:p>
        </w:tc>
        <w:tc>
          <w:tcPr>
            <w:tcW w:w="896" w:type="pct"/>
            <w:tcBorders>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color w:val="000000" w:themeColor="text1"/>
                <w:kern w:val="0"/>
                <w:szCs w:val="21"/>
              </w:rPr>
              <w:t>1.</w:t>
            </w:r>
            <w:r w:rsidRPr="00924B43">
              <w:rPr>
                <w:rFonts w:asciiTheme="minorEastAsia" w:hAnsiTheme="minorEastAsia" w:cs="Times New Roman" w:hint="eastAsia"/>
                <w:color w:val="000000" w:themeColor="text1"/>
                <w:kern w:val="0"/>
                <w:szCs w:val="21"/>
              </w:rPr>
              <w:t>美国</w:t>
            </w:r>
            <w:r w:rsidRPr="00924B43">
              <w:rPr>
                <w:rFonts w:asciiTheme="minorEastAsia" w:hAnsiTheme="minorEastAsia" w:cs="Times New Roman"/>
                <w:color w:val="000000" w:themeColor="text1"/>
                <w:kern w:val="0"/>
                <w:szCs w:val="21"/>
              </w:rPr>
              <w:t>FDA</w:t>
            </w:r>
            <w:r w:rsidRPr="00924B43">
              <w:rPr>
                <w:rFonts w:asciiTheme="minorEastAsia" w:hAnsiTheme="minorEastAsia" w:cs="Times New Roman" w:hint="eastAsia"/>
                <w:color w:val="000000" w:themeColor="text1"/>
                <w:kern w:val="0"/>
                <w:szCs w:val="21"/>
              </w:rPr>
              <w:t>已批准氯沙坦用于治疗成人血肌酐和蛋白尿升高的合并有高血压和</w:t>
            </w:r>
            <w:r w:rsidRPr="00924B43">
              <w:rPr>
                <w:rFonts w:asciiTheme="minorEastAsia" w:hAnsiTheme="minorEastAsia" w:cs="Times New Roman"/>
                <w:color w:val="000000" w:themeColor="text1"/>
                <w:kern w:val="0"/>
                <w:szCs w:val="21"/>
              </w:rPr>
              <w:t>2</w:t>
            </w:r>
            <w:r w:rsidRPr="00924B43">
              <w:rPr>
                <w:rFonts w:asciiTheme="minorEastAsia" w:hAnsiTheme="minorEastAsia" w:cs="Times New Roman" w:hint="eastAsia"/>
                <w:color w:val="000000" w:themeColor="text1"/>
                <w:kern w:val="0"/>
                <w:szCs w:val="21"/>
              </w:rPr>
              <w:t>型糖尿病患者的糖尿病肾病</w:t>
            </w:r>
          </w:p>
        </w:tc>
        <w:tc>
          <w:tcPr>
            <w:tcW w:w="448" w:type="pct"/>
            <w:vMerge w:val="restart"/>
            <w:tcBorders>
              <w:bottom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color w:val="000000" w:themeColor="text1"/>
                <w:kern w:val="0"/>
                <w:szCs w:val="21"/>
              </w:rPr>
              <w:t xml:space="preserve">Class </w:t>
            </w:r>
            <w:r w:rsidRPr="00924B43">
              <w:rPr>
                <w:rFonts w:asciiTheme="minorEastAsia" w:hAnsiTheme="minorEastAsia" w:cs="Times New Roman" w:hint="eastAsia"/>
                <w:color w:val="000000" w:themeColor="text1"/>
                <w:kern w:val="0"/>
                <w:szCs w:val="21"/>
              </w:rPr>
              <w:t>Ⅰ</w:t>
            </w:r>
          </w:p>
        </w:tc>
        <w:tc>
          <w:tcPr>
            <w:tcW w:w="435" w:type="pct"/>
            <w:vMerge w:val="restart"/>
            <w:tcBorders>
              <w:bottom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color w:val="000000" w:themeColor="text1"/>
                <w:kern w:val="0"/>
                <w:szCs w:val="21"/>
              </w:rPr>
              <w:t xml:space="preserve">Class </w:t>
            </w:r>
            <w:r w:rsidRPr="00924B43">
              <w:rPr>
                <w:rFonts w:asciiTheme="minorEastAsia" w:hAnsiTheme="minorEastAsia" w:cs="Times New Roman" w:hint="eastAsia"/>
                <w:color w:val="000000" w:themeColor="text1"/>
                <w:kern w:val="0"/>
                <w:szCs w:val="21"/>
              </w:rPr>
              <w:t>Ⅱ</w:t>
            </w:r>
            <w:r w:rsidRPr="00924B43">
              <w:rPr>
                <w:rFonts w:asciiTheme="minorEastAsia" w:hAnsiTheme="minorEastAsia" w:cs="Times New Roman"/>
                <w:color w:val="000000" w:themeColor="text1"/>
                <w:kern w:val="0"/>
                <w:szCs w:val="21"/>
              </w:rPr>
              <w:t>a</w:t>
            </w:r>
          </w:p>
        </w:tc>
        <w:tc>
          <w:tcPr>
            <w:tcW w:w="447" w:type="pct"/>
            <w:vMerge w:val="restart"/>
            <w:tcBorders>
              <w:bottom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color w:val="000000" w:themeColor="text1"/>
                <w:kern w:val="0"/>
                <w:szCs w:val="21"/>
              </w:rPr>
              <w:t>Category B</w:t>
            </w:r>
          </w:p>
        </w:tc>
      </w:tr>
      <w:tr w:rsidR="00F47729" w:rsidRPr="009F686C" w:rsidTr="00F47729">
        <w:trPr>
          <w:trHeight w:val="210"/>
        </w:trPr>
        <w:tc>
          <w:tcPr>
            <w:tcW w:w="243" w:type="pct"/>
            <w:vMerge/>
            <w:tcBorders>
              <w:left w:val="single" w:sz="12" w:space="0" w:color="000000"/>
              <w:bottom w:val="single" w:sz="12" w:space="0" w:color="000000"/>
              <w:right w:val="single" w:sz="12" w:space="0" w:color="000000"/>
            </w:tcBorders>
            <w:shd w:val="clear" w:color="auto" w:fill="auto"/>
            <w:vAlign w:val="center"/>
          </w:tcPr>
          <w:p w:rsidR="00F47729" w:rsidRPr="00924B43" w:rsidRDefault="00F47729" w:rsidP="00F47729">
            <w:pPr>
              <w:jc w:val="center"/>
              <w:rPr>
                <w:rFonts w:asciiTheme="minorEastAsia" w:hAnsiTheme="minorEastAsia" w:cs="Times New Roman"/>
                <w:color w:val="000000" w:themeColor="text1"/>
                <w:szCs w:val="21"/>
              </w:rPr>
            </w:pPr>
          </w:p>
        </w:tc>
        <w:tc>
          <w:tcPr>
            <w:tcW w:w="307"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307"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451" w:type="pct"/>
            <w:tcBorders>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Cambria Math" w:hint="eastAsia"/>
                <w:color w:val="000000" w:themeColor="text1"/>
                <w:kern w:val="0"/>
                <w:szCs w:val="21"/>
              </w:rPr>
              <w:t>②</w:t>
            </w:r>
            <w:r w:rsidRPr="00924B43">
              <w:rPr>
                <w:rFonts w:asciiTheme="minorEastAsia" w:hAnsiTheme="minorEastAsia" w:cs="Times New Roman"/>
                <w:color w:val="000000" w:themeColor="text1"/>
                <w:kern w:val="0"/>
                <w:szCs w:val="21"/>
              </w:rPr>
              <w:t>100 mg</w:t>
            </w:r>
          </w:p>
        </w:tc>
        <w:tc>
          <w:tcPr>
            <w:tcW w:w="604"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861"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896" w:type="pct"/>
            <w:tcBorders>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color w:val="000000" w:themeColor="text1"/>
                <w:kern w:val="0"/>
                <w:szCs w:val="21"/>
              </w:rPr>
              <w:t>2.</w:t>
            </w:r>
            <w:r w:rsidRPr="00924B43">
              <w:rPr>
                <w:rFonts w:asciiTheme="minorEastAsia" w:hAnsiTheme="minorEastAsia" w:cs="Times New Roman" w:hint="eastAsia"/>
                <w:color w:val="000000" w:themeColor="text1"/>
                <w:kern w:val="0"/>
                <w:szCs w:val="21"/>
              </w:rPr>
              <w:t>美国糖尿病学会《</w:t>
            </w:r>
            <w:r w:rsidRPr="00924B43">
              <w:rPr>
                <w:rFonts w:asciiTheme="minorEastAsia" w:hAnsiTheme="minorEastAsia" w:cs="Times New Roman"/>
                <w:color w:val="000000" w:themeColor="text1"/>
                <w:kern w:val="0"/>
                <w:szCs w:val="21"/>
              </w:rPr>
              <w:t xml:space="preserve">2020 ADA </w:t>
            </w:r>
            <w:r w:rsidRPr="00924B43">
              <w:rPr>
                <w:rFonts w:asciiTheme="minorEastAsia" w:hAnsiTheme="minorEastAsia" w:cs="Times New Roman" w:hint="eastAsia"/>
                <w:color w:val="000000" w:themeColor="text1"/>
                <w:kern w:val="0"/>
                <w:szCs w:val="21"/>
              </w:rPr>
              <w:t>糖尿病医学诊疗标准》</w:t>
            </w:r>
            <w:r w:rsidR="00B411DC" w:rsidRPr="00924B43">
              <w:rPr>
                <w:rFonts w:asciiTheme="minorEastAsia" w:hAnsiTheme="minorEastAsia" w:cs="Times New Roman"/>
                <w:bCs/>
                <w:color w:val="000000" w:themeColor="text1"/>
                <w:szCs w:val="21"/>
              </w:rPr>
              <w:fldChar w:fldCharType="begin"/>
            </w:r>
            <w:r w:rsidRPr="00924B43">
              <w:rPr>
                <w:rFonts w:asciiTheme="minorEastAsia" w:hAnsiTheme="minorEastAsia" w:cs="Times New Roman"/>
                <w:bCs/>
                <w:color w:val="000000" w:themeColor="text1"/>
                <w:szCs w:val="21"/>
              </w:rPr>
              <w:instrText xml:space="preserve"> ADDIN NE.Ref.{F9029D81-B779-4F40-825F-80B0923574C5}</w:instrText>
            </w:r>
            <w:r w:rsidR="00B411DC" w:rsidRPr="00924B43">
              <w:rPr>
                <w:rFonts w:asciiTheme="minorEastAsia" w:hAnsiTheme="minorEastAsia" w:cs="Times New Roman"/>
                <w:bCs/>
                <w:color w:val="000000" w:themeColor="text1"/>
                <w:szCs w:val="21"/>
              </w:rPr>
              <w:fldChar w:fldCharType="separate"/>
            </w:r>
            <w:r w:rsidRPr="00924B43">
              <w:rPr>
                <w:rFonts w:asciiTheme="minorEastAsia" w:hAnsiTheme="minorEastAsia" w:cs="Times New Roman"/>
                <w:color w:val="000000" w:themeColor="text1"/>
                <w:kern w:val="0"/>
                <w:szCs w:val="21"/>
                <w:vertAlign w:val="superscript"/>
              </w:rPr>
              <w:t>[108]</w:t>
            </w:r>
            <w:r w:rsidR="00B411DC" w:rsidRPr="00924B43">
              <w:rPr>
                <w:rFonts w:asciiTheme="minorEastAsia" w:hAnsiTheme="minorEastAsia" w:cs="Times New Roman"/>
                <w:bCs/>
                <w:color w:val="000000" w:themeColor="text1"/>
                <w:szCs w:val="21"/>
              </w:rPr>
              <w:fldChar w:fldCharType="end"/>
            </w:r>
          </w:p>
        </w:tc>
        <w:tc>
          <w:tcPr>
            <w:tcW w:w="448"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435"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447"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r>
      <w:tr w:rsidR="00F47729" w:rsidRPr="009F686C" w:rsidTr="00F47729">
        <w:trPr>
          <w:trHeight w:val="210"/>
        </w:trPr>
        <w:tc>
          <w:tcPr>
            <w:tcW w:w="243" w:type="pct"/>
            <w:vMerge/>
            <w:tcBorders>
              <w:left w:val="single" w:sz="12" w:space="0" w:color="000000"/>
              <w:bottom w:val="single" w:sz="12" w:space="0" w:color="000000"/>
              <w:right w:val="single" w:sz="12" w:space="0" w:color="000000"/>
            </w:tcBorders>
            <w:shd w:val="clear" w:color="auto" w:fill="auto"/>
            <w:vAlign w:val="center"/>
          </w:tcPr>
          <w:p w:rsidR="00F47729" w:rsidRPr="00924B43" w:rsidRDefault="00F47729" w:rsidP="00F47729">
            <w:pPr>
              <w:jc w:val="center"/>
              <w:rPr>
                <w:rFonts w:asciiTheme="minorEastAsia" w:hAnsiTheme="minorEastAsia" w:cs="Times New Roman"/>
                <w:color w:val="000000" w:themeColor="text1"/>
                <w:szCs w:val="21"/>
              </w:rPr>
            </w:pPr>
          </w:p>
        </w:tc>
        <w:tc>
          <w:tcPr>
            <w:tcW w:w="307"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307"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451" w:type="pct"/>
            <w:tcBorders>
              <w:right w:val="single" w:sz="12" w:space="0" w:color="000000"/>
            </w:tcBorders>
            <w:shd w:val="clear" w:color="auto" w:fill="auto"/>
            <w:vAlign w:val="bottom"/>
          </w:tcPr>
          <w:p w:rsidR="00F47729" w:rsidRPr="00924B43" w:rsidRDefault="00F47729" w:rsidP="00F47729">
            <w:pPr>
              <w:rPr>
                <w:rFonts w:asciiTheme="minorEastAsia" w:hAnsiTheme="minorEastAsia" w:cs="Times New Roman"/>
                <w:color w:val="000000" w:themeColor="text1"/>
                <w:szCs w:val="21"/>
              </w:rPr>
            </w:pPr>
          </w:p>
        </w:tc>
        <w:tc>
          <w:tcPr>
            <w:tcW w:w="604"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861"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896" w:type="pct"/>
            <w:tcBorders>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color w:val="000000" w:themeColor="text1"/>
                <w:kern w:val="0"/>
                <w:szCs w:val="21"/>
              </w:rPr>
              <w:t>3</w:t>
            </w:r>
            <w:r w:rsidRPr="00924B43">
              <w:rPr>
                <w:rFonts w:asciiTheme="minorEastAsia" w:hAnsiTheme="minorEastAsia" w:cs="Times New Roman" w:hint="eastAsia"/>
                <w:color w:val="000000" w:themeColor="text1"/>
                <w:kern w:val="0"/>
                <w:szCs w:val="21"/>
              </w:rPr>
              <w:t>中华医学会糖尿病学分会《中国</w:t>
            </w:r>
            <w:r w:rsidRPr="00924B43">
              <w:rPr>
                <w:rFonts w:asciiTheme="minorEastAsia" w:hAnsiTheme="minorEastAsia" w:cs="Times New Roman"/>
                <w:color w:val="000000" w:themeColor="text1"/>
                <w:kern w:val="0"/>
                <w:szCs w:val="21"/>
              </w:rPr>
              <w:t>2</w:t>
            </w:r>
            <w:r w:rsidRPr="00924B43">
              <w:rPr>
                <w:rFonts w:asciiTheme="minorEastAsia" w:hAnsiTheme="minorEastAsia" w:cs="Times New Roman" w:hint="eastAsia"/>
                <w:color w:val="000000" w:themeColor="text1"/>
                <w:kern w:val="0"/>
                <w:szCs w:val="21"/>
              </w:rPr>
              <w:t>型糖尿病防治指南（</w:t>
            </w:r>
            <w:r w:rsidRPr="00924B43">
              <w:rPr>
                <w:rFonts w:asciiTheme="minorEastAsia" w:hAnsiTheme="minorEastAsia" w:cs="Times New Roman"/>
                <w:color w:val="000000" w:themeColor="text1"/>
                <w:kern w:val="0"/>
                <w:szCs w:val="21"/>
              </w:rPr>
              <w:t>2020</w:t>
            </w:r>
            <w:r w:rsidRPr="00924B43">
              <w:rPr>
                <w:rFonts w:asciiTheme="minorEastAsia" w:hAnsiTheme="minorEastAsia" w:cs="Times New Roman" w:hint="eastAsia"/>
                <w:color w:val="000000" w:themeColor="text1"/>
                <w:kern w:val="0"/>
                <w:szCs w:val="21"/>
              </w:rPr>
              <w:t>年版）》</w:t>
            </w:r>
            <w:r w:rsidR="00B411DC" w:rsidRPr="00924B43">
              <w:rPr>
                <w:rFonts w:asciiTheme="minorEastAsia" w:hAnsiTheme="minorEastAsia" w:cs="Times New Roman"/>
                <w:bCs/>
                <w:color w:val="000000" w:themeColor="text1"/>
                <w:szCs w:val="21"/>
              </w:rPr>
              <w:fldChar w:fldCharType="begin"/>
            </w:r>
            <w:r w:rsidRPr="00924B43">
              <w:rPr>
                <w:rFonts w:asciiTheme="minorEastAsia" w:hAnsiTheme="minorEastAsia" w:cs="Times New Roman"/>
                <w:bCs/>
                <w:color w:val="000000" w:themeColor="text1"/>
                <w:szCs w:val="21"/>
              </w:rPr>
              <w:instrText xml:space="preserve"> ADDIN NE.Ref.{F9029D81-B779-4F40-825F-80B0923574C5}</w:instrText>
            </w:r>
            <w:r w:rsidR="00B411DC" w:rsidRPr="00924B43">
              <w:rPr>
                <w:rFonts w:asciiTheme="minorEastAsia" w:hAnsiTheme="minorEastAsia" w:cs="Times New Roman"/>
                <w:bCs/>
                <w:color w:val="000000" w:themeColor="text1"/>
                <w:szCs w:val="21"/>
              </w:rPr>
              <w:fldChar w:fldCharType="separate"/>
            </w:r>
            <w:r w:rsidRPr="00924B43">
              <w:rPr>
                <w:rFonts w:asciiTheme="minorEastAsia" w:hAnsiTheme="minorEastAsia" w:cs="Times New Roman"/>
                <w:color w:val="000000" w:themeColor="text1"/>
                <w:kern w:val="0"/>
                <w:szCs w:val="21"/>
                <w:vertAlign w:val="superscript"/>
              </w:rPr>
              <w:t>[109]</w:t>
            </w:r>
            <w:r w:rsidR="00B411DC" w:rsidRPr="00924B43">
              <w:rPr>
                <w:rFonts w:asciiTheme="minorEastAsia" w:hAnsiTheme="minorEastAsia" w:cs="Times New Roman"/>
                <w:bCs/>
                <w:color w:val="000000" w:themeColor="text1"/>
                <w:szCs w:val="21"/>
              </w:rPr>
              <w:fldChar w:fldCharType="end"/>
            </w:r>
          </w:p>
        </w:tc>
        <w:tc>
          <w:tcPr>
            <w:tcW w:w="448"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435"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447"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r>
      <w:tr w:rsidR="00F47729" w:rsidRPr="009F686C" w:rsidTr="00F47729">
        <w:trPr>
          <w:trHeight w:val="375"/>
        </w:trPr>
        <w:tc>
          <w:tcPr>
            <w:tcW w:w="243" w:type="pct"/>
            <w:vMerge/>
            <w:tcBorders>
              <w:left w:val="single" w:sz="12" w:space="0" w:color="000000"/>
              <w:bottom w:val="single" w:sz="12" w:space="0" w:color="000000"/>
              <w:right w:val="single" w:sz="12" w:space="0" w:color="000000"/>
            </w:tcBorders>
            <w:shd w:val="clear" w:color="auto" w:fill="auto"/>
            <w:vAlign w:val="center"/>
          </w:tcPr>
          <w:p w:rsidR="00F47729" w:rsidRPr="00924B43" w:rsidRDefault="00F47729" w:rsidP="00F47729">
            <w:pPr>
              <w:jc w:val="center"/>
              <w:rPr>
                <w:rFonts w:asciiTheme="minorEastAsia" w:hAnsiTheme="minorEastAsia" w:cs="Times New Roman"/>
                <w:color w:val="000000" w:themeColor="text1"/>
                <w:szCs w:val="21"/>
              </w:rPr>
            </w:pPr>
          </w:p>
        </w:tc>
        <w:tc>
          <w:tcPr>
            <w:tcW w:w="307"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307"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451" w:type="pct"/>
            <w:tcBorders>
              <w:bottom w:val="single" w:sz="12" w:space="0" w:color="000000"/>
              <w:right w:val="single" w:sz="12" w:space="0" w:color="000000"/>
            </w:tcBorders>
            <w:shd w:val="clear" w:color="auto" w:fill="auto"/>
            <w:vAlign w:val="bottom"/>
          </w:tcPr>
          <w:p w:rsidR="00F47729" w:rsidRPr="00924B43" w:rsidRDefault="00F47729" w:rsidP="00F47729">
            <w:pPr>
              <w:rPr>
                <w:rFonts w:asciiTheme="minorEastAsia" w:hAnsiTheme="minorEastAsia" w:cs="Times New Roman"/>
                <w:color w:val="000000" w:themeColor="text1"/>
                <w:szCs w:val="21"/>
              </w:rPr>
            </w:pPr>
          </w:p>
        </w:tc>
        <w:tc>
          <w:tcPr>
            <w:tcW w:w="604"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861"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896" w:type="pct"/>
            <w:tcBorders>
              <w:bottom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color w:val="000000" w:themeColor="text1"/>
                <w:kern w:val="0"/>
                <w:szCs w:val="21"/>
              </w:rPr>
              <w:t>4.</w:t>
            </w:r>
            <w:r w:rsidRPr="00924B43">
              <w:rPr>
                <w:rFonts w:asciiTheme="minorEastAsia" w:hAnsiTheme="minorEastAsia" w:cs="Times New Roman" w:hint="eastAsia"/>
                <w:color w:val="000000" w:themeColor="text1"/>
                <w:kern w:val="0"/>
                <w:szCs w:val="21"/>
              </w:rPr>
              <w:t>改善全球肾脏病预后组织</w:t>
            </w:r>
            <w:r w:rsidRPr="00924B43">
              <w:rPr>
                <w:rFonts w:asciiTheme="minorEastAsia" w:hAnsiTheme="minorEastAsia" w:cs="Times New Roman"/>
                <w:color w:val="000000" w:themeColor="text1"/>
                <w:kern w:val="0"/>
                <w:szCs w:val="21"/>
              </w:rPr>
              <w:t>(KDIGO)</w:t>
            </w:r>
            <w:r w:rsidRPr="00924B43">
              <w:rPr>
                <w:rFonts w:asciiTheme="minorEastAsia" w:hAnsiTheme="minorEastAsia" w:cs="Times New Roman" w:hint="eastAsia"/>
                <w:color w:val="000000" w:themeColor="text1"/>
                <w:kern w:val="0"/>
                <w:szCs w:val="21"/>
              </w:rPr>
              <w:t>临床实践指南</w:t>
            </w:r>
            <w:r w:rsidRPr="00924B43">
              <w:rPr>
                <w:rFonts w:asciiTheme="minorEastAsia" w:hAnsiTheme="minorEastAsia" w:cs="Times New Roman"/>
                <w:color w:val="000000" w:themeColor="text1"/>
                <w:kern w:val="0"/>
                <w:szCs w:val="21"/>
              </w:rPr>
              <w:t>-</w:t>
            </w:r>
            <w:r w:rsidRPr="00924B43">
              <w:rPr>
                <w:rFonts w:asciiTheme="minorEastAsia" w:hAnsiTheme="minorEastAsia" w:cs="Times New Roman" w:hint="eastAsia"/>
                <w:color w:val="000000" w:themeColor="text1"/>
                <w:kern w:val="0"/>
                <w:szCs w:val="21"/>
              </w:rPr>
              <w:t>肾小球疾病</w:t>
            </w:r>
            <w:r w:rsidRPr="00924B43">
              <w:rPr>
                <w:rFonts w:asciiTheme="minorEastAsia" w:hAnsiTheme="minorEastAsia" w:cs="Times New Roman"/>
                <w:color w:val="000000" w:themeColor="text1"/>
                <w:kern w:val="0"/>
                <w:szCs w:val="21"/>
              </w:rPr>
              <w:t>KDIGO 2021 Clinical Practice Guideline for the Management of Glomerular Diseases</w:t>
            </w:r>
            <w:r w:rsidR="00B411DC" w:rsidRPr="00924B43">
              <w:rPr>
                <w:rFonts w:asciiTheme="minorEastAsia" w:hAnsiTheme="minorEastAsia" w:cs="Times New Roman"/>
                <w:bCs/>
                <w:color w:val="000000" w:themeColor="text1"/>
                <w:szCs w:val="21"/>
              </w:rPr>
              <w:fldChar w:fldCharType="begin"/>
            </w:r>
            <w:r w:rsidRPr="00924B43">
              <w:rPr>
                <w:rFonts w:asciiTheme="minorEastAsia" w:hAnsiTheme="minorEastAsia" w:cs="Times New Roman"/>
                <w:bCs/>
                <w:color w:val="000000" w:themeColor="text1"/>
                <w:szCs w:val="21"/>
              </w:rPr>
              <w:instrText xml:space="preserve"> ADDIN NE.Ref.{F9029D81-B779-4F40-825F-80B0923574C5}</w:instrText>
            </w:r>
            <w:r w:rsidR="00B411DC" w:rsidRPr="00924B43">
              <w:rPr>
                <w:rFonts w:asciiTheme="minorEastAsia" w:hAnsiTheme="minorEastAsia" w:cs="Times New Roman"/>
                <w:bCs/>
                <w:color w:val="000000" w:themeColor="text1"/>
                <w:szCs w:val="21"/>
              </w:rPr>
              <w:fldChar w:fldCharType="separate"/>
            </w:r>
            <w:r w:rsidRPr="00924B43">
              <w:rPr>
                <w:rFonts w:asciiTheme="minorEastAsia" w:hAnsiTheme="minorEastAsia" w:cs="Times New Roman"/>
                <w:color w:val="000000" w:themeColor="text1"/>
                <w:kern w:val="0"/>
                <w:szCs w:val="21"/>
                <w:vertAlign w:val="superscript"/>
              </w:rPr>
              <w:t>[107]</w:t>
            </w:r>
            <w:r w:rsidR="00B411DC" w:rsidRPr="00924B43">
              <w:rPr>
                <w:rFonts w:asciiTheme="minorEastAsia" w:hAnsiTheme="minorEastAsia" w:cs="Times New Roman"/>
                <w:bCs/>
                <w:color w:val="000000" w:themeColor="text1"/>
                <w:szCs w:val="21"/>
              </w:rPr>
              <w:fldChar w:fldCharType="end"/>
            </w:r>
          </w:p>
        </w:tc>
        <w:tc>
          <w:tcPr>
            <w:tcW w:w="448"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435"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447"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r>
      <w:tr w:rsidR="00F47729" w:rsidRPr="009F686C" w:rsidTr="00F47729">
        <w:trPr>
          <w:trHeight w:val="210"/>
        </w:trPr>
        <w:tc>
          <w:tcPr>
            <w:tcW w:w="243" w:type="pct"/>
            <w:vMerge w:val="restart"/>
            <w:tcBorders>
              <w:left w:val="single" w:sz="12" w:space="0" w:color="000000"/>
              <w:bottom w:val="single" w:sz="12" w:space="0" w:color="000000"/>
              <w:right w:val="single" w:sz="12" w:space="0" w:color="000000"/>
            </w:tcBorders>
            <w:shd w:val="clear" w:color="auto" w:fill="auto"/>
            <w:vAlign w:val="center"/>
          </w:tcPr>
          <w:p w:rsidR="00F47729" w:rsidRPr="00924B43" w:rsidRDefault="00F47729" w:rsidP="00F47729">
            <w:pPr>
              <w:widowControl/>
              <w:jc w:val="center"/>
              <w:textAlignment w:val="center"/>
              <w:rPr>
                <w:rFonts w:asciiTheme="minorEastAsia" w:hAnsiTheme="minorEastAsia" w:cs="Times New Roman"/>
                <w:color w:val="000000" w:themeColor="text1"/>
                <w:szCs w:val="21"/>
              </w:rPr>
            </w:pPr>
            <w:r w:rsidRPr="00924B43">
              <w:rPr>
                <w:rFonts w:asciiTheme="minorEastAsia" w:hAnsiTheme="minorEastAsia" w:cs="Times New Roman"/>
                <w:color w:val="000000" w:themeColor="text1"/>
                <w:kern w:val="0"/>
                <w:szCs w:val="21"/>
              </w:rPr>
              <w:t>5</w:t>
            </w:r>
          </w:p>
        </w:tc>
        <w:tc>
          <w:tcPr>
            <w:tcW w:w="307" w:type="pct"/>
            <w:vMerge w:val="restart"/>
            <w:tcBorders>
              <w:bottom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hint="eastAsia"/>
                <w:color w:val="000000" w:themeColor="text1"/>
                <w:kern w:val="0"/>
                <w:szCs w:val="21"/>
              </w:rPr>
              <w:t>氯沙坦钾</w:t>
            </w:r>
          </w:p>
        </w:tc>
        <w:tc>
          <w:tcPr>
            <w:tcW w:w="307" w:type="pct"/>
            <w:vMerge w:val="restart"/>
            <w:tcBorders>
              <w:bottom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hint="eastAsia"/>
                <w:color w:val="000000" w:themeColor="text1"/>
                <w:kern w:val="0"/>
                <w:szCs w:val="21"/>
              </w:rPr>
              <w:t>片剂</w:t>
            </w:r>
          </w:p>
        </w:tc>
        <w:tc>
          <w:tcPr>
            <w:tcW w:w="451" w:type="pct"/>
            <w:tcBorders>
              <w:right w:val="single" w:sz="12" w:space="0" w:color="000000"/>
            </w:tcBorders>
            <w:shd w:val="clear" w:color="auto" w:fill="auto"/>
            <w:vAlign w:val="center"/>
          </w:tcPr>
          <w:p w:rsidR="00F47729" w:rsidRDefault="00F47729" w:rsidP="00F47729">
            <w:pPr>
              <w:widowControl/>
              <w:jc w:val="left"/>
              <w:textAlignment w:val="center"/>
              <w:rPr>
                <w:rFonts w:asciiTheme="minorEastAsia" w:hAnsiTheme="minorEastAsia" w:cs="Cambria Math"/>
                <w:color w:val="000000" w:themeColor="text1"/>
                <w:kern w:val="0"/>
                <w:szCs w:val="21"/>
              </w:rPr>
            </w:pPr>
          </w:p>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Cambria Math" w:hint="eastAsia"/>
                <w:color w:val="000000" w:themeColor="text1"/>
                <w:kern w:val="0"/>
                <w:szCs w:val="21"/>
              </w:rPr>
              <w:t>①</w:t>
            </w:r>
            <w:r w:rsidRPr="00924B43">
              <w:rPr>
                <w:rFonts w:asciiTheme="minorEastAsia" w:hAnsiTheme="minorEastAsia" w:cs="Times New Roman"/>
                <w:color w:val="000000" w:themeColor="text1"/>
                <w:kern w:val="0"/>
                <w:szCs w:val="21"/>
              </w:rPr>
              <w:t>50 mg</w:t>
            </w:r>
          </w:p>
        </w:tc>
        <w:tc>
          <w:tcPr>
            <w:tcW w:w="604" w:type="pct"/>
            <w:vMerge w:val="restart"/>
            <w:tcBorders>
              <w:bottom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hint="eastAsia"/>
                <w:color w:val="000000" w:themeColor="text1"/>
                <w:kern w:val="0"/>
                <w:szCs w:val="21"/>
              </w:rPr>
              <w:t>有蛋白尿的原发性或继发性肾小球疾病</w:t>
            </w:r>
          </w:p>
        </w:tc>
        <w:tc>
          <w:tcPr>
            <w:tcW w:w="861" w:type="pct"/>
            <w:vMerge w:val="restart"/>
            <w:tcBorders>
              <w:bottom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hint="eastAsia"/>
                <w:color w:val="000000" w:themeColor="text1"/>
                <w:kern w:val="0"/>
                <w:szCs w:val="21"/>
              </w:rPr>
              <w:t>单独治疗肾小球肾炎和蛋白尿患者时，将</w:t>
            </w:r>
            <w:r w:rsidRPr="00924B43">
              <w:rPr>
                <w:rFonts w:asciiTheme="minorEastAsia" w:hAnsiTheme="minorEastAsia" w:cs="Times New Roman"/>
                <w:color w:val="000000" w:themeColor="text1"/>
                <w:kern w:val="0"/>
                <w:szCs w:val="21"/>
              </w:rPr>
              <w:t>ACEI</w:t>
            </w:r>
            <w:r w:rsidRPr="00924B43">
              <w:rPr>
                <w:rFonts w:asciiTheme="minorEastAsia" w:hAnsiTheme="minorEastAsia" w:cs="Times New Roman" w:hint="eastAsia"/>
                <w:color w:val="000000" w:themeColor="text1"/>
                <w:kern w:val="0"/>
                <w:szCs w:val="21"/>
              </w:rPr>
              <w:t>或</w:t>
            </w:r>
            <w:r w:rsidRPr="00924B43">
              <w:rPr>
                <w:rFonts w:asciiTheme="minorEastAsia" w:hAnsiTheme="minorEastAsia" w:cs="Times New Roman"/>
                <w:color w:val="000000" w:themeColor="text1"/>
                <w:kern w:val="0"/>
                <w:szCs w:val="21"/>
              </w:rPr>
              <w:t>ARB</w:t>
            </w:r>
            <w:r w:rsidRPr="00924B43">
              <w:rPr>
                <w:rFonts w:asciiTheme="minorEastAsia" w:hAnsiTheme="minorEastAsia" w:cs="Times New Roman" w:hint="eastAsia"/>
                <w:color w:val="000000" w:themeColor="text1"/>
                <w:kern w:val="0"/>
                <w:szCs w:val="21"/>
              </w:rPr>
              <w:t>上调至首次最大耐受或允许剂量</w:t>
            </w:r>
          </w:p>
        </w:tc>
        <w:tc>
          <w:tcPr>
            <w:tcW w:w="896" w:type="pct"/>
            <w:tcBorders>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color w:val="000000" w:themeColor="text1"/>
                <w:kern w:val="0"/>
                <w:szCs w:val="21"/>
              </w:rPr>
              <w:t>1.</w:t>
            </w:r>
            <w:r w:rsidRPr="00924B43">
              <w:rPr>
                <w:rFonts w:asciiTheme="minorEastAsia" w:hAnsiTheme="minorEastAsia" w:cs="Times New Roman" w:hint="eastAsia"/>
                <w:color w:val="000000" w:themeColor="text1"/>
                <w:kern w:val="0"/>
                <w:szCs w:val="21"/>
              </w:rPr>
              <w:t>美国</w:t>
            </w:r>
            <w:r w:rsidRPr="00924B43">
              <w:rPr>
                <w:rFonts w:asciiTheme="minorEastAsia" w:hAnsiTheme="minorEastAsia" w:cs="Times New Roman"/>
                <w:color w:val="000000" w:themeColor="text1"/>
                <w:kern w:val="0"/>
                <w:szCs w:val="21"/>
              </w:rPr>
              <w:t>FDA</w:t>
            </w:r>
            <w:r w:rsidRPr="00924B43">
              <w:rPr>
                <w:rFonts w:asciiTheme="minorEastAsia" w:hAnsiTheme="minorEastAsia" w:cs="Times New Roman" w:hint="eastAsia"/>
                <w:color w:val="000000" w:themeColor="text1"/>
                <w:kern w:val="0"/>
                <w:szCs w:val="21"/>
              </w:rPr>
              <w:t>未批准氯沙坦用于治疗有蛋白尿的原发性或继发性肾小球疾病；</w:t>
            </w:r>
          </w:p>
        </w:tc>
        <w:tc>
          <w:tcPr>
            <w:tcW w:w="448" w:type="pct"/>
            <w:vMerge w:val="restart"/>
            <w:tcBorders>
              <w:bottom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color w:val="000000" w:themeColor="text1"/>
                <w:kern w:val="0"/>
                <w:szCs w:val="21"/>
              </w:rPr>
              <w:t xml:space="preserve">Class </w:t>
            </w:r>
            <w:r w:rsidRPr="00924B43">
              <w:rPr>
                <w:rFonts w:asciiTheme="minorEastAsia" w:hAnsiTheme="minorEastAsia" w:cs="Times New Roman" w:hint="eastAsia"/>
                <w:color w:val="000000" w:themeColor="text1"/>
                <w:kern w:val="0"/>
                <w:szCs w:val="21"/>
              </w:rPr>
              <w:t>Ⅱ</w:t>
            </w:r>
            <w:r w:rsidRPr="00924B43">
              <w:rPr>
                <w:rFonts w:asciiTheme="minorEastAsia" w:hAnsiTheme="minorEastAsia" w:cs="Times New Roman"/>
                <w:color w:val="000000" w:themeColor="text1"/>
                <w:kern w:val="0"/>
                <w:szCs w:val="21"/>
              </w:rPr>
              <w:t>a</w:t>
            </w:r>
            <w:r w:rsidRPr="00924B43">
              <w:rPr>
                <w:rFonts w:asciiTheme="minorEastAsia" w:hAnsiTheme="minorEastAsia" w:cs="Times New Roman" w:hint="eastAsia"/>
                <w:color w:val="000000" w:themeColor="text1"/>
                <w:kern w:val="0"/>
                <w:szCs w:val="21"/>
              </w:rPr>
              <w:t>（肾脏疾病，非糖尿病）</w:t>
            </w:r>
          </w:p>
        </w:tc>
        <w:tc>
          <w:tcPr>
            <w:tcW w:w="435" w:type="pct"/>
            <w:vMerge w:val="restart"/>
            <w:tcBorders>
              <w:bottom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color w:val="000000" w:themeColor="text1"/>
                <w:kern w:val="0"/>
                <w:szCs w:val="21"/>
              </w:rPr>
              <w:t xml:space="preserve">Class </w:t>
            </w:r>
            <w:r w:rsidRPr="00924B43">
              <w:rPr>
                <w:rFonts w:asciiTheme="minorEastAsia" w:hAnsiTheme="minorEastAsia" w:cs="Times New Roman" w:hint="eastAsia"/>
                <w:color w:val="000000" w:themeColor="text1"/>
                <w:kern w:val="0"/>
                <w:szCs w:val="21"/>
              </w:rPr>
              <w:t>Ⅱ</w:t>
            </w:r>
            <w:r w:rsidRPr="00924B43">
              <w:rPr>
                <w:rFonts w:asciiTheme="minorEastAsia" w:hAnsiTheme="minorEastAsia" w:cs="Times New Roman"/>
                <w:color w:val="000000" w:themeColor="text1"/>
                <w:kern w:val="0"/>
                <w:szCs w:val="21"/>
              </w:rPr>
              <w:t>a</w:t>
            </w:r>
          </w:p>
        </w:tc>
        <w:tc>
          <w:tcPr>
            <w:tcW w:w="447" w:type="pct"/>
            <w:vMerge w:val="restart"/>
            <w:tcBorders>
              <w:bottom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color w:val="000000" w:themeColor="text1"/>
                <w:kern w:val="0"/>
                <w:szCs w:val="21"/>
              </w:rPr>
              <w:t>Category B</w:t>
            </w:r>
          </w:p>
        </w:tc>
      </w:tr>
      <w:tr w:rsidR="00F47729" w:rsidRPr="009F686C" w:rsidTr="00F47729">
        <w:trPr>
          <w:trHeight w:val="375"/>
        </w:trPr>
        <w:tc>
          <w:tcPr>
            <w:tcW w:w="243" w:type="pct"/>
            <w:vMerge/>
            <w:tcBorders>
              <w:left w:val="single" w:sz="12" w:space="0" w:color="000000"/>
              <w:bottom w:val="single" w:sz="12" w:space="0" w:color="000000"/>
              <w:right w:val="single" w:sz="12" w:space="0" w:color="000000"/>
            </w:tcBorders>
            <w:shd w:val="clear" w:color="auto" w:fill="auto"/>
            <w:vAlign w:val="center"/>
          </w:tcPr>
          <w:p w:rsidR="00F47729" w:rsidRPr="00924B43" w:rsidRDefault="00F47729" w:rsidP="00F47729">
            <w:pPr>
              <w:jc w:val="center"/>
              <w:rPr>
                <w:rFonts w:asciiTheme="minorEastAsia" w:hAnsiTheme="minorEastAsia" w:cs="Times New Roman"/>
                <w:color w:val="000000" w:themeColor="text1"/>
                <w:szCs w:val="21"/>
              </w:rPr>
            </w:pPr>
          </w:p>
        </w:tc>
        <w:tc>
          <w:tcPr>
            <w:tcW w:w="307"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307"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451" w:type="pct"/>
            <w:tcBorders>
              <w:right w:val="single" w:sz="12" w:space="0" w:color="000000"/>
            </w:tcBorders>
            <w:shd w:val="clear" w:color="auto" w:fill="auto"/>
            <w:vAlign w:val="center"/>
          </w:tcPr>
          <w:p w:rsidR="00F47729" w:rsidRDefault="00F47729" w:rsidP="00F47729">
            <w:pPr>
              <w:widowControl/>
              <w:jc w:val="left"/>
              <w:textAlignment w:val="center"/>
              <w:rPr>
                <w:rFonts w:asciiTheme="minorEastAsia" w:hAnsiTheme="minorEastAsia" w:cs="Cambria Math"/>
                <w:color w:val="000000" w:themeColor="text1"/>
                <w:kern w:val="0"/>
                <w:szCs w:val="21"/>
              </w:rPr>
            </w:pPr>
          </w:p>
          <w:p w:rsidR="00F47729" w:rsidRDefault="00F47729" w:rsidP="00F47729">
            <w:pPr>
              <w:widowControl/>
              <w:jc w:val="left"/>
              <w:textAlignment w:val="center"/>
              <w:rPr>
                <w:rFonts w:asciiTheme="minorEastAsia" w:hAnsiTheme="minorEastAsia" w:cs="Cambria Math"/>
                <w:color w:val="000000" w:themeColor="text1"/>
                <w:kern w:val="0"/>
                <w:szCs w:val="21"/>
              </w:rPr>
            </w:pPr>
          </w:p>
          <w:p w:rsidR="00F47729" w:rsidRDefault="00F47729" w:rsidP="00F47729">
            <w:pPr>
              <w:widowControl/>
              <w:jc w:val="left"/>
              <w:textAlignment w:val="center"/>
              <w:rPr>
                <w:rFonts w:asciiTheme="minorEastAsia" w:hAnsiTheme="minorEastAsia" w:cs="Cambria Math"/>
                <w:color w:val="000000" w:themeColor="text1"/>
                <w:kern w:val="0"/>
                <w:szCs w:val="21"/>
              </w:rPr>
            </w:pPr>
          </w:p>
          <w:p w:rsidR="00F47729" w:rsidRDefault="00F47729" w:rsidP="00F47729">
            <w:pPr>
              <w:widowControl/>
              <w:jc w:val="left"/>
              <w:textAlignment w:val="center"/>
              <w:rPr>
                <w:rFonts w:asciiTheme="minorEastAsia" w:hAnsiTheme="minorEastAsia" w:cs="Cambria Math"/>
                <w:color w:val="000000" w:themeColor="text1"/>
                <w:kern w:val="0"/>
                <w:szCs w:val="21"/>
              </w:rPr>
            </w:pPr>
          </w:p>
          <w:p w:rsidR="00F47729" w:rsidRDefault="00F47729" w:rsidP="00F47729">
            <w:pPr>
              <w:widowControl/>
              <w:jc w:val="left"/>
              <w:textAlignment w:val="center"/>
              <w:rPr>
                <w:rFonts w:asciiTheme="minorEastAsia" w:hAnsiTheme="minorEastAsia" w:cs="Cambria Math"/>
                <w:color w:val="000000" w:themeColor="text1"/>
                <w:kern w:val="0"/>
                <w:szCs w:val="21"/>
              </w:rPr>
            </w:pPr>
          </w:p>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Cambria Math" w:hint="eastAsia"/>
                <w:color w:val="000000" w:themeColor="text1"/>
                <w:kern w:val="0"/>
                <w:szCs w:val="21"/>
              </w:rPr>
              <w:t>②</w:t>
            </w:r>
            <w:r w:rsidRPr="00924B43">
              <w:rPr>
                <w:rFonts w:asciiTheme="minorEastAsia" w:hAnsiTheme="minorEastAsia" w:cs="Times New Roman"/>
                <w:color w:val="000000" w:themeColor="text1"/>
                <w:kern w:val="0"/>
                <w:szCs w:val="21"/>
              </w:rPr>
              <w:t>100 mg</w:t>
            </w:r>
          </w:p>
        </w:tc>
        <w:tc>
          <w:tcPr>
            <w:tcW w:w="604"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861"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896" w:type="pct"/>
            <w:tcBorders>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color w:val="000000" w:themeColor="text1"/>
                <w:kern w:val="0"/>
                <w:szCs w:val="21"/>
              </w:rPr>
              <w:t>2.</w:t>
            </w:r>
            <w:r w:rsidRPr="00924B43">
              <w:rPr>
                <w:rFonts w:asciiTheme="minorEastAsia" w:hAnsiTheme="minorEastAsia" w:cs="Times New Roman" w:hint="eastAsia"/>
                <w:color w:val="000000" w:themeColor="text1"/>
                <w:kern w:val="0"/>
                <w:szCs w:val="21"/>
              </w:rPr>
              <w:t>改善全球肾脏病预后组织</w:t>
            </w:r>
            <w:r w:rsidRPr="00924B43">
              <w:rPr>
                <w:rFonts w:asciiTheme="minorEastAsia" w:hAnsiTheme="minorEastAsia" w:cs="Times New Roman"/>
                <w:color w:val="000000" w:themeColor="text1"/>
                <w:kern w:val="0"/>
                <w:szCs w:val="21"/>
              </w:rPr>
              <w:t>(KDIGO)</w:t>
            </w:r>
            <w:r w:rsidRPr="00924B43">
              <w:rPr>
                <w:rFonts w:asciiTheme="minorEastAsia" w:hAnsiTheme="minorEastAsia" w:cs="Times New Roman" w:hint="eastAsia"/>
                <w:color w:val="000000" w:themeColor="text1"/>
                <w:kern w:val="0"/>
                <w:szCs w:val="21"/>
              </w:rPr>
              <w:t>临床实践指南</w:t>
            </w:r>
            <w:r w:rsidRPr="00924B43">
              <w:rPr>
                <w:rFonts w:asciiTheme="minorEastAsia" w:hAnsiTheme="minorEastAsia" w:cs="Times New Roman"/>
                <w:color w:val="000000" w:themeColor="text1"/>
                <w:kern w:val="0"/>
                <w:szCs w:val="21"/>
              </w:rPr>
              <w:t>-</w:t>
            </w:r>
            <w:r w:rsidRPr="00924B43">
              <w:rPr>
                <w:rFonts w:asciiTheme="minorEastAsia" w:hAnsiTheme="minorEastAsia" w:cs="Times New Roman" w:hint="eastAsia"/>
                <w:color w:val="000000" w:themeColor="text1"/>
                <w:kern w:val="0"/>
                <w:szCs w:val="21"/>
              </w:rPr>
              <w:t>肾小球疾病</w:t>
            </w:r>
            <w:r w:rsidRPr="00924B43">
              <w:rPr>
                <w:rFonts w:asciiTheme="minorEastAsia" w:hAnsiTheme="minorEastAsia" w:cs="Times New Roman"/>
                <w:color w:val="000000" w:themeColor="text1"/>
                <w:kern w:val="0"/>
                <w:szCs w:val="21"/>
              </w:rPr>
              <w:t>KDIGO 2021 Clinical Practice Guideline for the Management of Glomerular Diseases</w:t>
            </w:r>
            <w:r w:rsidR="00B411DC" w:rsidRPr="00924B43">
              <w:rPr>
                <w:rFonts w:asciiTheme="minorEastAsia" w:hAnsiTheme="minorEastAsia" w:cs="Times New Roman"/>
                <w:bCs/>
                <w:color w:val="000000" w:themeColor="text1"/>
                <w:szCs w:val="21"/>
              </w:rPr>
              <w:fldChar w:fldCharType="begin"/>
            </w:r>
            <w:r w:rsidRPr="00924B43">
              <w:rPr>
                <w:rFonts w:asciiTheme="minorEastAsia" w:hAnsiTheme="minorEastAsia" w:cs="Times New Roman"/>
                <w:bCs/>
                <w:color w:val="000000" w:themeColor="text1"/>
                <w:szCs w:val="21"/>
              </w:rPr>
              <w:instrText xml:space="preserve"> ADDIN NE.Ref.{F9029D81-B779-4F40-825F-80B0923574C5}</w:instrText>
            </w:r>
            <w:r w:rsidR="00B411DC" w:rsidRPr="00924B43">
              <w:rPr>
                <w:rFonts w:asciiTheme="minorEastAsia" w:hAnsiTheme="minorEastAsia" w:cs="Times New Roman"/>
                <w:bCs/>
                <w:color w:val="000000" w:themeColor="text1"/>
                <w:szCs w:val="21"/>
              </w:rPr>
              <w:fldChar w:fldCharType="separate"/>
            </w:r>
            <w:r w:rsidRPr="00924B43">
              <w:rPr>
                <w:rFonts w:asciiTheme="minorEastAsia" w:hAnsiTheme="minorEastAsia" w:cs="Times New Roman"/>
                <w:color w:val="000000" w:themeColor="text1"/>
                <w:kern w:val="0"/>
                <w:szCs w:val="21"/>
                <w:vertAlign w:val="superscript"/>
              </w:rPr>
              <w:t>[107]</w:t>
            </w:r>
            <w:r w:rsidR="00B411DC" w:rsidRPr="00924B43">
              <w:rPr>
                <w:rFonts w:asciiTheme="minorEastAsia" w:hAnsiTheme="minorEastAsia" w:cs="Times New Roman"/>
                <w:bCs/>
                <w:color w:val="000000" w:themeColor="text1"/>
                <w:szCs w:val="21"/>
              </w:rPr>
              <w:fldChar w:fldCharType="end"/>
            </w:r>
          </w:p>
        </w:tc>
        <w:tc>
          <w:tcPr>
            <w:tcW w:w="448"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435"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447"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r>
      <w:tr w:rsidR="00F47729" w:rsidRPr="009F686C" w:rsidTr="00F47729">
        <w:trPr>
          <w:trHeight w:val="375"/>
        </w:trPr>
        <w:tc>
          <w:tcPr>
            <w:tcW w:w="243" w:type="pct"/>
            <w:vMerge/>
            <w:tcBorders>
              <w:left w:val="single" w:sz="12" w:space="0" w:color="000000"/>
              <w:bottom w:val="single" w:sz="12" w:space="0" w:color="000000"/>
              <w:right w:val="single" w:sz="12" w:space="0" w:color="000000"/>
            </w:tcBorders>
            <w:shd w:val="clear" w:color="auto" w:fill="auto"/>
            <w:vAlign w:val="center"/>
          </w:tcPr>
          <w:p w:rsidR="00F47729" w:rsidRPr="00924B43" w:rsidRDefault="00F47729" w:rsidP="00F47729">
            <w:pPr>
              <w:jc w:val="center"/>
              <w:rPr>
                <w:rFonts w:asciiTheme="minorEastAsia" w:hAnsiTheme="minorEastAsia" w:cs="Times New Roman"/>
                <w:color w:val="000000" w:themeColor="text1"/>
                <w:szCs w:val="21"/>
              </w:rPr>
            </w:pPr>
          </w:p>
        </w:tc>
        <w:tc>
          <w:tcPr>
            <w:tcW w:w="307"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307"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451" w:type="pct"/>
            <w:tcBorders>
              <w:bottom w:val="single" w:sz="12" w:space="0" w:color="000000"/>
              <w:right w:val="single" w:sz="12" w:space="0" w:color="000000"/>
            </w:tcBorders>
            <w:shd w:val="clear" w:color="auto" w:fill="auto"/>
            <w:vAlign w:val="bottom"/>
          </w:tcPr>
          <w:p w:rsidR="00F47729" w:rsidRPr="00924B43" w:rsidRDefault="00F47729" w:rsidP="00F47729">
            <w:pPr>
              <w:rPr>
                <w:rFonts w:asciiTheme="minorEastAsia" w:hAnsiTheme="minorEastAsia" w:cs="Times New Roman"/>
                <w:color w:val="000000" w:themeColor="text1"/>
                <w:szCs w:val="21"/>
              </w:rPr>
            </w:pPr>
          </w:p>
        </w:tc>
        <w:tc>
          <w:tcPr>
            <w:tcW w:w="604"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861"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896" w:type="pct"/>
            <w:tcBorders>
              <w:bottom w:val="single" w:sz="12" w:space="0" w:color="000000"/>
              <w:right w:val="single" w:sz="12" w:space="0" w:color="000000"/>
            </w:tcBorders>
            <w:shd w:val="clear" w:color="auto" w:fill="auto"/>
            <w:vAlign w:val="center"/>
          </w:tcPr>
          <w:p w:rsidR="00F47729" w:rsidRDefault="00F47729" w:rsidP="00F47729">
            <w:pPr>
              <w:widowControl/>
              <w:jc w:val="left"/>
              <w:textAlignment w:val="center"/>
              <w:rPr>
                <w:rFonts w:asciiTheme="minorEastAsia" w:hAnsiTheme="minorEastAsia" w:cs="Times New Roman"/>
                <w:bCs/>
                <w:color w:val="000000" w:themeColor="text1"/>
                <w:szCs w:val="21"/>
              </w:rPr>
            </w:pPr>
            <w:r w:rsidRPr="00924B43">
              <w:rPr>
                <w:rFonts w:asciiTheme="minorEastAsia" w:hAnsiTheme="minorEastAsia" w:cs="Times New Roman"/>
                <w:color w:val="000000" w:themeColor="text1"/>
                <w:kern w:val="0"/>
                <w:szCs w:val="21"/>
              </w:rPr>
              <w:t>3.</w:t>
            </w:r>
            <w:r w:rsidRPr="00924B43">
              <w:rPr>
                <w:rFonts w:asciiTheme="minorEastAsia" w:hAnsiTheme="minorEastAsia" w:cs="Times New Roman" w:hint="eastAsia"/>
                <w:color w:val="000000" w:themeColor="text1"/>
                <w:kern w:val="0"/>
                <w:szCs w:val="21"/>
              </w:rPr>
              <w:t>中华医学会糖尿病学分会微血管并发症学组，中国糖尿病肾脏疾病防治临床指南</w:t>
            </w:r>
            <w:r w:rsidRPr="00924B43">
              <w:rPr>
                <w:rFonts w:asciiTheme="minorEastAsia" w:hAnsiTheme="minorEastAsia" w:cs="Times New Roman"/>
                <w:color w:val="000000" w:themeColor="text1"/>
                <w:kern w:val="0"/>
                <w:szCs w:val="21"/>
              </w:rPr>
              <w:t>(2019)</w:t>
            </w:r>
            <w:r w:rsidR="00B411DC" w:rsidRPr="00924B43">
              <w:rPr>
                <w:rFonts w:asciiTheme="minorEastAsia" w:hAnsiTheme="minorEastAsia" w:cs="Times New Roman"/>
                <w:bCs/>
                <w:color w:val="000000" w:themeColor="text1"/>
                <w:szCs w:val="21"/>
              </w:rPr>
              <w:fldChar w:fldCharType="begin"/>
            </w:r>
            <w:r w:rsidRPr="00924B43">
              <w:rPr>
                <w:rFonts w:asciiTheme="minorEastAsia" w:hAnsiTheme="minorEastAsia" w:cs="Times New Roman"/>
                <w:bCs/>
                <w:color w:val="000000" w:themeColor="text1"/>
                <w:szCs w:val="21"/>
              </w:rPr>
              <w:instrText xml:space="preserve"> ADDIN NE.Ref.{F9029D81-B779-4F40-825F-80B0923574C5}</w:instrText>
            </w:r>
            <w:r w:rsidR="00B411DC" w:rsidRPr="00924B43">
              <w:rPr>
                <w:rFonts w:asciiTheme="minorEastAsia" w:hAnsiTheme="minorEastAsia" w:cs="Times New Roman"/>
                <w:bCs/>
                <w:color w:val="000000" w:themeColor="text1"/>
                <w:szCs w:val="21"/>
              </w:rPr>
              <w:fldChar w:fldCharType="separate"/>
            </w:r>
            <w:r w:rsidRPr="00924B43">
              <w:rPr>
                <w:rFonts w:asciiTheme="minorEastAsia" w:hAnsiTheme="minorEastAsia" w:cs="Times New Roman"/>
                <w:color w:val="000000" w:themeColor="text1"/>
                <w:kern w:val="0"/>
                <w:szCs w:val="21"/>
                <w:vertAlign w:val="superscript"/>
              </w:rPr>
              <w:t>[106]</w:t>
            </w:r>
            <w:r w:rsidR="00B411DC" w:rsidRPr="00924B43">
              <w:rPr>
                <w:rFonts w:asciiTheme="minorEastAsia" w:hAnsiTheme="minorEastAsia" w:cs="Times New Roman"/>
                <w:bCs/>
                <w:color w:val="000000" w:themeColor="text1"/>
                <w:szCs w:val="21"/>
              </w:rPr>
              <w:fldChar w:fldCharType="end"/>
            </w:r>
          </w:p>
          <w:p w:rsidR="00F47729" w:rsidRDefault="00F47729" w:rsidP="00F47729">
            <w:pPr>
              <w:widowControl/>
              <w:jc w:val="left"/>
              <w:textAlignment w:val="center"/>
              <w:rPr>
                <w:rFonts w:asciiTheme="minorEastAsia" w:hAnsiTheme="minorEastAsia" w:cs="Times New Roman"/>
                <w:bCs/>
                <w:color w:val="000000" w:themeColor="text1"/>
                <w:szCs w:val="21"/>
              </w:rPr>
            </w:pPr>
          </w:p>
          <w:p w:rsidR="00F47729" w:rsidRDefault="00F47729" w:rsidP="00F47729">
            <w:pPr>
              <w:widowControl/>
              <w:jc w:val="left"/>
              <w:textAlignment w:val="center"/>
              <w:rPr>
                <w:rFonts w:asciiTheme="minorEastAsia" w:hAnsiTheme="minorEastAsia" w:cs="Times New Roman"/>
                <w:bCs/>
                <w:color w:val="000000" w:themeColor="text1"/>
                <w:szCs w:val="21"/>
              </w:rPr>
            </w:pPr>
          </w:p>
          <w:p w:rsidR="00F47729" w:rsidRPr="00924B43" w:rsidRDefault="00F47729" w:rsidP="00F47729">
            <w:pPr>
              <w:widowControl/>
              <w:jc w:val="left"/>
              <w:textAlignment w:val="center"/>
              <w:rPr>
                <w:rFonts w:asciiTheme="minorEastAsia" w:hAnsiTheme="minorEastAsia" w:cs="Times New Roman"/>
                <w:color w:val="000000" w:themeColor="text1"/>
                <w:szCs w:val="21"/>
              </w:rPr>
            </w:pPr>
          </w:p>
        </w:tc>
        <w:tc>
          <w:tcPr>
            <w:tcW w:w="448"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435"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447"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r>
      <w:tr w:rsidR="00F47729" w:rsidRPr="009F686C" w:rsidTr="00F47729">
        <w:trPr>
          <w:trHeight w:val="210"/>
        </w:trPr>
        <w:tc>
          <w:tcPr>
            <w:tcW w:w="243" w:type="pct"/>
            <w:vMerge w:val="restart"/>
            <w:tcBorders>
              <w:top w:val="single" w:sz="12" w:space="0" w:color="000000"/>
              <w:left w:val="single" w:sz="12" w:space="0" w:color="000000"/>
              <w:bottom w:val="single" w:sz="12" w:space="0" w:color="000000"/>
              <w:right w:val="single" w:sz="12" w:space="0" w:color="000000"/>
            </w:tcBorders>
            <w:shd w:val="clear" w:color="auto" w:fill="auto"/>
            <w:vAlign w:val="center"/>
          </w:tcPr>
          <w:p w:rsidR="00F47729" w:rsidRPr="00924B43" w:rsidRDefault="00F47729" w:rsidP="00F47729">
            <w:pPr>
              <w:widowControl/>
              <w:jc w:val="center"/>
              <w:textAlignment w:val="center"/>
              <w:rPr>
                <w:rFonts w:asciiTheme="minorEastAsia" w:hAnsiTheme="minorEastAsia" w:cs="Times New Roman"/>
                <w:color w:val="000000" w:themeColor="text1"/>
                <w:szCs w:val="21"/>
              </w:rPr>
            </w:pPr>
            <w:r w:rsidRPr="00924B43">
              <w:rPr>
                <w:rFonts w:asciiTheme="minorEastAsia" w:hAnsiTheme="minorEastAsia" w:cs="Times New Roman"/>
                <w:color w:val="000000" w:themeColor="text1"/>
                <w:kern w:val="0"/>
                <w:szCs w:val="21"/>
              </w:rPr>
              <w:lastRenderedPageBreak/>
              <w:t>6</w:t>
            </w:r>
          </w:p>
        </w:tc>
        <w:tc>
          <w:tcPr>
            <w:tcW w:w="307" w:type="pct"/>
            <w:vMerge w:val="restart"/>
            <w:tcBorders>
              <w:top w:val="single" w:sz="12" w:space="0" w:color="000000"/>
              <w:bottom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hint="eastAsia"/>
                <w:color w:val="000000" w:themeColor="text1"/>
                <w:kern w:val="0"/>
                <w:szCs w:val="21"/>
              </w:rPr>
              <w:t>替米沙坦</w:t>
            </w:r>
          </w:p>
        </w:tc>
        <w:tc>
          <w:tcPr>
            <w:tcW w:w="307" w:type="pct"/>
            <w:vMerge w:val="restart"/>
            <w:tcBorders>
              <w:top w:val="single" w:sz="12" w:space="0" w:color="000000"/>
              <w:bottom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hint="eastAsia"/>
                <w:color w:val="000000" w:themeColor="text1"/>
                <w:kern w:val="0"/>
                <w:szCs w:val="21"/>
              </w:rPr>
              <w:t>片剂</w:t>
            </w:r>
          </w:p>
        </w:tc>
        <w:tc>
          <w:tcPr>
            <w:tcW w:w="451" w:type="pct"/>
            <w:tcBorders>
              <w:top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Cambria Math" w:hint="eastAsia"/>
                <w:color w:val="000000" w:themeColor="text1"/>
                <w:kern w:val="0"/>
                <w:szCs w:val="21"/>
              </w:rPr>
              <w:t>①</w:t>
            </w:r>
            <w:r w:rsidRPr="00924B43">
              <w:rPr>
                <w:rFonts w:asciiTheme="minorEastAsia" w:hAnsiTheme="minorEastAsia" w:cs="Times New Roman"/>
                <w:color w:val="000000" w:themeColor="text1"/>
                <w:kern w:val="0"/>
                <w:szCs w:val="21"/>
              </w:rPr>
              <w:t>40 mg</w:t>
            </w:r>
          </w:p>
        </w:tc>
        <w:tc>
          <w:tcPr>
            <w:tcW w:w="604" w:type="pct"/>
            <w:vMerge w:val="restart"/>
            <w:tcBorders>
              <w:top w:val="single" w:sz="12" w:space="0" w:color="000000"/>
              <w:bottom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hint="eastAsia"/>
                <w:color w:val="000000" w:themeColor="text1"/>
                <w:kern w:val="0"/>
                <w:szCs w:val="21"/>
              </w:rPr>
              <w:t>有蛋白尿的原发性或继发性肾小球疾病</w:t>
            </w:r>
          </w:p>
        </w:tc>
        <w:tc>
          <w:tcPr>
            <w:tcW w:w="861" w:type="pct"/>
            <w:vMerge w:val="restart"/>
            <w:tcBorders>
              <w:top w:val="single" w:sz="12" w:space="0" w:color="000000"/>
              <w:bottom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hint="eastAsia"/>
                <w:color w:val="000000" w:themeColor="text1"/>
                <w:kern w:val="0"/>
                <w:szCs w:val="21"/>
              </w:rPr>
              <w:t>单独治疗肾小球肾炎和蛋白尿患者时，将</w:t>
            </w:r>
            <w:r w:rsidRPr="00924B43">
              <w:rPr>
                <w:rFonts w:asciiTheme="minorEastAsia" w:hAnsiTheme="minorEastAsia" w:cs="Times New Roman"/>
                <w:color w:val="000000" w:themeColor="text1"/>
                <w:kern w:val="0"/>
                <w:szCs w:val="21"/>
              </w:rPr>
              <w:t>ACEI</w:t>
            </w:r>
            <w:r w:rsidRPr="00924B43">
              <w:rPr>
                <w:rFonts w:asciiTheme="minorEastAsia" w:hAnsiTheme="minorEastAsia" w:cs="Times New Roman" w:hint="eastAsia"/>
                <w:color w:val="000000" w:themeColor="text1"/>
                <w:kern w:val="0"/>
                <w:szCs w:val="21"/>
              </w:rPr>
              <w:t>或</w:t>
            </w:r>
            <w:r w:rsidRPr="00924B43">
              <w:rPr>
                <w:rFonts w:asciiTheme="minorEastAsia" w:hAnsiTheme="minorEastAsia" w:cs="Times New Roman"/>
                <w:color w:val="000000" w:themeColor="text1"/>
                <w:kern w:val="0"/>
                <w:szCs w:val="21"/>
              </w:rPr>
              <w:t>ARB</w:t>
            </w:r>
            <w:r w:rsidRPr="00924B43">
              <w:rPr>
                <w:rFonts w:asciiTheme="minorEastAsia" w:hAnsiTheme="minorEastAsia" w:cs="Times New Roman" w:hint="eastAsia"/>
                <w:color w:val="000000" w:themeColor="text1"/>
                <w:kern w:val="0"/>
                <w:szCs w:val="21"/>
              </w:rPr>
              <w:t>上调至首次最大耐受或允许剂量；替米沙坦最大可口服</w:t>
            </w:r>
            <w:r w:rsidRPr="00924B43">
              <w:rPr>
                <w:rFonts w:asciiTheme="minorEastAsia" w:hAnsiTheme="minorEastAsia" w:cs="Times New Roman"/>
                <w:color w:val="000000" w:themeColor="text1"/>
                <w:kern w:val="0"/>
                <w:szCs w:val="21"/>
              </w:rPr>
              <w:t>80 mg/d</w:t>
            </w:r>
          </w:p>
        </w:tc>
        <w:tc>
          <w:tcPr>
            <w:tcW w:w="896" w:type="pct"/>
            <w:tcBorders>
              <w:top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color w:val="000000" w:themeColor="text1"/>
                <w:kern w:val="0"/>
                <w:szCs w:val="21"/>
              </w:rPr>
              <w:t>1.</w:t>
            </w:r>
            <w:r w:rsidRPr="00924B43">
              <w:rPr>
                <w:rFonts w:asciiTheme="minorEastAsia" w:hAnsiTheme="minorEastAsia" w:cs="Times New Roman" w:hint="eastAsia"/>
                <w:color w:val="000000" w:themeColor="text1"/>
                <w:kern w:val="0"/>
                <w:szCs w:val="21"/>
              </w:rPr>
              <w:t>美国</w:t>
            </w:r>
            <w:r w:rsidRPr="00924B43">
              <w:rPr>
                <w:rFonts w:asciiTheme="minorEastAsia" w:hAnsiTheme="minorEastAsia" w:cs="Times New Roman"/>
                <w:color w:val="000000" w:themeColor="text1"/>
                <w:kern w:val="0"/>
                <w:szCs w:val="21"/>
              </w:rPr>
              <w:t>FDA</w:t>
            </w:r>
            <w:r w:rsidRPr="00924B43">
              <w:rPr>
                <w:rFonts w:asciiTheme="minorEastAsia" w:hAnsiTheme="minorEastAsia" w:cs="Times New Roman" w:hint="eastAsia"/>
                <w:color w:val="000000" w:themeColor="text1"/>
                <w:kern w:val="0"/>
                <w:szCs w:val="21"/>
              </w:rPr>
              <w:t>未批准替米沙坦用于治疗有蛋白尿的原发性或继发性肾小球疾病；</w:t>
            </w:r>
          </w:p>
        </w:tc>
        <w:tc>
          <w:tcPr>
            <w:tcW w:w="448" w:type="pct"/>
            <w:vMerge w:val="restart"/>
            <w:tcBorders>
              <w:top w:val="single" w:sz="12" w:space="0" w:color="000000"/>
              <w:bottom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color w:val="000000" w:themeColor="text1"/>
                <w:kern w:val="0"/>
                <w:szCs w:val="21"/>
              </w:rPr>
              <w:t xml:space="preserve">Class </w:t>
            </w:r>
            <w:r w:rsidRPr="00924B43">
              <w:rPr>
                <w:rFonts w:asciiTheme="minorEastAsia" w:hAnsiTheme="minorEastAsia" w:cs="Times New Roman" w:hint="eastAsia"/>
                <w:color w:val="000000" w:themeColor="text1"/>
                <w:kern w:val="0"/>
                <w:szCs w:val="21"/>
              </w:rPr>
              <w:t>Ⅱ</w:t>
            </w:r>
            <w:r w:rsidRPr="00924B43">
              <w:rPr>
                <w:rFonts w:asciiTheme="minorEastAsia" w:hAnsiTheme="minorEastAsia" w:cs="Times New Roman"/>
                <w:color w:val="000000" w:themeColor="text1"/>
                <w:kern w:val="0"/>
                <w:szCs w:val="21"/>
              </w:rPr>
              <w:t>a</w:t>
            </w:r>
            <w:r w:rsidRPr="00924B43">
              <w:rPr>
                <w:rFonts w:asciiTheme="minorEastAsia" w:hAnsiTheme="minorEastAsia" w:cs="Times New Roman" w:hint="eastAsia"/>
                <w:color w:val="000000" w:themeColor="text1"/>
                <w:kern w:val="0"/>
                <w:szCs w:val="21"/>
              </w:rPr>
              <w:t>（肾脏疾病）</w:t>
            </w:r>
          </w:p>
        </w:tc>
        <w:tc>
          <w:tcPr>
            <w:tcW w:w="435" w:type="pct"/>
            <w:vMerge w:val="restart"/>
            <w:tcBorders>
              <w:top w:val="single" w:sz="12" w:space="0" w:color="000000"/>
              <w:bottom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color w:val="000000" w:themeColor="text1"/>
                <w:kern w:val="0"/>
                <w:szCs w:val="21"/>
              </w:rPr>
              <w:t xml:space="preserve">Class </w:t>
            </w:r>
            <w:r w:rsidRPr="00924B43">
              <w:rPr>
                <w:rFonts w:asciiTheme="minorEastAsia" w:hAnsiTheme="minorEastAsia" w:cs="Times New Roman" w:hint="eastAsia"/>
                <w:color w:val="000000" w:themeColor="text1"/>
                <w:kern w:val="0"/>
                <w:szCs w:val="21"/>
              </w:rPr>
              <w:t>Ⅱ</w:t>
            </w:r>
            <w:r w:rsidRPr="00924B43">
              <w:rPr>
                <w:rFonts w:asciiTheme="minorEastAsia" w:hAnsiTheme="minorEastAsia" w:cs="Times New Roman"/>
                <w:color w:val="000000" w:themeColor="text1"/>
                <w:kern w:val="0"/>
                <w:szCs w:val="21"/>
              </w:rPr>
              <w:t>b</w:t>
            </w:r>
          </w:p>
        </w:tc>
        <w:tc>
          <w:tcPr>
            <w:tcW w:w="447" w:type="pct"/>
            <w:vMerge w:val="restart"/>
            <w:tcBorders>
              <w:top w:val="single" w:sz="12" w:space="0" w:color="000000"/>
              <w:bottom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color w:val="000000" w:themeColor="text1"/>
                <w:kern w:val="0"/>
                <w:szCs w:val="21"/>
              </w:rPr>
              <w:t>Category B</w:t>
            </w:r>
          </w:p>
        </w:tc>
      </w:tr>
      <w:tr w:rsidR="00F47729" w:rsidRPr="009F686C" w:rsidTr="00F47729">
        <w:trPr>
          <w:trHeight w:val="375"/>
        </w:trPr>
        <w:tc>
          <w:tcPr>
            <w:tcW w:w="243" w:type="pct"/>
            <w:vMerge/>
            <w:tcBorders>
              <w:left w:val="single" w:sz="12" w:space="0" w:color="000000"/>
              <w:bottom w:val="single" w:sz="12" w:space="0" w:color="000000"/>
              <w:right w:val="single" w:sz="12" w:space="0" w:color="000000"/>
            </w:tcBorders>
            <w:shd w:val="clear" w:color="auto" w:fill="auto"/>
            <w:vAlign w:val="center"/>
          </w:tcPr>
          <w:p w:rsidR="00F47729" w:rsidRPr="00924B43" w:rsidRDefault="00F47729" w:rsidP="00F47729">
            <w:pPr>
              <w:jc w:val="center"/>
              <w:rPr>
                <w:rFonts w:asciiTheme="minorEastAsia" w:hAnsiTheme="minorEastAsia" w:cs="Times New Roman"/>
                <w:color w:val="000000" w:themeColor="text1"/>
                <w:szCs w:val="21"/>
              </w:rPr>
            </w:pPr>
          </w:p>
        </w:tc>
        <w:tc>
          <w:tcPr>
            <w:tcW w:w="307"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307"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451" w:type="pct"/>
            <w:tcBorders>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Cambria Math" w:hint="eastAsia"/>
                <w:color w:val="000000" w:themeColor="text1"/>
                <w:kern w:val="0"/>
                <w:szCs w:val="21"/>
              </w:rPr>
              <w:t>②</w:t>
            </w:r>
            <w:r w:rsidRPr="00924B43">
              <w:rPr>
                <w:rFonts w:asciiTheme="minorEastAsia" w:hAnsiTheme="minorEastAsia" w:cs="Times New Roman"/>
                <w:color w:val="000000" w:themeColor="text1"/>
                <w:kern w:val="0"/>
                <w:szCs w:val="21"/>
              </w:rPr>
              <w:t>80 mg</w:t>
            </w:r>
          </w:p>
        </w:tc>
        <w:tc>
          <w:tcPr>
            <w:tcW w:w="604"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861"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896" w:type="pct"/>
            <w:tcBorders>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color w:val="000000" w:themeColor="text1"/>
                <w:kern w:val="0"/>
                <w:szCs w:val="21"/>
              </w:rPr>
              <w:t>2.</w:t>
            </w:r>
            <w:r w:rsidRPr="00924B43">
              <w:rPr>
                <w:rFonts w:asciiTheme="minorEastAsia" w:hAnsiTheme="minorEastAsia" w:cs="Times New Roman" w:hint="eastAsia"/>
                <w:color w:val="000000" w:themeColor="text1"/>
                <w:kern w:val="0"/>
                <w:szCs w:val="21"/>
              </w:rPr>
              <w:t>改善全球肾脏病预后组织</w:t>
            </w:r>
            <w:r w:rsidRPr="00924B43">
              <w:rPr>
                <w:rFonts w:asciiTheme="minorEastAsia" w:hAnsiTheme="minorEastAsia" w:cs="Times New Roman"/>
                <w:color w:val="000000" w:themeColor="text1"/>
                <w:kern w:val="0"/>
                <w:szCs w:val="21"/>
              </w:rPr>
              <w:t>(KDIGO)</w:t>
            </w:r>
            <w:r w:rsidRPr="00924B43">
              <w:rPr>
                <w:rFonts w:asciiTheme="minorEastAsia" w:hAnsiTheme="minorEastAsia" w:cs="Times New Roman" w:hint="eastAsia"/>
                <w:color w:val="000000" w:themeColor="text1"/>
                <w:kern w:val="0"/>
                <w:szCs w:val="21"/>
              </w:rPr>
              <w:t>临床实践指南</w:t>
            </w:r>
            <w:r w:rsidRPr="00924B43">
              <w:rPr>
                <w:rFonts w:asciiTheme="minorEastAsia" w:hAnsiTheme="minorEastAsia" w:cs="Times New Roman"/>
                <w:color w:val="000000" w:themeColor="text1"/>
                <w:kern w:val="0"/>
                <w:szCs w:val="21"/>
              </w:rPr>
              <w:t>-</w:t>
            </w:r>
            <w:r w:rsidRPr="00924B43">
              <w:rPr>
                <w:rFonts w:asciiTheme="minorEastAsia" w:hAnsiTheme="minorEastAsia" w:cs="Times New Roman" w:hint="eastAsia"/>
                <w:color w:val="000000" w:themeColor="text1"/>
                <w:kern w:val="0"/>
                <w:szCs w:val="21"/>
              </w:rPr>
              <w:t>肾小球疾病</w:t>
            </w:r>
            <w:r w:rsidRPr="00924B43">
              <w:rPr>
                <w:rFonts w:asciiTheme="minorEastAsia" w:hAnsiTheme="minorEastAsia" w:cs="Times New Roman"/>
                <w:color w:val="000000" w:themeColor="text1"/>
                <w:kern w:val="0"/>
                <w:szCs w:val="21"/>
              </w:rPr>
              <w:t>KDIGO 2021 Clinical Practice Guideline for the Management of Glomerular Diseases</w:t>
            </w:r>
            <w:r w:rsidR="00B411DC" w:rsidRPr="00924B43">
              <w:rPr>
                <w:rFonts w:asciiTheme="minorEastAsia" w:hAnsiTheme="minorEastAsia" w:cs="Times New Roman"/>
                <w:bCs/>
                <w:color w:val="000000" w:themeColor="text1"/>
                <w:szCs w:val="21"/>
              </w:rPr>
              <w:fldChar w:fldCharType="begin"/>
            </w:r>
            <w:r w:rsidRPr="00924B43">
              <w:rPr>
                <w:rFonts w:asciiTheme="minorEastAsia" w:hAnsiTheme="minorEastAsia" w:cs="Times New Roman"/>
                <w:bCs/>
                <w:color w:val="000000" w:themeColor="text1"/>
                <w:szCs w:val="21"/>
              </w:rPr>
              <w:instrText xml:space="preserve"> ADDIN NE.Ref.{F9029D81-B779-4F40-825F-80B0923574C5}</w:instrText>
            </w:r>
            <w:r w:rsidR="00B411DC" w:rsidRPr="00924B43">
              <w:rPr>
                <w:rFonts w:asciiTheme="minorEastAsia" w:hAnsiTheme="minorEastAsia" w:cs="Times New Roman"/>
                <w:bCs/>
                <w:color w:val="000000" w:themeColor="text1"/>
                <w:szCs w:val="21"/>
              </w:rPr>
              <w:fldChar w:fldCharType="separate"/>
            </w:r>
            <w:r w:rsidRPr="00924B43">
              <w:rPr>
                <w:rFonts w:asciiTheme="minorEastAsia" w:hAnsiTheme="minorEastAsia" w:cs="Times New Roman"/>
                <w:color w:val="000000" w:themeColor="text1"/>
                <w:kern w:val="0"/>
                <w:szCs w:val="21"/>
                <w:vertAlign w:val="superscript"/>
              </w:rPr>
              <w:t>[107]</w:t>
            </w:r>
            <w:r w:rsidR="00B411DC" w:rsidRPr="00924B43">
              <w:rPr>
                <w:rFonts w:asciiTheme="minorEastAsia" w:hAnsiTheme="minorEastAsia" w:cs="Times New Roman"/>
                <w:bCs/>
                <w:color w:val="000000" w:themeColor="text1"/>
                <w:szCs w:val="21"/>
              </w:rPr>
              <w:fldChar w:fldCharType="end"/>
            </w:r>
          </w:p>
        </w:tc>
        <w:tc>
          <w:tcPr>
            <w:tcW w:w="448"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435"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447"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r>
      <w:tr w:rsidR="00F47729" w:rsidRPr="009F686C" w:rsidTr="00F47729">
        <w:trPr>
          <w:trHeight w:val="420"/>
        </w:trPr>
        <w:tc>
          <w:tcPr>
            <w:tcW w:w="243" w:type="pct"/>
            <w:vMerge/>
            <w:tcBorders>
              <w:left w:val="single" w:sz="12" w:space="0" w:color="000000"/>
              <w:bottom w:val="single" w:sz="12" w:space="0" w:color="000000"/>
              <w:right w:val="single" w:sz="12" w:space="0" w:color="000000"/>
            </w:tcBorders>
            <w:shd w:val="clear" w:color="auto" w:fill="auto"/>
            <w:vAlign w:val="center"/>
          </w:tcPr>
          <w:p w:rsidR="00F47729" w:rsidRPr="00924B43" w:rsidRDefault="00F47729" w:rsidP="00F47729">
            <w:pPr>
              <w:jc w:val="center"/>
              <w:rPr>
                <w:rFonts w:asciiTheme="minorEastAsia" w:hAnsiTheme="minorEastAsia" w:cs="Times New Roman"/>
                <w:color w:val="000000" w:themeColor="text1"/>
                <w:szCs w:val="21"/>
              </w:rPr>
            </w:pPr>
          </w:p>
        </w:tc>
        <w:tc>
          <w:tcPr>
            <w:tcW w:w="307"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307"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451" w:type="pct"/>
            <w:tcBorders>
              <w:bottom w:val="single" w:sz="12" w:space="0" w:color="000000"/>
              <w:right w:val="single" w:sz="12" w:space="0" w:color="000000"/>
            </w:tcBorders>
            <w:shd w:val="clear" w:color="auto" w:fill="auto"/>
            <w:vAlign w:val="bottom"/>
          </w:tcPr>
          <w:p w:rsidR="00F47729" w:rsidRPr="00924B43" w:rsidRDefault="00F47729" w:rsidP="00F47729">
            <w:pPr>
              <w:rPr>
                <w:rFonts w:asciiTheme="minorEastAsia" w:hAnsiTheme="minorEastAsia" w:cs="Times New Roman"/>
                <w:color w:val="000000" w:themeColor="text1"/>
                <w:szCs w:val="21"/>
              </w:rPr>
            </w:pPr>
          </w:p>
        </w:tc>
        <w:tc>
          <w:tcPr>
            <w:tcW w:w="604"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861"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896" w:type="pct"/>
            <w:tcBorders>
              <w:bottom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color w:val="000000" w:themeColor="text1"/>
                <w:kern w:val="0"/>
                <w:szCs w:val="21"/>
              </w:rPr>
              <w:t>3.</w:t>
            </w:r>
            <w:r w:rsidRPr="00924B43">
              <w:rPr>
                <w:rFonts w:asciiTheme="minorEastAsia" w:hAnsiTheme="minorEastAsia" w:cs="Times New Roman" w:hint="eastAsia"/>
                <w:color w:val="000000" w:themeColor="text1"/>
                <w:kern w:val="0"/>
                <w:szCs w:val="21"/>
              </w:rPr>
              <w:t>中华医学会糖尿病学分会微血管并发症学组，《中国糖尿病肾脏疾病防治临床指南》</w:t>
            </w:r>
            <w:r w:rsidRPr="00924B43">
              <w:rPr>
                <w:rFonts w:asciiTheme="minorEastAsia" w:hAnsiTheme="minorEastAsia" w:cs="Times New Roman"/>
                <w:color w:val="000000" w:themeColor="text1"/>
                <w:kern w:val="0"/>
                <w:szCs w:val="21"/>
              </w:rPr>
              <w:t>(2019)</w:t>
            </w:r>
            <w:r w:rsidR="00B411DC" w:rsidRPr="00924B43">
              <w:rPr>
                <w:rFonts w:asciiTheme="minorEastAsia" w:hAnsiTheme="minorEastAsia" w:cs="Times New Roman"/>
                <w:bCs/>
                <w:color w:val="000000" w:themeColor="text1"/>
                <w:szCs w:val="21"/>
              </w:rPr>
              <w:fldChar w:fldCharType="begin"/>
            </w:r>
            <w:r w:rsidRPr="00924B43">
              <w:rPr>
                <w:rFonts w:asciiTheme="minorEastAsia" w:hAnsiTheme="minorEastAsia" w:cs="Times New Roman"/>
                <w:bCs/>
                <w:color w:val="000000" w:themeColor="text1"/>
                <w:szCs w:val="21"/>
              </w:rPr>
              <w:instrText xml:space="preserve"> ADDIN NE.Ref.{F9029D81-B779-4F40-825F-80B0923574C5}</w:instrText>
            </w:r>
            <w:r w:rsidR="00B411DC" w:rsidRPr="00924B43">
              <w:rPr>
                <w:rFonts w:asciiTheme="minorEastAsia" w:hAnsiTheme="minorEastAsia" w:cs="Times New Roman"/>
                <w:bCs/>
                <w:color w:val="000000" w:themeColor="text1"/>
                <w:szCs w:val="21"/>
              </w:rPr>
              <w:fldChar w:fldCharType="separate"/>
            </w:r>
            <w:r w:rsidRPr="00924B43">
              <w:rPr>
                <w:rFonts w:asciiTheme="minorEastAsia" w:hAnsiTheme="minorEastAsia" w:cs="Times New Roman"/>
                <w:color w:val="000000" w:themeColor="text1"/>
                <w:kern w:val="0"/>
                <w:szCs w:val="21"/>
                <w:vertAlign w:val="superscript"/>
              </w:rPr>
              <w:t>[106]</w:t>
            </w:r>
            <w:r w:rsidR="00B411DC" w:rsidRPr="00924B43">
              <w:rPr>
                <w:rFonts w:asciiTheme="minorEastAsia" w:hAnsiTheme="minorEastAsia" w:cs="Times New Roman"/>
                <w:bCs/>
                <w:color w:val="000000" w:themeColor="text1"/>
                <w:szCs w:val="21"/>
              </w:rPr>
              <w:fldChar w:fldCharType="end"/>
            </w:r>
          </w:p>
        </w:tc>
        <w:tc>
          <w:tcPr>
            <w:tcW w:w="448"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435"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447"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r>
      <w:tr w:rsidR="00F47729" w:rsidRPr="009F686C" w:rsidTr="00F47729">
        <w:trPr>
          <w:trHeight w:val="210"/>
        </w:trPr>
        <w:tc>
          <w:tcPr>
            <w:tcW w:w="243" w:type="pct"/>
            <w:vMerge w:val="restart"/>
            <w:tcBorders>
              <w:left w:val="single" w:sz="12" w:space="0" w:color="000000"/>
              <w:bottom w:val="single" w:sz="12" w:space="0" w:color="000000"/>
              <w:right w:val="single" w:sz="12" w:space="0" w:color="000000"/>
            </w:tcBorders>
            <w:shd w:val="clear" w:color="auto" w:fill="auto"/>
            <w:vAlign w:val="center"/>
          </w:tcPr>
          <w:p w:rsidR="00F47729" w:rsidRPr="00924B43" w:rsidRDefault="00F47729" w:rsidP="00F47729">
            <w:pPr>
              <w:widowControl/>
              <w:jc w:val="center"/>
              <w:textAlignment w:val="center"/>
              <w:rPr>
                <w:rFonts w:asciiTheme="minorEastAsia" w:hAnsiTheme="minorEastAsia" w:cs="Times New Roman"/>
                <w:color w:val="000000" w:themeColor="text1"/>
                <w:szCs w:val="21"/>
              </w:rPr>
            </w:pPr>
            <w:r w:rsidRPr="00924B43">
              <w:rPr>
                <w:rFonts w:asciiTheme="minorEastAsia" w:hAnsiTheme="minorEastAsia" w:cs="Times New Roman"/>
                <w:color w:val="000000" w:themeColor="text1"/>
                <w:kern w:val="0"/>
                <w:szCs w:val="21"/>
              </w:rPr>
              <w:t>7</w:t>
            </w:r>
          </w:p>
        </w:tc>
        <w:tc>
          <w:tcPr>
            <w:tcW w:w="307" w:type="pct"/>
            <w:vMerge w:val="restart"/>
            <w:tcBorders>
              <w:bottom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hint="eastAsia"/>
                <w:color w:val="000000" w:themeColor="text1"/>
                <w:kern w:val="0"/>
                <w:szCs w:val="21"/>
              </w:rPr>
              <w:t>缬沙坦</w:t>
            </w:r>
          </w:p>
        </w:tc>
        <w:tc>
          <w:tcPr>
            <w:tcW w:w="307" w:type="pct"/>
            <w:vMerge w:val="restart"/>
            <w:tcBorders>
              <w:bottom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hint="eastAsia"/>
                <w:color w:val="000000" w:themeColor="text1"/>
                <w:kern w:val="0"/>
                <w:szCs w:val="21"/>
              </w:rPr>
              <w:t>胶囊</w:t>
            </w:r>
          </w:p>
        </w:tc>
        <w:tc>
          <w:tcPr>
            <w:tcW w:w="451" w:type="pct"/>
            <w:tcBorders>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Cambria Math" w:hint="eastAsia"/>
                <w:color w:val="000000" w:themeColor="text1"/>
                <w:kern w:val="0"/>
                <w:szCs w:val="21"/>
              </w:rPr>
              <w:t>①</w:t>
            </w:r>
            <w:r w:rsidRPr="00924B43">
              <w:rPr>
                <w:rFonts w:asciiTheme="minorEastAsia" w:hAnsiTheme="minorEastAsia" w:cs="Times New Roman"/>
                <w:color w:val="000000" w:themeColor="text1"/>
                <w:kern w:val="0"/>
                <w:szCs w:val="21"/>
              </w:rPr>
              <w:t>80 mg</w:t>
            </w:r>
          </w:p>
        </w:tc>
        <w:tc>
          <w:tcPr>
            <w:tcW w:w="604" w:type="pct"/>
            <w:vMerge w:val="restart"/>
            <w:tcBorders>
              <w:bottom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hint="eastAsia"/>
                <w:color w:val="000000" w:themeColor="text1"/>
                <w:kern w:val="0"/>
                <w:szCs w:val="21"/>
              </w:rPr>
              <w:t>糖尿病肾病患者降尿蛋白</w:t>
            </w:r>
          </w:p>
        </w:tc>
        <w:tc>
          <w:tcPr>
            <w:tcW w:w="861" w:type="pct"/>
            <w:vMerge w:val="restart"/>
            <w:tcBorders>
              <w:bottom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hint="eastAsia"/>
                <w:color w:val="000000" w:themeColor="text1"/>
                <w:kern w:val="0"/>
                <w:szCs w:val="21"/>
              </w:rPr>
              <w:t>口服</w:t>
            </w:r>
            <w:r w:rsidRPr="00924B43">
              <w:rPr>
                <w:rFonts w:asciiTheme="minorEastAsia" w:hAnsiTheme="minorEastAsia" w:cs="Times New Roman"/>
                <w:color w:val="000000" w:themeColor="text1"/>
                <w:kern w:val="0"/>
                <w:szCs w:val="21"/>
              </w:rPr>
              <w:t>80~320 mg/d</w:t>
            </w:r>
            <w:r w:rsidRPr="00924B43">
              <w:rPr>
                <w:rFonts w:asciiTheme="minorEastAsia" w:hAnsiTheme="minorEastAsia" w:cs="Times New Roman" w:hint="eastAsia"/>
                <w:color w:val="000000" w:themeColor="text1"/>
                <w:kern w:val="0"/>
                <w:szCs w:val="21"/>
              </w:rPr>
              <w:t>，美国</w:t>
            </w:r>
            <w:r w:rsidRPr="00924B43">
              <w:rPr>
                <w:rFonts w:asciiTheme="minorEastAsia" w:hAnsiTheme="minorEastAsia" w:cs="Times New Roman"/>
                <w:color w:val="000000" w:themeColor="text1"/>
                <w:kern w:val="0"/>
                <w:szCs w:val="21"/>
              </w:rPr>
              <w:t>FDA</w:t>
            </w:r>
            <w:r w:rsidRPr="00924B43">
              <w:rPr>
                <w:rFonts w:asciiTheme="minorEastAsia" w:hAnsiTheme="minorEastAsia" w:cs="Times New Roman" w:hint="eastAsia"/>
                <w:color w:val="000000" w:themeColor="text1"/>
                <w:kern w:val="0"/>
                <w:szCs w:val="21"/>
              </w:rPr>
              <w:t>允许的最大剂量为</w:t>
            </w:r>
            <w:r w:rsidRPr="00924B43">
              <w:rPr>
                <w:rFonts w:asciiTheme="minorEastAsia" w:hAnsiTheme="minorEastAsia" w:cs="Times New Roman"/>
                <w:color w:val="000000" w:themeColor="text1"/>
                <w:kern w:val="0"/>
                <w:szCs w:val="21"/>
              </w:rPr>
              <w:t>320 mg/d</w:t>
            </w:r>
            <w:r w:rsidRPr="00924B43">
              <w:rPr>
                <w:rFonts w:asciiTheme="minorEastAsia" w:hAnsiTheme="minorEastAsia" w:cs="Times New Roman" w:hint="eastAsia"/>
                <w:color w:val="000000" w:themeColor="text1"/>
                <w:kern w:val="0"/>
                <w:szCs w:val="21"/>
              </w:rPr>
              <w:t>，我国批准的最大剂量为</w:t>
            </w:r>
            <w:r w:rsidRPr="00924B43">
              <w:rPr>
                <w:rFonts w:asciiTheme="minorEastAsia" w:hAnsiTheme="minorEastAsia" w:cs="Times New Roman"/>
                <w:color w:val="000000" w:themeColor="text1"/>
                <w:kern w:val="0"/>
                <w:szCs w:val="21"/>
              </w:rPr>
              <w:t>160 mg/d</w:t>
            </w:r>
          </w:p>
        </w:tc>
        <w:tc>
          <w:tcPr>
            <w:tcW w:w="896" w:type="pct"/>
            <w:tcBorders>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color w:val="000000" w:themeColor="text1"/>
                <w:kern w:val="0"/>
                <w:szCs w:val="21"/>
              </w:rPr>
              <w:t>1.</w:t>
            </w:r>
            <w:r w:rsidRPr="00924B43">
              <w:rPr>
                <w:rFonts w:asciiTheme="minorEastAsia" w:hAnsiTheme="minorEastAsia" w:cs="Times New Roman" w:hint="eastAsia"/>
                <w:color w:val="000000" w:themeColor="text1"/>
                <w:kern w:val="0"/>
                <w:szCs w:val="21"/>
              </w:rPr>
              <w:t>美国</w:t>
            </w:r>
            <w:r w:rsidRPr="00924B43">
              <w:rPr>
                <w:rFonts w:asciiTheme="minorEastAsia" w:hAnsiTheme="minorEastAsia" w:cs="Times New Roman"/>
                <w:color w:val="000000" w:themeColor="text1"/>
                <w:kern w:val="0"/>
                <w:szCs w:val="21"/>
              </w:rPr>
              <w:t>FDA</w:t>
            </w:r>
            <w:r w:rsidRPr="00924B43">
              <w:rPr>
                <w:rFonts w:asciiTheme="minorEastAsia" w:hAnsiTheme="minorEastAsia" w:cs="Times New Roman" w:hint="eastAsia"/>
                <w:color w:val="000000" w:themeColor="text1"/>
                <w:kern w:val="0"/>
                <w:szCs w:val="21"/>
              </w:rPr>
              <w:t>未批准缬沙坦用于糖尿病肾病患者降尿蛋白</w:t>
            </w:r>
          </w:p>
        </w:tc>
        <w:tc>
          <w:tcPr>
            <w:tcW w:w="448" w:type="pct"/>
            <w:vMerge w:val="restart"/>
            <w:tcBorders>
              <w:bottom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color w:val="000000" w:themeColor="text1"/>
                <w:kern w:val="0"/>
                <w:szCs w:val="21"/>
              </w:rPr>
              <w:t xml:space="preserve">Class </w:t>
            </w:r>
            <w:r w:rsidRPr="00924B43">
              <w:rPr>
                <w:rFonts w:asciiTheme="minorEastAsia" w:hAnsiTheme="minorEastAsia" w:cs="Times New Roman" w:hint="eastAsia"/>
                <w:color w:val="000000" w:themeColor="text1"/>
                <w:kern w:val="0"/>
                <w:szCs w:val="21"/>
              </w:rPr>
              <w:t>Ⅱ</w:t>
            </w:r>
            <w:r w:rsidRPr="00924B43">
              <w:rPr>
                <w:rFonts w:asciiTheme="minorEastAsia" w:hAnsiTheme="minorEastAsia" w:cs="Times New Roman"/>
                <w:color w:val="000000" w:themeColor="text1"/>
                <w:kern w:val="0"/>
                <w:szCs w:val="21"/>
              </w:rPr>
              <w:t>a</w:t>
            </w:r>
          </w:p>
        </w:tc>
        <w:tc>
          <w:tcPr>
            <w:tcW w:w="435" w:type="pct"/>
            <w:vMerge w:val="restart"/>
            <w:tcBorders>
              <w:bottom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color w:val="000000" w:themeColor="text1"/>
                <w:kern w:val="0"/>
                <w:szCs w:val="21"/>
              </w:rPr>
              <w:t xml:space="preserve">Class </w:t>
            </w:r>
            <w:r w:rsidRPr="00924B43">
              <w:rPr>
                <w:rFonts w:asciiTheme="minorEastAsia" w:hAnsiTheme="minorEastAsia" w:cs="Times New Roman" w:hint="eastAsia"/>
                <w:color w:val="000000" w:themeColor="text1"/>
                <w:kern w:val="0"/>
                <w:szCs w:val="21"/>
              </w:rPr>
              <w:t>Ⅱ</w:t>
            </w:r>
            <w:r w:rsidRPr="00924B43">
              <w:rPr>
                <w:rFonts w:asciiTheme="minorEastAsia" w:hAnsiTheme="minorEastAsia" w:cs="Times New Roman"/>
                <w:color w:val="000000" w:themeColor="text1"/>
                <w:kern w:val="0"/>
                <w:szCs w:val="21"/>
              </w:rPr>
              <w:t>b</w:t>
            </w:r>
          </w:p>
        </w:tc>
        <w:tc>
          <w:tcPr>
            <w:tcW w:w="447" w:type="pct"/>
            <w:vMerge w:val="restart"/>
            <w:tcBorders>
              <w:bottom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color w:val="000000" w:themeColor="text1"/>
                <w:kern w:val="0"/>
                <w:szCs w:val="21"/>
              </w:rPr>
              <w:t>Category B</w:t>
            </w:r>
          </w:p>
        </w:tc>
      </w:tr>
      <w:tr w:rsidR="00F47729" w:rsidRPr="009F686C" w:rsidTr="00F47729">
        <w:trPr>
          <w:trHeight w:val="210"/>
        </w:trPr>
        <w:tc>
          <w:tcPr>
            <w:tcW w:w="243" w:type="pct"/>
            <w:vMerge/>
            <w:tcBorders>
              <w:left w:val="single" w:sz="12" w:space="0" w:color="000000"/>
              <w:bottom w:val="single" w:sz="12" w:space="0" w:color="000000"/>
              <w:right w:val="single" w:sz="12" w:space="0" w:color="000000"/>
            </w:tcBorders>
            <w:shd w:val="clear" w:color="auto" w:fill="auto"/>
            <w:vAlign w:val="center"/>
          </w:tcPr>
          <w:p w:rsidR="00F47729" w:rsidRPr="00924B43" w:rsidRDefault="00F47729" w:rsidP="00F47729">
            <w:pPr>
              <w:jc w:val="center"/>
              <w:rPr>
                <w:rFonts w:asciiTheme="minorEastAsia" w:hAnsiTheme="minorEastAsia" w:cs="Times New Roman"/>
                <w:color w:val="000000" w:themeColor="text1"/>
                <w:szCs w:val="21"/>
              </w:rPr>
            </w:pPr>
          </w:p>
        </w:tc>
        <w:tc>
          <w:tcPr>
            <w:tcW w:w="307"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307"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451" w:type="pct"/>
            <w:tcBorders>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Cambria Math" w:hint="eastAsia"/>
                <w:color w:val="000000" w:themeColor="text1"/>
                <w:kern w:val="0"/>
                <w:szCs w:val="21"/>
              </w:rPr>
              <w:t>②</w:t>
            </w:r>
            <w:r w:rsidRPr="00924B43">
              <w:rPr>
                <w:rFonts w:asciiTheme="minorEastAsia" w:hAnsiTheme="minorEastAsia" w:cs="Times New Roman"/>
                <w:color w:val="000000" w:themeColor="text1"/>
                <w:kern w:val="0"/>
                <w:szCs w:val="21"/>
              </w:rPr>
              <w:t>160 mg</w:t>
            </w:r>
          </w:p>
        </w:tc>
        <w:tc>
          <w:tcPr>
            <w:tcW w:w="604"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861"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896" w:type="pct"/>
            <w:tcBorders>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color w:val="000000" w:themeColor="text1"/>
                <w:kern w:val="0"/>
                <w:szCs w:val="21"/>
              </w:rPr>
              <w:t xml:space="preserve">2. 2017 </w:t>
            </w:r>
            <w:r w:rsidRPr="00924B43">
              <w:rPr>
                <w:rFonts w:asciiTheme="minorEastAsia" w:hAnsiTheme="minorEastAsia" w:cs="Times New Roman" w:hint="eastAsia"/>
                <w:color w:val="000000" w:themeColor="text1"/>
                <w:kern w:val="0"/>
                <w:szCs w:val="21"/>
              </w:rPr>
              <w:t>美国成人高血压预防，检测，评估和管理指南</w:t>
            </w:r>
          </w:p>
        </w:tc>
        <w:tc>
          <w:tcPr>
            <w:tcW w:w="448"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435"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447"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r>
      <w:tr w:rsidR="00F47729" w:rsidRPr="009F686C" w:rsidTr="00F47729">
        <w:trPr>
          <w:trHeight w:val="210"/>
        </w:trPr>
        <w:tc>
          <w:tcPr>
            <w:tcW w:w="243" w:type="pct"/>
            <w:vMerge/>
            <w:tcBorders>
              <w:left w:val="single" w:sz="12" w:space="0" w:color="000000"/>
              <w:bottom w:val="single" w:sz="12" w:space="0" w:color="000000"/>
              <w:right w:val="single" w:sz="12" w:space="0" w:color="000000"/>
            </w:tcBorders>
            <w:shd w:val="clear" w:color="auto" w:fill="auto"/>
            <w:vAlign w:val="center"/>
          </w:tcPr>
          <w:p w:rsidR="00F47729" w:rsidRPr="00924B43" w:rsidRDefault="00F47729" w:rsidP="00F47729">
            <w:pPr>
              <w:jc w:val="center"/>
              <w:rPr>
                <w:rFonts w:asciiTheme="minorEastAsia" w:hAnsiTheme="minorEastAsia" w:cs="Times New Roman"/>
                <w:color w:val="000000" w:themeColor="text1"/>
                <w:szCs w:val="21"/>
              </w:rPr>
            </w:pPr>
          </w:p>
        </w:tc>
        <w:tc>
          <w:tcPr>
            <w:tcW w:w="307"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307"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451" w:type="pct"/>
            <w:tcBorders>
              <w:bottom w:val="single" w:sz="12" w:space="0" w:color="000000"/>
              <w:right w:val="single" w:sz="12" w:space="0" w:color="000000"/>
            </w:tcBorders>
            <w:shd w:val="clear" w:color="auto" w:fill="auto"/>
            <w:vAlign w:val="bottom"/>
          </w:tcPr>
          <w:p w:rsidR="00F47729" w:rsidRPr="00924B43" w:rsidRDefault="00F47729" w:rsidP="00F47729">
            <w:pPr>
              <w:rPr>
                <w:rFonts w:asciiTheme="minorEastAsia" w:hAnsiTheme="minorEastAsia" w:cs="Times New Roman"/>
                <w:color w:val="000000" w:themeColor="text1"/>
                <w:szCs w:val="21"/>
              </w:rPr>
            </w:pPr>
          </w:p>
        </w:tc>
        <w:tc>
          <w:tcPr>
            <w:tcW w:w="604"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861"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896" w:type="pct"/>
            <w:tcBorders>
              <w:bottom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color w:val="000000" w:themeColor="text1"/>
                <w:kern w:val="0"/>
                <w:szCs w:val="21"/>
              </w:rPr>
              <w:t>3. 2020KDIGO</w:t>
            </w:r>
            <w:r w:rsidRPr="00924B43">
              <w:rPr>
                <w:rFonts w:asciiTheme="minorEastAsia" w:hAnsiTheme="minorEastAsia" w:cs="Times New Roman" w:hint="eastAsia"/>
                <w:color w:val="000000" w:themeColor="text1"/>
                <w:kern w:val="0"/>
                <w:szCs w:val="21"/>
              </w:rPr>
              <w:t>临床实践指南</w:t>
            </w:r>
            <w:r w:rsidRPr="00924B43">
              <w:rPr>
                <w:rFonts w:asciiTheme="minorEastAsia" w:hAnsiTheme="minorEastAsia" w:cs="Times New Roman"/>
                <w:color w:val="000000" w:themeColor="text1"/>
                <w:kern w:val="0"/>
                <w:szCs w:val="21"/>
              </w:rPr>
              <w:t>:</w:t>
            </w:r>
            <w:r w:rsidRPr="00924B43">
              <w:rPr>
                <w:rFonts w:asciiTheme="minorEastAsia" w:hAnsiTheme="minorEastAsia" w:cs="Times New Roman" w:hint="eastAsia"/>
                <w:color w:val="000000" w:themeColor="text1"/>
                <w:kern w:val="0"/>
                <w:szCs w:val="21"/>
              </w:rPr>
              <w:t>慢性肾脏病患者的糖尿病管理</w:t>
            </w:r>
            <w:r w:rsidR="00B411DC" w:rsidRPr="00924B43">
              <w:rPr>
                <w:rFonts w:asciiTheme="minorEastAsia" w:hAnsiTheme="minorEastAsia" w:cs="Times New Roman"/>
                <w:bCs/>
                <w:color w:val="000000" w:themeColor="text1"/>
                <w:szCs w:val="21"/>
              </w:rPr>
              <w:fldChar w:fldCharType="begin"/>
            </w:r>
            <w:r w:rsidRPr="00924B43">
              <w:rPr>
                <w:rFonts w:asciiTheme="minorEastAsia" w:hAnsiTheme="minorEastAsia" w:cs="Times New Roman"/>
                <w:bCs/>
                <w:color w:val="000000" w:themeColor="text1"/>
                <w:szCs w:val="21"/>
              </w:rPr>
              <w:instrText xml:space="preserve"> ADDIN NE.Ref.{F9029D81-B779-4F40-825F-80B0923574C5}</w:instrText>
            </w:r>
            <w:r w:rsidR="00B411DC" w:rsidRPr="00924B43">
              <w:rPr>
                <w:rFonts w:asciiTheme="minorEastAsia" w:hAnsiTheme="minorEastAsia" w:cs="Times New Roman"/>
                <w:bCs/>
                <w:color w:val="000000" w:themeColor="text1"/>
                <w:szCs w:val="21"/>
              </w:rPr>
              <w:fldChar w:fldCharType="separate"/>
            </w:r>
            <w:r w:rsidRPr="00924B43">
              <w:rPr>
                <w:rFonts w:asciiTheme="minorEastAsia" w:hAnsiTheme="minorEastAsia" w:cs="Times New Roman"/>
                <w:color w:val="000000" w:themeColor="text1"/>
                <w:kern w:val="0"/>
                <w:szCs w:val="21"/>
                <w:vertAlign w:val="superscript"/>
              </w:rPr>
              <w:t>[110]</w:t>
            </w:r>
            <w:r w:rsidR="00B411DC" w:rsidRPr="00924B43">
              <w:rPr>
                <w:rFonts w:asciiTheme="minorEastAsia" w:hAnsiTheme="minorEastAsia" w:cs="Times New Roman"/>
                <w:bCs/>
                <w:color w:val="000000" w:themeColor="text1"/>
                <w:szCs w:val="21"/>
              </w:rPr>
              <w:fldChar w:fldCharType="end"/>
            </w:r>
          </w:p>
        </w:tc>
        <w:tc>
          <w:tcPr>
            <w:tcW w:w="448"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435"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447"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r>
      <w:tr w:rsidR="00F47729" w:rsidRPr="009F686C" w:rsidTr="00F47729">
        <w:trPr>
          <w:trHeight w:val="210"/>
        </w:trPr>
        <w:tc>
          <w:tcPr>
            <w:tcW w:w="243" w:type="pct"/>
            <w:vMerge w:val="restart"/>
            <w:tcBorders>
              <w:left w:val="single" w:sz="12" w:space="0" w:color="000000"/>
              <w:bottom w:val="single" w:sz="12" w:space="0" w:color="000000"/>
              <w:right w:val="single" w:sz="12" w:space="0" w:color="000000"/>
            </w:tcBorders>
            <w:shd w:val="clear" w:color="auto" w:fill="auto"/>
            <w:vAlign w:val="center"/>
          </w:tcPr>
          <w:p w:rsidR="00F47729" w:rsidRPr="00924B43" w:rsidRDefault="00F47729" w:rsidP="00F47729">
            <w:pPr>
              <w:widowControl/>
              <w:jc w:val="center"/>
              <w:textAlignment w:val="center"/>
              <w:rPr>
                <w:rFonts w:asciiTheme="minorEastAsia" w:hAnsiTheme="minorEastAsia" w:cs="Times New Roman"/>
                <w:color w:val="000000" w:themeColor="text1"/>
                <w:szCs w:val="21"/>
              </w:rPr>
            </w:pPr>
            <w:r w:rsidRPr="00924B43">
              <w:rPr>
                <w:rFonts w:asciiTheme="minorEastAsia" w:hAnsiTheme="minorEastAsia" w:cs="Times New Roman"/>
                <w:color w:val="000000" w:themeColor="text1"/>
                <w:kern w:val="0"/>
                <w:szCs w:val="21"/>
              </w:rPr>
              <w:t>8</w:t>
            </w:r>
          </w:p>
        </w:tc>
        <w:tc>
          <w:tcPr>
            <w:tcW w:w="307" w:type="pct"/>
            <w:vMerge w:val="restart"/>
            <w:tcBorders>
              <w:bottom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hint="eastAsia"/>
                <w:color w:val="000000" w:themeColor="text1"/>
                <w:kern w:val="0"/>
                <w:szCs w:val="21"/>
              </w:rPr>
              <w:t>缬沙坦</w:t>
            </w:r>
          </w:p>
        </w:tc>
        <w:tc>
          <w:tcPr>
            <w:tcW w:w="307" w:type="pct"/>
            <w:vMerge w:val="restart"/>
            <w:tcBorders>
              <w:bottom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hint="eastAsia"/>
                <w:color w:val="000000" w:themeColor="text1"/>
                <w:kern w:val="0"/>
                <w:szCs w:val="21"/>
              </w:rPr>
              <w:t>胶囊</w:t>
            </w:r>
          </w:p>
        </w:tc>
        <w:tc>
          <w:tcPr>
            <w:tcW w:w="451" w:type="pct"/>
            <w:tcBorders>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Cambria Math" w:hint="eastAsia"/>
                <w:color w:val="000000" w:themeColor="text1"/>
                <w:kern w:val="0"/>
                <w:szCs w:val="21"/>
              </w:rPr>
              <w:t>①</w:t>
            </w:r>
            <w:r w:rsidRPr="00924B43">
              <w:rPr>
                <w:rFonts w:asciiTheme="minorEastAsia" w:hAnsiTheme="minorEastAsia" w:cs="Times New Roman"/>
                <w:color w:val="000000" w:themeColor="text1"/>
                <w:kern w:val="0"/>
                <w:szCs w:val="21"/>
              </w:rPr>
              <w:t>80 mg</w:t>
            </w:r>
          </w:p>
        </w:tc>
        <w:tc>
          <w:tcPr>
            <w:tcW w:w="604" w:type="pct"/>
            <w:vMerge w:val="restart"/>
            <w:tcBorders>
              <w:bottom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hint="eastAsia"/>
                <w:color w:val="000000" w:themeColor="text1"/>
                <w:kern w:val="0"/>
                <w:szCs w:val="21"/>
              </w:rPr>
              <w:t>有蛋白尿的原发性或继发性肾小球疾病</w:t>
            </w:r>
          </w:p>
        </w:tc>
        <w:tc>
          <w:tcPr>
            <w:tcW w:w="861" w:type="pct"/>
            <w:vMerge w:val="restart"/>
            <w:tcBorders>
              <w:bottom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hint="eastAsia"/>
                <w:color w:val="000000" w:themeColor="text1"/>
                <w:kern w:val="0"/>
                <w:szCs w:val="21"/>
              </w:rPr>
              <w:t>单独治疗肾小球肾炎和蛋白尿患者时，将</w:t>
            </w:r>
            <w:r w:rsidRPr="00924B43">
              <w:rPr>
                <w:rFonts w:asciiTheme="minorEastAsia" w:hAnsiTheme="minorEastAsia" w:cs="Times New Roman"/>
                <w:color w:val="000000" w:themeColor="text1"/>
                <w:kern w:val="0"/>
                <w:szCs w:val="21"/>
              </w:rPr>
              <w:t>ACEI</w:t>
            </w:r>
            <w:r w:rsidRPr="00924B43">
              <w:rPr>
                <w:rFonts w:asciiTheme="minorEastAsia" w:hAnsiTheme="minorEastAsia" w:cs="Times New Roman" w:hint="eastAsia"/>
                <w:color w:val="000000" w:themeColor="text1"/>
                <w:kern w:val="0"/>
                <w:szCs w:val="21"/>
              </w:rPr>
              <w:t>或</w:t>
            </w:r>
            <w:r w:rsidRPr="00924B43">
              <w:rPr>
                <w:rFonts w:asciiTheme="minorEastAsia" w:hAnsiTheme="minorEastAsia" w:cs="Times New Roman"/>
                <w:color w:val="000000" w:themeColor="text1"/>
                <w:kern w:val="0"/>
                <w:szCs w:val="21"/>
              </w:rPr>
              <w:t>ARB</w:t>
            </w:r>
            <w:r w:rsidRPr="00924B43">
              <w:rPr>
                <w:rFonts w:asciiTheme="minorEastAsia" w:hAnsiTheme="minorEastAsia" w:cs="Times New Roman" w:hint="eastAsia"/>
                <w:color w:val="000000" w:themeColor="text1"/>
                <w:kern w:val="0"/>
                <w:szCs w:val="21"/>
              </w:rPr>
              <w:t>上调至首次最大耐受或允许剂量；美国</w:t>
            </w:r>
            <w:r w:rsidRPr="00924B43">
              <w:rPr>
                <w:rFonts w:asciiTheme="minorEastAsia" w:hAnsiTheme="minorEastAsia" w:cs="Times New Roman"/>
                <w:color w:val="000000" w:themeColor="text1"/>
                <w:kern w:val="0"/>
                <w:szCs w:val="21"/>
              </w:rPr>
              <w:t>FDA</w:t>
            </w:r>
            <w:r w:rsidRPr="00924B43">
              <w:rPr>
                <w:rFonts w:asciiTheme="minorEastAsia" w:hAnsiTheme="minorEastAsia" w:cs="Times New Roman" w:hint="eastAsia"/>
                <w:color w:val="000000" w:themeColor="text1"/>
                <w:kern w:val="0"/>
                <w:szCs w:val="21"/>
              </w:rPr>
              <w:t>允许的最大剂量为</w:t>
            </w:r>
            <w:r w:rsidRPr="00924B43">
              <w:rPr>
                <w:rFonts w:asciiTheme="minorEastAsia" w:hAnsiTheme="minorEastAsia" w:cs="Times New Roman"/>
                <w:color w:val="000000" w:themeColor="text1"/>
                <w:kern w:val="0"/>
                <w:szCs w:val="21"/>
              </w:rPr>
              <w:t>320 mg/d</w:t>
            </w:r>
            <w:r w:rsidRPr="00924B43">
              <w:rPr>
                <w:rFonts w:asciiTheme="minorEastAsia" w:hAnsiTheme="minorEastAsia" w:cs="Times New Roman" w:hint="eastAsia"/>
                <w:color w:val="000000" w:themeColor="text1"/>
                <w:kern w:val="0"/>
                <w:szCs w:val="21"/>
              </w:rPr>
              <w:t>，我国批准的最大剂量为</w:t>
            </w:r>
            <w:r w:rsidRPr="00924B43">
              <w:rPr>
                <w:rFonts w:asciiTheme="minorEastAsia" w:hAnsiTheme="minorEastAsia" w:cs="Times New Roman"/>
                <w:color w:val="000000" w:themeColor="text1"/>
                <w:kern w:val="0"/>
                <w:szCs w:val="21"/>
              </w:rPr>
              <w:t>160 mg/d</w:t>
            </w:r>
            <w:r w:rsidRPr="00924B43">
              <w:rPr>
                <w:rFonts w:asciiTheme="minorEastAsia" w:hAnsiTheme="minorEastAsia" w:cs="Times New Roman" w:hint="eastAsia"/>
                <w:color w:val="000000" w:themeColor="text1"/>
                <w:kern w:val="0"/>
                <w:szCs w:val="21"/>
              </w:rPr>
              <w:t>口服</w:t>
            </w:r>
          </w:p>
        </w:tc>
        <w:tc>
          <w:tcPr>
            <w:tcW w:w="896" w:type="pct"/>
            <w:tcBorders>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color w:val="000000" w:themeColor="text1"/>
                <w:kern w:val="0"/>
                <w:szCs w:val="21"/>
              </w:rPr>
              <w:t>1.</w:t>
            </w:r>
            <w:r w:rsidRPr="00924B43">
              <w:rPr>
                <w:rFonts w:asciiTheme="minorEastAsia" w:hAnsiTheme="minorEastAsia" w:cs="Times New Roman" w:hint="eastAsia"/>
                <w:color w:val="000000" w:themeColor="text1"/>
                <w:kern w:val="0"/>
                <w:szCs w:val="21"/>
              </w:rPr>
              <w:t>美国</w:t>
            </w:r>
            <w:r w:rsidRPr="00924B43">
              <w:rPr>
                <w:rFonts w:asciiTheme="minorEastAsia" w:hAnsiTheme="minorEastAsia" w:cs="Times New Roman"/>
                <w:color w:val="000000" w:themeColor="text1"/>
                <w:kern w:val="0"/>
                <w:szCs w:val="21"/>
              </w:rPr>
              <w:t>FDA</w:t>
            </w:r>
            <w:r w:rsidRPr="00924B43">
              <w:rPr>
                <w:rFonts w:asciiTheme="minorEastAsia" w:hAnsiTheme="minorEastAsia" w:cs="Times New Roman" w:hint="eastAsia"/>
                <w:color w:val="000000" w:themeColor="text1"/>
                <w:kern w:val="0"/>
                <w:szCs w:val="21"/>
              </w:rPr>
              <w:t>未批准缬沙坦用于治疗有蛋白尿的原发性或继发性肾小球疾病；</w:t>
            </w:r>
          </w:p>
        </w:tc>
        <w:tc>
          <w:tcPr>
            <w:tcW w:w="448" w:type="pct"/>
            <w:vMerge w:val="restart"/>
            <w:tcBorders>
              <w:bottom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color w:val="000000" w:themeColor="text1"/>
                <w:kern w:val="0"/>
                <w:szCs w:val="21"/>
              </w:rPr>
              <w:t xml:space="preserve">Class </w:t>
            </w:r>
            <w:r w:rsidRPr="00924B43">
              <w:rPr>
                <w:rFonts w:asciiTheme="minorEastAsia" w:hAnsiTheme="minorEastAsia" w:cs="Times New Roman" w:hint="eastAsia"/>
                <w:color w:val="000000" w:themeColor="text1"/>
                <w:kern w:val="0"/>
                <w:szCs w:val="21"/>
              </w:rPr>
              <w:t>Ⅱ</w:t>
            </w:r>
            <w:r w:rsidRPr="00924B43">
              <w:rPr>
                <w:rFonts w:asciiTheme="minorEastAsia" w:hAnsiTheme="minorEastAsia" w:cs="Times New Roman"/>
                <w:color w:val="000000" w:themeColor="text1"/>
                <w:kern w:val="0"/>
                <w:szCs w:val="21"/>
              </w:rPr>
              <w:t>a</w:t>
            </w:r>
            <w:r w:rsidRPr="00924B43">
              <w:rPr>
                <w:rFonts w:asciiTheme="minorEastAsia" w:hAnsiTheme="minorEastAsia" w:cs="Times New Roman" w:hint="eastAsia"/>
                <w:color w:val="000000" w:themeColor="text1"/>
                <w:kern w:val="0"/>
                <w:szCs w:val="21"/>
              </w:rPr>
              <w:t>（糖尿病肾病）</w:t>
            </w:r>
          </w:p>
        </w:tc>
        <w:tc>
          <w:tcPr>
            <w:tcW w:w="435" w:type="pct"/>
            <w:vMerge w:val="restart"/>
            <w:tcBorders>
              <w:bottom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color w:val="000000" w:themeColor="text1"/>
                <w:kern w:val="0"/>
                <w:szCs w:val="21"/>
              </w:rPr>
              <w:t xml:space="preserve">Class </w:t>
            </w:r>
            <w:r w:rsidRPr="00924B43">
              <w:rPr>
                <w:rFonts w:asciiTheme="minorEastAsia" w:hAnsiTheme="minorEastAsia" w:cs="Times New Roman" w:hint="eastAsia"/>
                <w:color w:val="000000" w:themeColor="text1"/>
                <w:kern w:val="0"/>
                <w:szCs w:val="21"/>
              </w:rPr>
              <w:t>Ⅱ</w:t>
            </w:r>
            <w:r w:rsidRPr="00924B43">
              <w:rPr>
                <w:rFonts w:asciiTheme="minorEastAsia" w:hAnsiTheme="minorEastAsia" w:cs="Times New Roman"/>
                <w:color w:val="000000" w:themeColor="text1"/>
                <w:kern w:val="0"/>
                <w:szCs w:val="21"/>
              </w:rPr>
              <w:t>b</w:t>
            </w:r>
          </w:p>
        </w:tc>
        <w:tc>
          <w:tcPr>
            <w:tcW w:w="447" w:type="pct"/>
            <w:vMerge w:val="restart"/>
            <w:tcBorders>
              <w:bottom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color w:val="000000" w:themeColor="text1"/>
                <w:kern w:val="0"/>
                <w:szCs w:val="21"/>
              </w:rPr>
              <w:t>Category B</w:t>
            </w:r>
          </w:p>
        </w:tc>
      </w:tr>
      <w:tr w:rsidR="00F47729" w:rsidRPr="009F686C" w:rsidTr="00F47729">
        <w:trPr>
          <w:trHeight w:val="375"/>
        </w:trPr>
        <w:tc>
          <w:tcPr>
            <w:tcW w:w="243" w:type="pct"/>
            <w:vMerge/>
            <w:tcBorders>
              <w:left w:val="single" w:sz="12" w:space="0" w:color="000000"/>
              <w:bottom w:val="single" w:sz="12" w:space="0" w:color="000000"/>
              <w:right w:val="single" w:sz="12" w:space="0" w:color="000000"/>
            </w:tcBorders>
            <w:shd w:val="clear" w:color="auto" w:fill="auto"/>
            <w:vAlign w:val="center"/>
          </w:tcPr>
          <w:p w:rsidR="00F47729" w:rsidRPr="00924B43" w:rsidRDefault="00F47729" w:rsidP="00F47729">
            <w:pPr>
              <w:jc w:val="center"/>
              <w:rPr>
                <w:rFonts w:asciiTheme="minorEastAsia" w:hAnsiTheme="minorEastAsia" w:cs="Times New Roman"/>
                <w:color w:val="000000" w:themeColor="text1"/>
                <w:szCs w:val="21"/>
              </w:rPr>
            </w:pPr>
          </w:p>
        </w:tc>
        <w:tc>
          <w:tcPr>
            <w:tcW w:w="307"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307"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451" w:type="pct"/>
            <w:tcBorders>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Cambria Math" w:hint="eastAsia"/>
                <w:color w:val="000000" w:themeColor="text1"/>
                <w:kern w:val="0"/>
                <w:szCs w:val="21"/>
              </w:rPr>
              <w:t>②</w:t>
            </w:r>
            <w:r w:rsidRPr="00924B43">
              <w:rPr>
                <w:rFonts w:asciiTheme="minorEastAsia" w:hAnsiTheme="minorEastAsia" w:cs="Times New Roman"/>
                <w:color w:val="000000" w:themeColor="text1"/>
                <w:kern w:val="0"/>
                <w:szCs w:val="21"/>
              </w:rPr>
              <w:t>160 mg</w:t>
            </w:r>
          </w:p>
        </w:tc>
        <w:tc>
          <w:tcPr>
            <w:tcW w:w="604"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861"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896" w:type="pct"/>
            <w:tcBorders>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color w:val="000000" w:themeColor="text1"/>
                <w:kern w:val="0"/>
                <w:szCs w:val="21"/>
              </w:rPr>
              <w:t>2.</w:t>
            </w:r>
            <w:r w:rsidRPr="00924B43">
              <w:rPr>
                <w:rFonts w:asciiTheme="minorEastAsia" w:hAnsiTheme="minorEastAsia" w:cs="Times New Roman" w:hint="eastAsia"/>
                <w:color w:val="000000" w:themeColor="text1"/>
                <w:kern w:val="0"/>
                <w:szCs w:val="21"/>
              </w:rPr>
              <w:t>改善全球肾脏病预后组织</w:t>
            </w:r>
            <w:r w:rsidRPr="00924B43">
              <w:rPr>
                <w:rFonts w:asciiTheme="minorEastAsia" w:hAnsiTheme="minorEastAsia" w:cs="Times New Roman"/>
                <w:color w:val="000000" w:themeColor="text1"/>
                <w:kern w:val="0"/>
                <w:szCs w:val="21"/>
              </w:rPr>
              <w:t>(KDIGO)</w:t>
            </w:r>
            <w:r w:rsidRPr="00924B43">
              <w:rPr>
                <w:rFonts w:asciiTheme="minorEastAsia" w:hAnsiTheme="minorEastAsia" w:cs="Times New Roman" w:hint="eastAsia"/>
                <w:color w:val="000000" w:themeColor="text1"/>
                <w:kern w:val="0"/>
                <w:szCs w:val="21"/>
              </w:rPr>
              <w:t>临床实践指南</w:t>
            </w:r>
            <w:r w:rsidRPr="00924B43">
              <w:rPr>
                <w:rFonts w:asciiTheme="minorEastAsia" w:hAnsiTheme="minorEastAsia" w:cs="Times New Roman"/>
                <w:color w:val="000000" w:themeColor="text1"/>
                <w:kern w:val="0"/>
                <w:szCs w:val="21"/>
              </w:rPr>
              <w:t>-</w:t>
            </w:r>
            <w:r w:rsidRPr="00924B43">
              <w:rPr>
                <w:rFonts w:asciiTheme="minorEastAsia" w:hAnsiTheme="minorEastAsia" w:cs="Times New Roman" w:hint="eastAsia"/>
                <w:color w:val="000000" w:themeColor="text1"/>
                <w:kern w:val="0"/>
                <w:szCs w:val="21"/>
              </w:rPr>
              <w:t>肾小球疾病</w:t>
            </w:r>
            <w:r w:rsidRPr="00924B43">
              <w:rPr>
                <w:rFonts w:asciiTheme="minorEastAsia" w:hAnsiTheme="minorEastAsia" w:cs="Times New Roman"/>
                <w:color w:val="000000" w:themeColor="text1"/>
                <w:kern w:val="0"/>
                <w:szCs w:val="21"/>
              </w:rPr>
              <w:t>KDIGO 2021 Clinical Practice Guideline for the Management of Glomerular Diseases</w:t>
            </w:r>
            <w:r w:rsidR="00B411DC" w:rsidRPr="00924B43">
              <w:rPr>
                <w:rFonts w:asciiTheme="minorEastAsia" w:hAnsiTheme="minorEastAsia" w:cs="Times New Roman"/>
                <w:bCs/>
                <w:color w:val="000000" w:themeColor="text1"/>
                <w:szCs w:val="21"/>
              </w:rPr>
              <w:fldChar w:fldCharType="begin"/>
            </w:r>
            <w:r w:rsidRPr="00924B43">
              <w:rPr>
                <w:rFonts w:asciiTheme="minorEastAsia" w:hAnsiTheme="minorEastAsia" w:cs="Times New Roman"/>
                <w:bCs/>
                <w:color w:val="000000" w:themeColor="text1"/>
                <w:szCs w:val="21"/>
              </w:rPr>
              <w:instrText xml:space="preserve"> ADDIN NE.Ref.{F9029D81-B779-4F40-825F-80B0923574C5}</w:instrText>
            </w:r>
            <w:r w:rsidR="00B411DC" w:rsidRPr="00924B43">
              <w:rPr>
                <w:rFonts w:asciiTheme="minorEastAsia" w:hAnsiTheme="minorEastAsia" w:cs="Times New Roman"/>
                <w:bCs/>
                <w:color w:val="000000" w:themeColor="text1"/>
                <w:szCs w:val="21"/>
              </w:rPr>
              <w:fldChar w:fldCharType="separate"/>
            </w:r>
            <w:r w:rsidRPr="00924B43">
              <w:rPr>
                <w:rFonts w:asciiTheme="minorEastAsia" w:hAnsiTheme="minorEastAsia" w:cs="Times New Roman"/>
                <w:color w:val="000000" w:themeColor="text1"/>
                <w:kern w:val="0"/>
                <w:szCs w:val="21"/>
                <w:vertAlign w:val="superscript"/>
              </w:rPr>
              <w:t>[107]</w:t>
            </w:r>
            <w:r w:rsidR="00B411DC" w:rsidRPr="00924B43">
              <w:rPr>
                <w:rFonts w:asciiTheme="minorEastAsia" w:hAnsiTheme="minorEastAsia" w:cs="Times New Roman"/>
                <w:bCs/>
                <w:color w:val="000000" w:themeColor="text1"/>
                <w:szCs w:val="21"/>
              </w:rPr>
              <w:fldChar w:fldCharType="end"/>
            </w:r>
          </w:p>
        </w:tc>
        <w:tc>
          <w:tcPr>
            <w:tcW w:w="448"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435"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447"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r>
      <w:tr w:rsidR="00F47729" w:rsidRPr="009F686C" w:rsidTr="00F47729">
        <w:trPr>
          <w:trHeight w:val="375"/>
        </w:trPr>
        <w:tc>
          <w:tcPr>
            <w:tcW w:w="243" w:type="pct"/>
            <w:vMerge/>
            <w:tcBorders>
              <w:left w:val="single" w:sz="12" w:space="0" w:color="000000"/>
              <w:bottom w:val="single" w:sz="12" w:space="0" w:color="000000"/>
              <w:right w:val="single" w:sz="12" w:space="0" w:color="000000"/>
            </w:tcBorders>
            <w:shd w:val="clear" w:color="auto" w:fill="auto"/>
            <w:vAlign w:val="center"/>
          </w:tcPr>
          <w:p w:rsidR="00F47729" w:rsidRPr="00924B43" w:rsidRDefault="00F47729" w:rsidP="00F47729">
            <w:pPr>
              <w:jc w:val="center"/>
              <w:rPr>
                <w:rFonts w:asciiTheme="minorEastAsia" w:hAnsiTheme="minorEastAsia" w:cs="Times New Roman"/>
                <w:color w:val="000000" w:themeColor="text1"/>
                <w:szCs w:val="21"/>
              </w:rPr>
            </w:pPr>
          </w:p>
        </w:tc>
        <w:tc>
          <w:tcPr>
            <w:tcW w:w="307"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307"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451" w:type="pct"/>
            <w:tcBorders>
              <w:bottom w:val="single" w:sz="12" w:space="0" w:color="000000"/>
              <w:right w:val="single" w:sz="12" w:space="0" w:color="000000"/>
            </w:tcBorders>
            <w:shd w:val="clear" w:color="auto" w:fill="auto"/>
            <w:vAlign w:val="bottom"/>
          </w:tcPr>
          <w:p w:rsidR="00F47729" w:rsidRPr="00924B43" w:rsidRDefault="00F47729" w:rsidP="00F47729">
            <w:pPr>
              <w:rPr>
                <w:rFonts w:asciiTheme="minorEastAsia" w:hAnsiTheme="minorEastAsia" w:cs="Times New Roman"/>
                <w:color w:val="000000" w:themeColor="text1"/>
                <w:szCs w:val="21"/>
              </w:rPr>
            </w:pPr>
          </w:p>
        </w:tc>
        <w:tc>
          <w:tcPr>
            <w:tcW w:w="604"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861"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896" w:type="pct"/>
            <w:tcBorders>
              <w:bottom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color w:val="000000" w:themeColor="text1"/>
                <w:kern w:val="0"/>
                <w:szCs w:val="21"/>
              </w:rPr>
              <w:t>3.</w:t>
            </w:r>
            <w:r w:rsidRPr="00924B43">
              <w:rPr>
                <w:rFonts w:asciiTheme="minorEastAsia" w:hAnsiTheme="minorEastAsia" w:cs="Times New Roman" w:hint="eastAsia"/>
                <w:color w:val="000000" w:themeColor="text1"/>
                <w:kern w:val="0"/>
                <w:szCs w:val="21"/>
              </w:rPr>
              <w:t>中华医学会糖尿病学分会微血管并发症学组，中国糖尿病肾脏疾病防治临床指南</w:t>
            </w:r>
            <w:r w:rsidRPr="00924B43">
              <w:rPr>
                <w:rFonts w:asciiTheme="minorEastAsia" w:hAnsiTheme="minorEastAsia" w:cs="Times New Roman"/>
                <w:color w:val="000000" w:themeColor="text1"/>
                <w:kern w:val="0"/>
                <w:szCs w:val="21"/>
              </w:rPr>
              <w:lastRenderedPageBreak/>
              <w:t>(2019)</w:t>
            </w:r>
            <w:r w:rsidR="00B411DC" w:rsidRPr="00924B43">
              <w:rPr>
                <w:rFonts w:asciiTheme="minorEastAsia" w:hAnsiTheme="minorEastAsia" w:cs="Times New Roman"/>
                <w:bCs/>
                <w:color w:val="000000" w:themeColor="text1"/>
                <w:szCs w:val="21"/>
              </w:rPr>
              <w:fldChar w:fldCharType="begin"/>
            </w:r>
            <w:r w:rsidRPr="00924B43">
              <w:rPr>
                <w:rFonts w:asciiTheme="minorEastAsia" w:hAnsiTheme="minorEastAsia" w:cs="Times New Roman"/>
                <w:bCs/>
                <w:color w:val="000000" w:themeColor="text1"/>
                <w:szCs w:val="21"/>
              </w:rPr>
              <w:instrText xml:space="preserve"> ADDIN NE.Ref.{F9029D81-B779-4F40-825F-80B0923574C5}</w:instrText>
            </w:r>
            <w:r w:rsidR="00B411DC" w:rsidRPr="00924B43">
              <w:rPr>
                <w:rFonts w:asciiTheme="minorEastAsia" w:hAnsiTheme="minorEastAsia" w:cs="Times New Roman"/>
                <w:bCs/>
                <w:color w:val="000000" w:themeColor="text1"/>
                <w:szCs w:val="21"/>
              </w:rPr>
              <w:fldChar w:fldCharType="separate"/>
            </w:r>
            <w:r w:rsidRPr="00924B43">
              <w:rPr>
                <w:rFonts w:asciiTheme="minorEastAsia" w:hAnsiTheme="minorEastAsia" w:cs="Times New Roman"/>
                <w:color w:val="000000" w:themeColor="text1"/>
                <w:kern w:val="0"/>
                <w:szCs w:val="21"/>
                <w:vertAlign w:val="superscript"/>
              </w:rPr>
              <w:t>[106]</w:t>
            </w:r>
            <w:r w:rsidR="00B411DC" w:rsidRPr="00924B43">
              <w:rPr>
                <w:rFonts w:asciiTheme="minorEastAsia" w:hAnsiTheme="minorEastAsia" w:cs="Times New Roman"/>
                <w:bCs/>
                <w:color w:val="000000" w:themeColor="text1"/>
                <w:szCs w:val="21"/>
              </w:rPr>
              <w:fldChar w:fldCharType="end"/>
            </w:r>
          </w:p>
        </w:tc>
        <w:tc>
          <w:tcPr>
            <w:tcW w:w="448"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435"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447"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r>
      <w:tr w:rsidR="00F47729" w:rsidRPr="009F686C" w:rsidTr="00F47729">
        <w:trPr>
          <w:trHeight w:val="495"/>
        </w:trPr>
        <w:tc>
          <w:tcPr>
            <w:tcW w:w="243" w:type="pct"/>
            <w:vMerge w:val="restart"/>
            <w:tcBorders>
              <w:top w:val="single" w:sz="12" w:space="0" w:color="000000"/>
              <w:left w:val="single" w:sz="12" w:space="0" w:color="000000"/>
              <w:bottom w:val="single" w:sz="12" w:space="0" w:color="000000"/>
              <w:right w:val="single" w:sz="12" w:space="0" w:color="000000"/>
            </w:tcBorders>
            <w:shd w:val="clear" w:color="auto" w:fill="auto"/>
            <w:vAlign w:val="center"/>
          </w:tcPr>
          <w:p w:rsidR="00F47729" w:rsidRPr="00924B43" w:rsidRDefault="00F47729" w:rsidP="00F47729">
            <w:pPr>
              <w:widowControl/>
              <w:jc w:val="center"/>
              <w:textAlignment w:val="center"/>
              <w:rPr>
                <w:rFonts w:asciiTheme="minorEastAsia" w:hAnsiTheme="minorEastAsia" w:cs="Times New Roman"/>
                <w:color w:val="000000" w:themeColor="text1"/>
                <w:szCs w:val="21"/>
              </w:rPr>
            </w:pPr>
            <w:r w:rsidRPr="00924B43">
              <w:rPr>
                <w:rFonts w:asciiTheme="minorEastAsia" w:hAnsiTheme="minorEastAsia" w:cs="Times New Roman"/>
                <w:color w:val="000000" w:themeColor="text1"/>
                <w:kern w:val="0"/>
                <w:szCs w:val="21"/>
              </w:rPr>
              <w:lastRenderedPageBreak/>
              <w:t>9</w:t>
            </w:r>
          </w:p>
        </w:tc>
        <w:tc>
          <w:tcPr>
            <w:tcW w:w="307" w:type="pct"/>
            <w:vMerge w:val="restart"/>
            <w:tcBorders>
              <w:top w:val="single" w:sz="12" w:space="0" w:color="000000"/>
              <w:bottom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hint="eastAsia"/>
                <w:color w:val="000000" w:themeColor="text1"/>
                <w:kern w:val="0"/>
                <w:szCs w:val="21"/>
              </w:rPr>
              <w:t>缬沙坦氢氯噻嗪</w:t>
            </w:r>
          </w:p>
        </w:tc>
        <w:tc>
          <w:tcPr>
            <w:tcW w:w="307" w:type="pct"/>
            <w:vMerge w:val="restart"/>
            <w:tcBorders>
              <w:top w:val="single" w:sz="12" w:space="0" w:color="000000"/>
              <w:bottom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hint="eastAsia"/>
                <w:color w:val="000000" w:themeColor="text1"/>
                <w:kern w:val="0"/>
                <w:szCs w:val="21"/>
              </w:rPr>
              <w:t>片剂</w:t>
            </w:r>
          </w:p>
        </w:tc>
        <w:tc>
          <w:tcPr>
            <w:tcW w:w="451" w:type="pct"/>
            <w:tcBorders>
              <w:top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Cambria Math" w:hint="eastAsia"/>
                <w:color w:val="000000" w:themeColor="text1"/>
                <w:kern w:val="0"/>
                <w:szCs w:val="21"/>
              </w:rPr>
              <w:t>①</w:t>
            </w:r>
            <w:r w:rsidRPr="00924B43">
              <w:rPr>
                <w:rFonts w:asciiTheme="minorEastAsia" w:hAnsiTheme="minorEastAsia" w:cs="Times New Roman"/>
                <w:color w:val="000000" w:themeColor="text1"/>
                <w:kern w:val="0"/>
                <w:szCs w:val="21"/>
              </w:rPr>
              <w:t>160 mg/12.5 mg</w:t>
            </w:r>
          </w:p>
        </w:tc>
        <w:tc>
          <w:tcPr>
            <w:tcW w:w="604" w:type="pct"/>
            <w:vMerge w:val="restart"/>
            <w:tcBorders>
              <w:top w:val="single" w:sz="12" w:space="0" w:color="000000"/>
              <w:bottom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hint="eastAsia"/>
                <w:color w:val="000000" w:themeColor="text1"/>
                <w:kern w:val="0"/>
                <w:szCs w:val="21"/>
              </w:rPr>
              <w:t>高血压</w:t>
            </w:r>
          </w:p>
        </w:tc>
        <w:tc>
          <w:tcPr>
            <w:tcW w:w="861" w:type="pct"/>
            <w:vMerge w:val="restart"/>
            <w:tcBorders>
              <w:top w:val="single" w:sz="12" w:space="0" w:color="000000"/>
              <w:bottom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hint="eastAsia"/>
                <w:color w:val="000000" w:themeColor="text1"/>
                <w:kern w:val="0"/>
                <w:szCs w:val="21"/>
              </w:rPr>
              <w:t>口服最大剂量</w:t>
            </w:r>
            <w:r w:rsidRPr="00924B43">
              <w:rPr>
                <w:rFonts w:asciiTheme="minorEastAsia" w:hAnsiTheme="minorEastAsia" w:cs="Times New Roman"/>
                <w:color w:val="000000" w:themeColor="text1"/>
                <w:kern w:val="0"/>
                <w:szCs w:val="21"/>
              </w:rPr>
              <w:t>320 mg/25 mg qd</w:t>
            </w:r>
          </w:p>
        </w:tc>
        <w:tc>
          <w:tcPr>
            <w:tcW w:w="896" w:type="pct"/>
            <w:vMerge w:val="restart"/>
            <w:tcBorders>
              <w:top w:val="single" w:sz="12" w:space="0" w:color="000000"/>
              <w:bottom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hint="eastAsia"/>
                <w:color w:val="000000" w:themeColor="text1"/>
                <w:kern w:val="0"/>
                <w:szCs w:val="21"/>
              </w:rPr>
              <w:t>美国</w:t>
            </w:r>
            <w:r w:rsidRPr="00924B43">
              <w:rPr>
                <w:rFonts w:asciiTheme="minorEastAsia" w:hAnsiTheme="minorEastAsia" w:cs="Times New Roman"/>
                <w:color w:val="000000" w:themeColor="text1"/>
                <w:kern w:val="0"/>
                <w:szCs w:val="21"/>
              </w:rPr>
              <w:t>FDA</w:t>
            </w:r>
            <w:r w:rsidRPr="00924B43">
              <w:rPr>
                <w:rFonts w:asciiTheme="minorEastAsia" w:hAnsiTheme="minorEastAsia" w:cs="Times New Roman" w:hint="eastAsia"/>
                <w:color w:val="000000" w:themeColor="text1"/>
                <w:kern w:val="0"/>
                <w:szCs w:val="21"/>
              </w:rPr>
              <w:t>已批准缬沙坦氢氯噻嗪的最大剂量为</w:t>
            </w:r>
            <w:r w:rsidRPr="00924B43">
              <w:rPr>
                <w:rFonts w:asciiTheme="minorEastAsia" w:hAnsiTheme="minorEastAsia" w:cs="Times New Roman"/>
                <w:color w:val="000000" w:themeColor="text1"/>
                <w:kern w:val="0"/>
                <w:szCs w:val="21"/>
              </w:rPr>
              <w:t>320 mg/25 mg qd</w:t>
            </w:r>
          </w:p>
        </w:tc>
        <w:tc>
          <w:tcPr>
            <w:tcW w:w="448" w:type="pct"/>
            <w:vMerge w:val="restart"/>
            <w:tcBorders>
              <w:top w:val="single" w:sz="12" w:space="0" w:color="000000"/>
              <w:bottom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color w:val="000000" w:themeColor="text1"/>
                <w:kern w:val="0"/>
                <w:szCs w:val="21"/>
              </w:rPr>
              <w:t>Micromedex</w:t>
            </w:r>
            <w:r w:rsidRPr="00924B43">
              <w:rPr>
                <w:rFonts w:asciiTheme="minorEastAsia" w:hAnsiTheme="minorEastAsia" w:cs="Times New Roman" w:hint="eastAsia"/>
                <w:color w:val="000000" w:themeColor="text1"/>
                <w:kern w:val="0"/>
                <w:szCs w:val="21"/>
              </w:rPr>
              <w:t>未收录（超剂量的无等级）</w:t>
            </w:r>
          </w:p>
        </w:tc>
        <w:tc>
          <w:tcPr>
            <w:tcW w:w="435" w:type="pct"/>
            <w:vMerge w:val="restart"/>
            <w:tcBorders>
              <w:top w:val="single" w:sz="12" w:space="0" w:color="000000"/>
              <w:bottom w:val="single" w:sz="12" w:space="0" w:color="000000"/>
              <w:right w:val="single" w:sz="12" w:space="0" w:color="000000"/>
            </w:tcBorders>
            <w:shd w:val="clear" w:color="auto" w:fill="auto"/>
            <w:vAlign w:val="bottom"/>
          </w:tcPr>
          <w:p w:rsidR="00F47729" w:rsidRPr="00924B43" w:rsidRDefault="00F47729" w:rsidP="00F47729">
            <w:pPr>
              <w:rPr>
                <w:rFonts w:asciiTheme="minorEastAsia" w:hAnsiTheme="minorEastAsia" w:cs="Times New Roman"/>
                <w:color w:val="000000" w:themeColor="text1"/>
                <w:szCs w:val="21"/>
              </w:rPr>
            </w:pPr>
          </w:p>
        </w:tc>
        <w:tc>
          <w:tcPr>
            <w:tcW w:w="447" w:type="pct"/>
            <w:vMerge w:val="restart"/>
            <w:tcBorders>
              <w:top w:val="single" w:sz="12" w:space="0" w:color="000000"/>
              <w:bottom w:val="single" w:sz="12" w:space="0" w:color="000000"/>
              <w:right w:val="single" w:sz="12" w:space="0" w:color="000000"/>
            </w:tcBorders>
            <w:shd w:val="clear" w:color="auto" w:fill="auto"/>
            <w:vAlign w:val="bottom"/>
          </w:tcPr>
          <w:p w:rsidR="00F47729" w:rsidRPr="00924B43" w:rsidRDefault="00F47729" w:rsidP="00F47729">
            <w:pPr>
              <w:rPr>
                <w:rFonts w:asciiTheme="minorEastAsia" w:hAnsiTheme="minorEastAsia" w:cs="Times New Roman"/>
                <w:color w:val="000000" w:themeColor="text1"/>
                <w:szCs w:val="21"/>
              </w:rPr>
            </w:pPr>
          </w:p>
        </w:tc>
      </w:tr>
      <w:tr w:rsidR="00F47729" w:rsidRPr="009F686C" w:rsidTr="00F47729">
        <w:trPr>
          <w:trHeight w:val="495"/>
        </w:trPr>
        <w:tc>
          <w:tcPr>
            <w:tcW w:w="243" w:type="pct"/>
            <w:vMerge/>
            <w:tcBorders>
              <w:left w:val="single" w:sz="12" w:space="0" w:color="000000"/>
              <w:bottom w:val="single" w:sz="12" w:space="0" w:color="000000"/>
              <w:right w:val="single" w:sz="12" w:space="0" w:color="000000"/>
            </w:tcBorders>
            <w:shd w:val="clear" w:color="auto" w:fill="auto"/>
            <w:vAlign w:val="center"/>
          </w:tcPr>
          <w:p w:rsidR="00F47729" w:rsidRPr="00924B43" w:rsidRDefault="00F47729" w:rsidP="00F47729">
            <w:pPr>
              <w:jc w:val="center"/>
              <w:rPr>
                <w:rFonts w:asciiTheme="minorEastAsia" w:hAnsiTheme="minorEastAsia" w:cs="Times New Roman"/>
                <w:color w:val="000000" w:themeColor="text1"/>
                <w:szCs w:val="21"/>
              </w:rPr>
            </w:pPr>
          </w:p>
        </w:tc>
        <w:tc>
          <w:tcPr>
            <w:tcW w:w="307"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307"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451" w:type="pct"/>
            <w:tcBorders>
              <w:bottom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Cambria Math" w:hint="eastAsia"/>
                <w:color w:val="000000" w:themeColor="text1"/>
                <w:kern w:val="0"/>
                <w:szCs w:val="21"/>
              </w:rPr>
              <w:t>②</w:t>
            </w:r>
            <w:r w:rsidRPr="00924B43">
              <w:rPr>
                <w:rFonts w:asciiTheme="minorEastAsia" w:hAnsiTheme="minorEastAsia" w:cs="Times New Roman"/>
                <w:color w:val="000000" w:themeColor="text1"/>
                <w:kern w:val="0"/>
                <w:szCs w:val="21"/>
              </w:rPr>
              <w:t>80 mg/12.5 mg</w:t>
            </w:r>
          </w:p>
        </w:tc>
        <w:tc>
          <w:tcPr>
            <w:tcW w:w="604"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861"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896"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448"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435" w:type="pct"/>
            <w:vMerge/>
            <w:tcBorders>
              <w:bottom w:val="single" w:sz="12" w:space="0" w:color="000000"/>
              <w:right w:val="single" w:sz="12" w:space="0" w:color="000000"/>
            </w:tcBorders>
            <w:shd w:val="clear" w:color="auto" w:fill="auto"/>
            <w:vAlign w:val="bottom"/>
          </w:tcPr>
          <w:p w:rsidR="00F47729" w:rsidRPr="00924B43" w:rsidRDefault="00F47729" w:rsidP="00F47729">
            <w:pPr>
              <w:rPr>
                <w:rFonts w:asciiTheme="minorEastAsia" w:hAnsiTheme="minorEastAsia" w:cs="Times New Roman"/>
                <w:color w:val="000000" w:themeColor="text1"/>
                <w:szCs w:val="21"/>
              </w:rPr>
            </w:pPr>
          </w:p>
        </w:tc>
        <w:tc>
          <w:tcPr>
            <w:tcW w:w="447" w:type="pct"/>
            <w:vMerge/>
            <w:tcBorders>
              <w:bottom w:val="single" w:sz="12" w:space="0" w:color="000000"/>
              <w:right w:val="single" w:sz="12" w:space="0" w:color="000000"/>
            </w:tcBorders>
            <w:shd w:val="clear" w:color="auto" w:fill="auto"/>
            <w:vAlign w:val="bottom"/>
          </w:tcPr>
          <w:p w:rsidR="00F47729" w:rsidRPr="00924B43" w:rsidRDefault="00F47729" w:rsidP="00F47729">
            <w:pPr>
              <w:rPr>
                <w:rFonts w:asciiTheme="minorEastAsia" w:hAnsiTheme="minorEastAsia" w:cs="Times New Roman"/>
                <w:color w:val="000000" w:themeColor="text1"/>
                <w:szCs w:val="21"/>
              </w:rPr>
            </w:pPr>
          </w:p>
        </w:tc>
      </w:tr>
      <w:tr w:rsidR="00F47729" w:rsidRPr="009F686C" w:rsidTr="00F47729">
        <w:trPr>
          <w:trHeight w:val="210"/>
        </w:trPr>
        <w:tc>
          <w:tcPr>
            <w:tcW w:w="243" w:type="pct"/>
            <w:vMerge w:val="restart"/>
            <w:tcBorders>
              <w:left w:val="single" w:sz="12" w:space="0" w:color="000000"/>
              <w:bottom w:val="single" w:sz="12" w:space="0" w:color="000000"/>
              <w:right w:val="single" w:sz="12" w:space="0" w:color="000000"/>
            </w:tcBorders>
            <w:shd w:val="clear" w:color="auto" w:fill="auto"/>
            <w:vAlign w:val="center"/>
          </w:tcPr>
          <w:p w:rsidR="00F47729" w:rsidRPr="00924B43" w:rsidRDefault="00F47729" w:rsidP="00F47729">
            <w:pPr>
              <w:widowControl/>
              <w:jc w:val="center"/>
              <w:textAlignment w:val="center"/>
              <w:rPr>
                <w:rFonts w:asciiTheme="minorEastAsia" w:hAnsiTheme="minorEastAsia" w:cs="Times New Roman"/>
                <w:color w:val="000000" w:themeColor="text1"/>
                <w:szCs w:val="21"/>
              </w:rPr>
            </w:pPr>
            <w:r w:rsidRPr="00924B43">
              <w:rPr>
                <w:rFonts w:asciiTheme="minorEastAsia" w:hAnsiTheme="minorEastAsia" w:cs="Times New Roman"/>
                <w:color w:val="000000" w:themeColor="text1"/>
                <w:kern w:val="0"/>
                <w:szCs w:val="21"/>
              </w:rPr>
              <w:t>10</w:t>
            </w:r>
          </w:p>
        </w:tc>
        <w:tc>
          <w:tcPr>
            <w:tcW w:w="307" w:type="pct"/>
            <w:vMerge w:val="restart"/>
            <w:tcBorders>
              <w:bottom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hint="eastAsia"/>
                <w:color w:val="000000" w:themeColor="text1"/>
                <w:kern w:val="0"/>
                <w:szCs w:val="21"/>
              </w:rPr>
              <w:t>贝那普利</w:t>
            </w:r>
          </w:p>
        </w:tc>
        <w:tc>
          <w:tcPr>
            <w:tcW w:w="307" w:type="pct"/>
            <w:vMerge w:val="restart"/>
            <w:tcBorders>
              <w:bottom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hint="eastAsia"/>
                <w:color w:val="000000" w:themeColor="text1"/>
                <w:kern w:val="0"/>
                <w:szCs w:val="21"/>
              </w:rPr>
              <w:t>片剂</w:t>
            </w:r>
          </w:p>
        </w:tc>
        <w:tc>
          <w:tcPr>
            <w:tcW w:w="451" w:type="pct"/>
            <w:tcBorders>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Cambria Math" w:hint="eastAsia"/>
                <w:color w:val="000000" w:themeColor="text1"/>
                <w:kern w:val="0"/>
                <w:szCs w:val="21"/>
              </w:rPr>
              <w:t>①</w:t>
            </w:r>
            <w:r w:rsidRPr="00924B43">
              <w:rPr>
                <w:rFonts w:asciiTheme="minorEastAsia" w:hAnsiTheme="minorEastAsia" w:cs="Times New Roman"/>
                <w:color w:val="000000" w:themeColor="text1"/>
                <w:kern w:val="0"/>
                <w:szCs w:val="21"/>
              </w:rPr>
              <w:t>5 mg</w:t>
            </w:r>
          </w:p>
        </w:tc>
        <w:tc>
          <w:tcPr>
            <w:tcW w:w="604" w:type="pct"/>
            <w:vMerge w:val="restart"/>
            <w:tcBorders>
              <w:bottom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hint="eastAsia"/>
                <w:color w:val="000000" w:themeColor="text1"/>
                <w:kern w:val="0"/>
                <w:szCs w:val="21"/>
              </w:rPr>
              <w:t>有蛋白尿的原发性或继发性肾小球疾病</w:t>
            </w:r>
          </w:p>
        </w:tc>
        <w:tc>
          <w:tcPr>
            <w:tcW w:w="861" w:type="pct"/>
            <w:vMerge w:val="restart"/>
            <w:tcBorders>
              <w:bottom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hint="eastAsia"/>
                <w:color w:val="000000" w:themeColor="text1"/>
                <w:kern w:val="0"/>
                <w:szCs w:val="21"/>
              </w:rPr>
              <w:t>单独治疗肾小球肾炎和蛋白尿患者时，将</w:t>
            </w:r>
            <w:r w:rsidRPr="00924B43">
              <w:rPr>
                <w:rFonts w:asciiTheme="minorEastAsia" w:hAnsiTheme="minorEastAsia" w:cs="Times New Roman"/>
                <w:color w:val="000000" w:themeColor="text1"/>
                <w:kern w:val="0"/>
                <w:szCs w:val="21"/>
              </w:rPr>
              <w:t>ACEI</w:t>
            </w:r>
            <w:r w:rsidRPr="00924B43">
              <w:rPr>
                <w:rFonts w:asciiTheme="minorEastAsia" w:hAnsiTheme="minorEastAsia" w:cs="Times New Roman" w:hint="eastAsia"/>
                <w:color w:val="000000" w:themeColor="text1"/>
                <w:kern w:val="0"/>
                <w:szCs w:val="21"/>
              </w:rPr>
              <w:t>或</w:t>
            </w:r>
            <w:r w:rsidRPr="00924B43">
              <w:rPr>
                <w:rFonts w:asciiTheme="minorEastAsia" w:hAnsiTheme="minorEastAsia" w:cs="Times New Roman"/>
                <w:color w:val="000000" w:themeColor="text1"/>
                <w:kern w:val="0"/>
                <w:szCs w:val="21"/>
              </w:rPr>
              <w:t>ARB</w:t>
            </w:r>
            <w:r w:rsidRPr="00924B43">
              <w:rPr>
                <w:rFonts w:asciiTheme="minorEastAsia" w:hAnsiTheme="minorEastAsia" w:cs="Times New Roman" w:hint="eastAsia"/>
                <w:color w:val="000000" w:themeColor="text1"/>
                <w:kern w:val="0"/>
                <w:szCs w:val="21"/>
              </w:rPr>
              <w:t>上调至首次最大耐受或允许剂量。最大剂量</w:t>
            </w:r>
            <w:r w:rsidRPr="00924B43">
              <w:rPr>
                <w:rFonts w:asciiTheme="minorEastAsia" w:hAnsiTheme="minorEastAsia" w:cs="Times New Roman"/>
                <w:color w:val="000000" w:themeColor="text1"/>
                <w:kern w:val="0"/>
                <w:szCs w:val="21"/>
              </w:rPr>
              <w:t>40 mg/d</w:t>
            </w:r>
            <w:r w:rsidRPr="00924B43">
              <w:rPr>
                <w:rFonts w:asciiTheme="minorEastAsia" w:hAnsiTheme="minorEastAsia" w:cs="Times New Roman" w:hint="eastAsia"/>
                <w:color w:val="000000" w:themeColor="text1"/>
                <w:kern w:val="0"/>
                <w:szCs w:val="21"/>
              </w:rPr>
              <w:t>口服</w:t>
            </w:r>
          </w:p>
        </w:tc>
        <w:tc>
          <w:tcPr>
            <w:tcW w:w="896" w:type="pct"/>
            <w:tcBorders>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color w:val="000000" w:themeColor="text1"/>
                <w:kern w:val="0"/>
                <w:szCs w:val="21"/>
              </w:rPr>
              <w:t>1.</w:t>
            </w:r>
            <w:r w:rsidRPr="00924B43">
              <w:rPr>
                <w:rFonts w:asciiTheme="minorEastAsia" w:hAnsiTheme="minorEastAsia" w:cs="Times New Roman" w:hint="eastAsia"/>
                <w:color w:val="000000" w:themeColor="text1"/>
                <w:kern w:val="0"/>
                <w:szCs w:val="21"/>
              </w:rPr>
              <w:t>美国</w:t>
            </w:r>
            <w:r w:rsidRPr="00924B43">
              <w:rPr>
                <w:rFonts w:asciiTheme="minorEastAsia" w:hAnsiTheme="minorEastAsia" w:cs="Times New Roman"/>
                <w:color w:val="000000" w:themeColor="text1"/>
                <w:kern w:val="0"/>
                <w:szCs w:val="21"/>
              </w:rPr>
              <w:t>FDA</w:t>
            </w:r>
            <w:r w:rsidRPr="00924B43">
              <w:rPr>
                <w:rFonts w:asciiTheme="minorEastAsia" w:hAnsiTheme="minorEastAsia" w:cs="Times New Roman" w:hint="eastAsia"/>
                <w:color w:val="000000" w:themeColor="text1"/>
                <w:kern w:val="0"/>
                <w:szCs w:val="21"/>
              </w:rPr>
              <w:t>未批准盐酸贝那普利用于治疗肾小球疾病；</w:t>
            </w:r>
          </w:p>
        </w:tc>
        <w:tc>
          <w:tcPr>
            <w:tcW w:w="448" w:type="pct"/>
            <w:vMerge w:val="restart"/>
            <w:tcBorders>
              <w:bottom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color w:val="000000" w:themeColor="text1"/>
                <w:kern w:val="0"/>
                <w:szCs w:val="21"/>
              </w:rPr>
              <w:t xml:space="preserve">Class </w:t>
            </w:r>
            <w:r w:rsidRPr="00924B43">
              <w:rPr>
                <w:rFonts w:asciiTheme="minorEastAsia" w:hAnsiTheme="minorEastAsia" w:cs="Times New Roman" w:hint="eastAsia"/>
                <w:color w:val="000000" w:themeColor="text1"/>
                <w:kern w:val="0"/>
                <w:szCs w:val="21"/>
              </w:rPr>
              <w:t>Ⅱ</w:t>
            </w:r>
            <w:r w:rsidRPr="00924B43">
              <w:rPr>
                <w:rFonts w:asciiTheme="minorEastAsia" w:hAnsiTheme="minorEastAsia" w:cs="Times New Roman"/>
                <w:color w:val="000000" w:themeColor="text1"/>
                <w:kern w:val="0"/>
                <w:szCs w:val="21"/>
              </w:rPr>
              <w:t>a</w:t>
            </w:r>
            <w:r w:rsidRPr="00924B43">
              <w:rPr>
                <w:rFonts w:asciiTheme="minorEastAsia" w:hAnsiTheme="minorEastAsia" w:cs="Times New Roman" w:hint="eastAsia"/>
                <w:color w:val="000000" w:themeColor="text1"/>
                <w:kern w:val="0"/>
                <w:szCs w:val="21"/>
              </w:rPr>
              <w:t>（肾脏疾病）</w:t>
            </w:r>
          </w:p>
        </w:tc>
        <w:tc>
          <w:tcPr>
            <w:tcW w:w="435" w:type="pct"/>
            <w:vMerge w:val="restart"/>
            <w:tcBorders>
              <w:bottom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color w:val="000000" w:themeColor="text1"/>
                <w:kern w:val="0"/>
                <w:szCs w:val="21"/>
              </w:rPr>
              <w:t xml:space="preserve">Class </w:t>
            </w:r>
            <w:r w:rsidRPr="00924B43">
              <w:rPr>
                <w:rFonts w:asciiTheme="minorEastAsia" w:hAnsiTheme="minorEastAsia" w:cs="Times New Roman" w:hint="eastAsia"/>
                <w:color w:val="000000" w:themeColor="text1"/>
                <w:kern w:val="0"/>
                <w:szCs w:val="21"/>
              </w:rPr>
              <w:t>Ⅱ</w:t>
            </w:r>
            <w:r w:rsidRPr="00924B43">
              <w:rPr>
                <w:rFonts w:asciiTheme="minorEastAsia" w:hAnsiTheme="minorEastAsia" w:cs="Times New Roman"/>
                <w:color w:val="000000" w:themeColor="text1"/>
                <w:kern w:val="0"/>
                <w:szCs w:val="21"/>
              </w:rPr>
              <w:t>a</w:t>
            </w:r>
          </w:p>
        </w:tc>
        <w:tc>
          <w:tcPr>
            <w:tcW w:w="447" w:type="pct"/>
            <w:vMerge w:val="restart"/>
            <w:tcBorders>
              <w:bottom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color w:val="000000" w:themeColor="text1"/>
                <w:kern w:val="0"/>
                <w:szCs w:val="21"/>
              </w:rPr>
              <w:t>Category B</w:t>
            </w:r>
          </w:p>
        </w:tc>
      </w:tr>
      <w:tr w:rsidR="00F47729" w:rsidRPr="009F686C" w:rsidTr="00F47729">
        <w:trPr>
          <w:trHeight w:val="375"/>
        </w:trPr>
        <w:tc>
          <w:tcPr>
            <w:tcW w:w="243" w:type="pct"/>
            <w:vMerge/>
            <w:tcBorders>
              <w:left w:val="single" w:sz="12" w:space="0" w:color="000000"/>
              <w:bottom w:val="single" w:sz="12" w:space="0" w:color="000000"/>
              <w:right w:val="single" w:sz="12" w:space="0" w:color="000000"/>
            </w:tcBorders>
            <w:shd w:val="clear" w:color="auto" w:fill="auto"/>
            <w:vAlign w:val="center"/>
          </w:tcPr>
          <w:p w:rsidR="00F47729" w:rsidRPr="00924B43" w:rsidRDefault="00F47729" w:rsidP="00F47729">
            <w:pPr>
              <w:jc w:val="center"/>
              <w:rPr>
                <w:rFonts w:asciiTheme="minorEastAsia" w:hAnsiTheme="minorEastAsia" w:cs="Times New Roman"/>
                <w:color w:val="000000" w:themeColor="text1"/>
                <w:szCs w:val="21"/>
              </w:rPr>
            </w:pPr>
          </w:p>
        </w:tc>
        <w:tc>
          <w:tcPr>
            <w:tcW w:w="307"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307"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451" w:type="pct"/>
            <w:tcBorders>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Cambria Math" w:hint="eastAsia"/>
                <w:color w:val="000000" w:themeColor="text1"/>
                <w:kern w:val="0"/>
                <w:szCs w:val="21"/>
              </w:rPr>
              <w:t>②</w:t>
            </w:r>
            <w:r w:rsidRPr="00924B43">
              <w:rPr>
                <w:rFonts w:asciiTheme="minorEastAsia" w:hAnsiTheme="minorEastAsia" w:cs="Times New Roman"/>
                <w:color w:val="000000" w:themeColor="text1"/>
                <w:kern w:val="0"/>
                <w:szCs w:val="21"/>
              </w:rPr>
              <w:t>10 mg</w:t>
            </w:r>
          </w:p>
        </w:tc>
        <w:tc>
          <w:tcPr>
            <w:tcW w:w="604"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861"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896" w:type="pct"/>
            <w:tcBorders>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color w:val="000000" w:themeColor="text1"/>
                <w:kern w:val="0"/>
                <w:szCs w:val="21"/>
              </w:rPr>
              <w:t>2.</w:t>
            </w:r>
            <w:r w:rsidRPr="00924B43">
              <w:rPr>
                <w:rFonts w:asciiTheme="minorEastAsia" w:hAnsiTheme="minorEastAsia" w:cs="Times New Roman" w:hint="eastAsia"/>
                <w:color w:val="000000" w:themeColor="text1"/>
                <w:kern w:val="0"/>
                <w:szCs w:val="21"/>
              </w:rPr>
              <w:t>改善全球肾脏病预后组织</w:t>
            </w:r>
            <w:r w:rsidRPr="00924B43">
              <w:rPr>
                <w:rFonts w:asciiTheme="minorEastAsia" w:hAnsiTheme="minorEastAsia" w:cs="Times New Roman"/>
                <w:color w:val="000000" w:themeColor="text1"/>
                <w:kern w:val="0"/>
                <w:szCs w:val="21"/>
              </w:rPr>
              <w:t>(KDIGO)</w:t>
            </w:r>
            <w:r w:rsidRPr="00924B43">
              <w:rPr>
                <w:rFonts w:asciiTheme="minorEastAsia" w:hAnsiTheme="minorEastAsia" w:cs="Times New Roman" w:hint="eastAsia"/>
                <w:color w:val="000000" w:themeColor="text1"/>
                <w:kern w:val="0"/>
                <w:szCs w:val="21"/>
              </w:rPr>
              <w:t>临床实践指南</w:t>
            </w:r>
            <w:r w:rsidRPr="00924B43">
              <w:rPr>
                <w:rFonts w:asciiTheme="minorEastAsia" w:hAnsiTheme="minorEastAsia" w:cs="Times New Roman"/>
                <w:color w:val="000000" w:themeColor="text1"/>
                <w:kern w:val="0"/>
                <w:szCs w:val="21"/>
              </w:rPr>
              <w:t>-</w:t>
            </w:r>
            <w:r w:rsidRPr="00924B43">
              <w:rPr>
                <w:rFonts w:asciiTheme="minorEastAsia" w:hAnsiTheme="minorEastAsia" w:cs="Times New Roman" w:hint="eastAsia"/>
                <w:color w:val="000000" w:themeColor="text1"/>
                <w:kern w:val="0"/>
                <w:szCs w:val="21"/>
              </w:rPr>
              <w:t>肾小球疾病</w:t>
            </w:r>
            <w:r w:rsidRPr="00924B43">
              <w:rPr>
                <w:rFonts w:asciiTheme="minorEastAsia" w:hAnsiTheme="minorEastAsia" w:cs="Times New Roman"/>
                <w:color w:val="000000" w:themeColor="text1"/>
                <w:kern w:val="0"/>
                <w:szCs w:val="21"/>
              </w:rPr>
              <w:t>KDIGO 2021 Clinical Practice Guideline for the Management of Glomerular Diseases</w:t>
            </w:r>
            <w:r w:rsidR="00B411DC" w:rsidRPr="00924B43">
              <w:rPr>
                <w:rFonts w:asciiTheme="minorEastAsia" w:hAnsiTheme="minorEastAsia" w:cs="Times New Roman"/>
                <w:bCs/>
                <w:color w:val="000000" w:themeColor="text1"/>
                <w:szCs w:val="21"/>
              </w:rPr>
              <w:fldChar w:fldCharType="begin"/>
            </w:r>
            <w:r w:rsidRPr="00924B43">
              <w:rPr>
                <w:rFonts w:asciiTheme="minorEastAsia" w:hAnsiTheme="minorEastAsia" w:cs="Times New Roman"/>
                <w:bCs/>
                <w:color w:val="000000" w:themeColor="text1"/>
                <w:szCs w:val="21"/>
              </w:rPr>
              <w:instrText xml:space="preserve"> ADDIN NE.Ref.{F9029D81-B779-4F40-825F-80B0923574C5}</w:instrText>
            </w:r>
            <w:r w:rsidR="00B411DC" w:rsidRPr="00924B43">
              <w:rPr>
                <w:rFonts w:asciiTheme="minorEastAsia" w:hAnsiTheme="minorEastAsia" w:cs="Times New Roman"/>
                <w:bCs/>
                <w:color w:val="000000" w:themeColor="text1"/>
                <w:szCs w:val="21"/>
              </w:rPr>
              <w:fldChar w:fldCharType="separate"/>
            </w:r>
            <w:r w:rsidRPr="00924B43">
              <w:rPr>
                <w:rFonts w:asciiTheme="minorEastAsia" w:hAnsiTheme="minorEastAsia" w:cs="Times New Roman"/>
                <w:color w:val="000000" w:themeColor="text1"/>
                <w:kern w:val="0"/>
                <w:szCs w:val="21"/>
                <w:vertAlign w:val="superscript"/>
              </w:rPr>
              <w:t>[107]</w:t>
            </w:r>
            <w:r w:rsidR="00B411DC" w:rsidRPr="00924B43">
              <w:rPr>
                <w:rFonts w:asciiTheme="minorEastAsia" w:hAnsiTheme="minorEastAsia" w:cs="Times New Roman"/>
                <w:bCs/>
                <w:color w:val="000000" w:themeColor="text1"/>
                <w:szCs w:val="21"/>
              </w:rPr>
              <w:fldChar w:fldCharType="end"/>
            </w:r>
          </w:p>
        </w:tc>
        <w:tc>
          <w:tcPr>
            <w:tcW w:w="448"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435"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447"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r>
      <w:tr w:rsidR="00F47729" w:rsidRPr="009F686C" w:rsidTr="00F47729">
        <w:trPr>
          <w:trHeight w:val="420"/>
        </w:trPr>
        <w:tc>
          <w:tcPr>
            <w:tcW w:w="243" w:type="pct"/>
            <w:vMerge/>
            <w:tcBorders>
              <w:left w:val="single" w:sz="12" w:space="0" w:color="000000"/>
              <w:bottom w:val="single" w:sz="12" w:space="0" w:color="000000"/>
              <w:right w:val="single" w:sz="12" w:space="0" w:color="000000"/>
            </w:tcBorders>
            <w:shd w:val="clear" w:color="auto" w:fill="auto"/>
            <w:vAlign w:val="center"/>
          </w:tcPr>
          <w:p w:rsidR="00F47729" w:rsidRPr="00924B43" w:rsidRDefault="00F47729" w:rsidP="00F47729">
            <w:pPr>
              <w:jc w:val="center"/>
              <w:rPr>
                <w:rFonts w:asciiTheme="minorEastAsia" w:hAnsiTheme="minorEastAsia" w:cs="Times New Roman"/>
                <w:color w:val="000000" w:themeColor="text1"/>
                <w:szCs w:val="21"/>
              </w:rPr>
            </w:pPr>
          </w:p>
        </w:tc>
        <w:tc>
          <w:tcPr>
            <w:tcW w:w="307"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307"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451" w:type="pct"/>
            <w:tcBorders>
              <w:bottom w:val="single" w:sz="12" w:space="0" w:color="000000"/>
              <w:right w:val="single" w:sz="12" w:space="0" w:color="000000"/>
            </w:tcBorders>
            <w:shd w:val="clear" w:color="auto" w:fill="auto"/>
            <w:vAlign w:val="bottom"/>
          </w:tcPr>
          <w:p w:rsidR="00F47729" w:rsidRPr="00924B43" w:rsidRDefault="00F47729" w:rsidP="00F47729">
            <w:pPr>
              <w:rPr>
                <w:rFonts w:asciiTheme="minorEastAsia" w:hAnsiTheme="minorEastAsia" w:cs="Times New Roman"/>
                <w:color w:val="000000" w:themeColor="text1"/>
                <w:szCs w:val="21"/>
              </w:rPr>
            </w:pPr>
          </w:p>
        </w:tc>
        <w:tc>
          <w:tcPr>
            <w:tcW w:w="604"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861"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896" w:type="pct"/>
            <w:tcBorders>
              <w:bottom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color w:val="000000" w:themeColor="text1"/>
                <w:kern w:val="0"/>
                <w:szCs w:val="21"/>
              </w:rPr>
              <w:t>3.</w:t>
            </w:r>
            <w:r w:rsidRPr="00924B43">
              <w:rPr>
                <w:rFonts w:asciiTheme="minorEastAsia" w:hAnsiTheme="minorEastAsia" w:cs="Times New Roman" w:hint="eastAsia"/>
                <w:color w:val="000000" w:themeColor="text1"/>
                <w:kern w:val="0"/>
                <w:szCs w:val="21"/>
              </w:rPr>
              <w:t>中华医学会糖尿病学分会微血管并发症学组，《中国糖尿病肾脏疾病防治临床指南》</w:t>
            </w:r>
            <w:r w:rsidRPr="00924B43">
              <w:rPr>
                <w:rFonts w:asciiTheme="minorEastAsia" w:hAnsiTheme="minorEastAsia" w:cs="Times New Roman"/>
                <w:color w:val="000000" w:themeColor="text1"/>
                <w:kern w:val="0"/>
                <w:szCs w:val="21"/>
              </w:rPr>
              <w:t>(2019)</w:t>
            </w:r>
            <w:r w:rsidR="00B411DC" w:rsidRPr="00924B43">
              <w:rPr>
                <w:rFonts w:asciiTheme="minorEastAsia" w:hAnsiTheme="minorEastAsia" w:cs="Times New Roman"/>
                <w:bCs/>
                <w:color w:val="000000" w:themeColor="text1"/>
                <w:szCs w:val="21"/>
              </w:rPr>
              <w:fldChar w:fldCharType="begin"/>
            </w:r>
            <w:r w:rsidRPr="00924B43">
              <w:rPr>
                <w:rFonts w:asciiTheme="minorEastAsia" w:hAnsiTheme="minorEastAsia" w:cs="Times New Roman"/>
                <w:bCs/>
                <w:color w:val="000000" w:themeColor="text1"/>
                <w:szCs w:val="21"/>
              </w:rPr>
              <w:instrText xml:space="preserve"> ADDIN NE.Ref.{F9029D81-B779-4F40-825F-80B0923574C5}</w:instrText>
            </w:r>
            <w:r w:rsidR="00B411DC" w:rsidRPr="00924B43">
              <w:rPr>
                <w:rFonts w:asciiTheme="minorEastAsia" w:hAnsiTheme="minorEastAsia" w:cs="Times New Roman"/>
                <w:bCs/>
                <w:color w:val="000000" w:themeColor="text1"/>
                <w:szCs w:val="21"/>
              </w:rPr>
              <w:fldChar w:fldCharType="separate"/>
            </w:r>
            <w:r w:rsidRPr="00924B43">
              <w:rPr>
                <w:rFonts w:asciiTheme="minorEastAsia" w:hAnsiTheme="minorEastAsia" w:cs="Times New Roman"/>
                <w:color w:val="000000" w:themeColor="text1"/>
                <w:kern w:val="0"/>
                <w:szCs w:val="21"/>
                <w:vertAlign w:val="superscript"/>
              </w:rPr>
              <w:t>[106]</w:t>
            </w:r>
            <w:r w:rsidR="00B411DC" w:rsidRPr="00924B43">
              <w:rPr>
                <w:rFonts w:asciiTheme="minorEastAsia" w:hAnsiTheme="minorEastAsia" w:cs="Times New Roman"/>
                <w:bCs/>
                <w:color w:val="000000" w:themeColor="text1"/>
                <w:szCs w:val="21"/>
              </w:rPr>
              <w:fldChar w:fldCharType="end"/>
            </w:r>
          </w:p>
        </w:tc>
        <w:tc>
          <w:tcPr>
            <w:tcW w:w="448"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435"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c>
          <w:tcPr>
            <w:tcW w:w="447" w:type="pct"/>
            <w:vMerge/>
            <w:tcBorders>
              <w:bottom w:val="single" w:sz="12" w:space="0" w:color="000000"/>
              <w:right w:val="single" w:sz="12" w:space="0" w:color="000000"/>
            </w:tcBorders>
            <w:shd w:val="clear" w:color="auto" w:fill="auto"/>
            <w:vAlign w:val="center"/>
          </w:tcPr>
          <w:p w:rsidR="00F47729" w:rsidRPr="00924B43" w:rsidRDefault="00F47729" w:rsidP="00F47729">
            <w:pPr>
              <w:jc w:val="left"/>
              <w:rPr>
                <w:rFonts w:asciiTheme="minorEastAsia" w:hAnsiTheme="minorEastAsia" w:cs="Times New Roman"/>
                <w:color w:val="000000" w:themeColor="text1"/>
                <w:szCs w:val="21"/>
              </w:rPr>
            </w:pPr>
          </w:p>
        </w:tc>
      </w:tr>
      <w:tr w:rsidR="00F47729" w:rsidRPr="009F686C" w:rsidTr="00F47729">
        <w:trPr>
          <w:trHeight w:val="285"/>
        </w:trPr>
        <w:tc>
          <w:tcPr>
            <w:tcW w:w="243" w:type="pct"/>
            <w:vMerge w:val="restart"/>
            <w:tcBorders>
              <w:left w:val="single" w:sz="12" w:space="0" w:color="000000"/>
              <w:bottom w:val="single" w:sz="12" w:space="0" w:color="000000"/>
              <w:right w:val="single" w:sz="12" w:space="0" w:color="000000"/>
            </w:tcBorders>
            <w:shd w:val="clear" w:color="auto" w:fill="auto"/>
            <w:vAlign w:val="center"/>
          </w:tcPr>
          <w:p w:rsidR="00F47729" w:rsidRPr="00924B43" w:rsidRDefault="00F47729" w:rsidP="00F47729">
            <w:pPr>
              <w:widowControl/>
              <w:jc w:val="center"/>
              <w:textAlignment w:val="center"/>
              <w:rPr>
                <w:rFonts w:asciiTheme="minorEastAsia" w:hAnsiTheme="minorEastAsia" w:cs="Times New Roman"/>
                <w:color w:val="000000" w:themeColor="text1"/>
                <w:szCs w:val="21"/>
              </w:rPr>
            </w:pPr>
            <w:r w:rsidRPr="00924B43">
              <w:rPr>
                <w:rFonts w:asciiTheme="minorEastAsia" w:hAnsiTheme="minorEastAsia" w:cs="Times New Roman"/>
                <w:color w:val="000000" w:themeColor="text1"/>
                <w:kern w:val="0"/>
                <w:szCs w:val="21"/>
              </w:rPr>
              <w:t>11</w:t>
            </w:r>
          </w:p>
        </w:tc>
        <w:tc>
          <w:tcPr>
            <w:tcW w:w="307" w:type="pct"/>
            <w:vMerge w:val="restart"/>
            <w:tcBorders>
              <w:bottom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hint="eastAsia"/>
                <w:color w:val="000000" w:themeColor="text1"/>
                <w:kern w:val="0"/>
                <w:szCs w:val="21"/>
              </w:rPr>
              <w:t>卡托普利</w:t>
            </w:r>
          </w:p>
        </w:tc>
        <w:tc>
          <w:tcPr>
            <w:tcW w:w="307" w:type="pct"/>
            <w:vMerge w:val="restart"/>
            <w:tcBorders>
              <w:bottom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hint="eastAsia"/>
                <w:color w:val="000000" w:themeColor="text1"/>
                <w:kern w:val="0"/>
                <w:szCs w:val="21"/>
              </w:rPr>
              <w:t>片剂</w:t>
            </w:r>
          </w:p>
        </w:tc>
        <w:tc>
          <w:tcPr>
            <w:tcW w:w="451" w:type="pct"/>
            <w:tcBorders>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Cambria Math" w:hint="eastAsia"/>
                <w:color w:val="000000" w:themeColor="text1"/>
                <w:kern w:val="0"/>
                <w:szCs w:val="21"/>
              </w:rPr>
              <w:t>①</w:t>
            </w:r>
            <w:r w:rsidRPr="00924B43">
              <w:rPr>
                <w:rFonts w:asciiTheme="minorEastAsia" w:hAnsiTheme="minorEastAsia" w:cs="Times New Roman"/>
                <w:color w:val="000000" w:themeColor="text1"/>
                <w:kern w:val="0"/>
                <w:szCs w:val="21"/>
              </w:rPr>
              <w:t>12.5 mg</w:t>
            </w:r>
          </w:p>
        </w:tc>
        <w:tc>
          <w:tcPr>
            <w:tcW w:w="604" w:type="pct"/>
            <w:vMerge w:val="restart"/>
            <w:tcBorders>
              <w:bottom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color w:val="000000" w:themeColor="text1"/>
                <w:kern w:val="0"/>
                <w:szCs w:val="21"/>
              </w:rPr>
              <w:t>1</w:t>
            </w:r>
            <w:r w:rsidRPr="00924B43">
              <w:rPr>
                <w:rFonts w:asciiTheme="minorEastAsia" w:hAnsiTheme="minorEastAsia" w:cs="Times New Roman" w:hint="eastAsia"/>
                <w:color w:val="000000" w:themeColor="text1"/>
                <w:kern w:val="0"/>
                <w:szCs w:val="21"/>
              </w:rPr>
              <w:t>型糖尿病且有视网膜病变的糖尿病肾病</w:t>
            </w:r>
          </w:p>
        </w:tc>
        <w:tc>
          <w:tcPr>
            <w:tcW w:w="861" w:type="pct"/>
            <w:vMerge w:val="restart"/>
            <w:tcBorders>
              <w:bottom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hint="eastAsia"/>
                <w:color w:val="000000" w:themeColor="text1"/>
                <w:kern w:val="0"/>
                <w:szCs w:val="21"/>
              </w:rPr>
              <w:t>饭前</w:t>
            </w:r>
            <w:r w:rsidRPr="00924B43">
              <w:rPr>
                <w:rFonts w:asciiTheme="minorEastAsia" w:hAnsiTheme="minorEastAsia" w:cs="Times New Roman"/>
                <w:color w:val="000000" w:themeColor="text1"/>
                <w:kern w:val="0"/>
                <w:szCs w:val="21"/>
              </w:rPr>
              <w:t>1 h</w:t>
            </w:r>
            <w:r w:rsidRPr="00924B43">
              <w:rPr>
                <w:rFonts w:asciiTheme="minorEastAsia" w:hAnsiTheme="minorEastAsia" w:cs="Times New Roman" w:hint="eastAsia"/>
                <w:color w:val="000000" w:themeColor="text1"/>
                <w:kern w:val="0"/>
                <w:szCs w:val="21"/>
              </w:rPr>
              <w:t>口服，</w:t>
            </w:r>
            <w:r w:rsidRPr="00924B43">
              <w:rPr>
                <w:rFonts w:asciiTheme="minorEastAsia" w:hAnsiTheme="minorEastAsia" w:cs="Times New Roman"/>
                <w:color w:val="000000" w:themeColor="text1"/>
                <w:kern w:val="0"/>
                <w:szCs w:val="21"/>
              </w:rPr>
              <w:t>25 mg/</w:t>
            </w:r>
            <w:r w:rsidRPr="00924B43">
              <w:rPr>
                <w:rFonts w:asciiTheme="minorEastAsia" w:hAnsiTheme="minorEastAsia" w:cs="Times New Roman" w:hint="eastAsia"/>
                <w:color w:val="000000" w:themeColor="text1"/>
                <w:kern w:val="0"/>
                <w:szCs w:val="21"/>
              </w:rPr>
              <w:t>次，每天</w:t>
            </w:r>
            <w:r w:rsidRPr="00924B43">
              <w:rPr>
                <w:rFonts w:asciiTheme="minorEastAsia" w:hAnsiTheme="minorEastAsia" w:cs="Times New Roman"/>
                <w:color w:val="000000" w:themeColor="text1"/>
                <w:kern w:val="0"/>
                <w:szCs w:val="21"/>
              </w:rPr>
              <w:t>3</w:t>
            </w:r>
            <w:r w:rsidRPr="00924B43">
              <w:rPr>
                <w:rFonts w:asciiTheme="minorEastAsia" w:hAnsiTheme="minorEastAsia" w:cs="Times New Roman" w:hint="eastAsia"/>
                <w:color w:val="000000" w:themeColor="text1"/>
                <w:kern w:val="0"/>
                <w:szCs w:val="21"/>
              </w:rPr>
              <w:t>次</w:t>
            </w:r>
          </w:p>
        </w:tc>
        <w:tc>
          <w:tcPr>
            <w:tcW w:w="896" w:type="pct"/>
            <w:vMerge w:val="restart"/>
            <w:tcBorders>
              <w:bottom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hint="eastAsia"/>
                <w:color w:val="000000" w:themeColor="text1"/>
                <w:kern w:val="0"/>
                <w:szCs w:val="21"/>
              </w:rPr>
              <w:t>美国</w:t>
            </w:r>
            <w:r w:rsidRPr="00924B43">
              <w:rPr>
                <w:rFonts w:asciiTheme="minorEastAsia" w:hAnsiTheme="minorEastAsia" w:cs="Times New Roman"/>
                <w:color w:val="000000" w:themeColor="text1"/>
                <w:kern w:val="0"/>
                <w:szCs w:val="21"/>
              </w:rPr>
              <w:t>FDA</w:t>
            </w:r>
            <w:r w:rsidRPr="00924B43">
              <w:rPr>
                <w:rFonts w:asciiTheme="minorEastAsia" w:hAnsiTheme="minorEastAsia" w:cs="Times New Roman" w:hint="eastAsia"/>
                <w:color w:val="000000" w:themeColor="text1"/>
                <w:kern w:val="0"/>
                <w:szCs w:val="21"/>
              </w:rPr>
              <w:t>批准用于</w:t>
            </w:r>
            <w:r w:rsidRPr="00924B43">
              <w:rPr>
                <w:rFonts w:asciiTheme="minorEastAsia" w:hAnsiTheme="minorEastAsia" w:cs="Times New Roman"/>
                <w:color w:val="000000" w:themeColor="text1"/>
                <w:kern w:val="0"/>
                <w:szCs w:val="21"/>
              </w:rPr>
              <w:t>1</w:t>
            </w:r>
            <w:r w:rsidRPr="00924B43">
              <w:rPr>
                <w:rFonts w:asciiTheme="minorEastAsia" w:hAnsiTheme="minorEastAsia" w:cs="Times New Roman" w:hint="eastAsia"/>
                <w:color w:val="000000" w:themeColor="text1"/>
                <w:kern w:val="0"/>
                <w:szCs w:val="21"/>
              </w:rPr>
              <w:t>型糖尿病且有视网膜病变的糖尿病肾病。</w:t>
            </w:r>
          </w:p>
        </w:tc>
        <w:tc>
          <w:tcPr>
            <w:tcW w:w="448" w:type="pct"/>
            <w:vMerge w:val="restart"/>
            <w:tcBorders>
              <w:bottom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color w:val="000000" w:themeColor="text1"/>
                <w:kern w:val="0"/>
                <w:szCs w:val="21"/>
              </w:rPr>
              <w:t>Class</w:t>
            </w:r>
            <w:r w:rsidRPr="00924B43">
              <w:rPr>
                <w:rFonts w:asciiTheme="minorEastAsia" w:hAnsiTheme="minorEastAsia" w:cs="Times New Roman" w:hint="eastAsia"/>
                <w:color w:val="000000" w:themeColor="text1"/>
                <w:kern w:val="0"/>
                <w:szCs w:val="21"/>
              </w:rPr>
              <w:t>Ⅰ</w:t>
            </w:r>
          </w:p>
        </w:tc>
        <w:tc>
          <w:tcPr>
            <w:tcW w:w="435" w:type="pct"/>
            <w:vMerge w:val="restart"/>
            <w:tcBorders>
              <w:bottom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color w:val="000000" w:themeColor="text1"/>
                <w:kern w:val="0"/>
                <w:szCs w:val="21"/>
              </w:rPr>
              <w:t xml:space="preserve">Class </w:t>
            </w:r>
            <w:r w:rsidRPr="00924B43">
              <w:rPr>
                <w:rFonts w:asciiTheme="minorEastAsia" w:hAnsiTheme="minorEastAsia" w:cs="Times New Roman" w:hint="eastAsia"/>
                <w:color w:val="000000" w:themeColor="text1"/>
                <w:kern w:val="0"/>
                <w:szCs w:val="21"/>
              </w:rPr>
              <w:t>Ⅱ</w:t>
            </w:r>
            <w:r w:rsidRPr="00924B43">
              <w:rPr>
                <w:rFonts w:asciiTheme="minorEastAsia" w:hAnsiTheme="minorEastAsia" w:cs="Times New Roman"/>
                <w:color w:val="000000" w:themeColor="text1"/>
                <w:kern w:val="0"/>
                <w:szCs w:val="21"/>
              </w:rPr>
              <w:t>a</w:t>
            </w:r>
          </w:p>
        </w:tc>
        <w:tc>
          <w:tcPr>
            <w:tcW w:w="447" w:type="pct"/>
            <w:vMerge w:val="restart"/>
            <w:tcBorders>
              <w:bottom w:val="single" w:sz="12" w:space="0" w:color="000000"/>
              <w:right w:val="single" w:sz="12" w:space="0" w:color="000000"/>
            </w:tcBorders>
            <w:shd w:val="clear" w:color="auto" w:fill="auto"/>
            <w:vAlign w:val="center"/>
          </w:tcPr>
          <w:p w:rsidR="00F47729" w:rsidRPr="00924B43" w:rsidRDefault="00F47729" w:rsidP="00F47729">
            <w:pPr>
              <w:widowControl/>
              <w:jc w:val="left"/>
              <w:textAlignment w:val="center"/>
              <w:rPr>
                <w:rFonts w:asciiTheme="minorEastAsia" w:hAnsiTheme="minorEastAsia" w:cs="Times New Roman"/>
                <w:color w:val="000000" w:themeColor="text1"/>
                <w:szCs w:val="21"/>
              </w:rPr>
            </w:pPr>
            <w:r w:rsidRPr="00924B43">
              <w:rPr>
                <w:rFonts w:asciiTheme="minorEastAsia" w:hAnsiTheme="minorEastAsia" w:cs="Times New Roman"/>
                <w:color w:val="000000" w:themeColor="text1"/>
                <w:kern w:val="0"/>
                <w:szCs w:val="21"/>
              </w:rPr>
              <w:t>Category B</w:t>
            </w:r>
          </w:p>
        </w:tc>
      </w:tr>
      <w:tr w:rsidR="00F47729" w:rsidRPr="009F686C" w:rsidTr="00F47729">
        <w:trPr>
          <w:trHeight w:val="285"/>
        </w:trPr>
        <w:tc>
          <w:tcPr>
            <w:tcW w:w="243" w:type="pct"/>
            <w:vMerge/>
            <w:tcBorders>
              <w:left w:val="single" w:sz="12" w:space="0" w:color="000000"/>
              <w:bottom w:val="single" w:sz="12" w:space="0" w:color="000000"/>
              <w:right w:val="single" w:sz="12" w:space="0" w:color="000000"/>
            </w:tcBorders>
            <w:shd w:val="clear" w:color="auto" w:fill="auto"/>
            <w:vAlign w:val="center"/>
          </w:tcPr>
          <w:p w:rsidR="00F47729" w:rsidRPr="009F686C" w:rsidRDefault="00F47729" w:rsidP="00F47729">
            <w:pPr>
              <w:jc w:val="center"/>
              <w:rPr>
                <w:rFonts w:asciiTheme="minorEastAsia" w:hAnsiTheme="minorEastAsia" w:cs="Times New Roman"/>
                <w:color w:val="000000" w:themeColor="text1"/>
                <w:sz w:val="15"/>
                <w:szCs w:val="15"/>
              </w:rPr>
            </w:pPr>
          </w:p>
        </w:tc>
        <w:tc>
          <w:tcPr>
            <w:tcW w:w="307" w:type="pct"/>
            <w:vMerge/>
            <w:tcBorders>
              <w:bottom w:val="single" w:sz="12" w:space="0" w:color="000000"/>
              <w:right w:val="single" w:sz="12" w:space="0" w:color="000000"/>
            </w:tcBorders>
            <w:shd w:val="clear" w:color="auto" w:fill="auto"/>
            <w:vAlign w:val="center"/>
          </w:tcPr>
          <w:p w:rsidR="00F47729" w:rsidRPr="009F686C" w:rsidRDefault="00F47729" w:rsidP="00F47729">
            <w:pPr>
              <w:jc w:val="left"/>
              <w:rPr>
                <w:rFonts w:asciiTheme="minorEastAsia" w:hAnsiTheme="minorEastAsia" w:cs="Times New Roman"/>
                <w:color w:val="000000" w:themeColor="text1"/>
                <w:sz w:val="15"/>
                <w:szCs w:val="15"/>
              </w:rPr>
            </w:pPr>
          </w:p>
        </w:tc>
        <w:tc>
          <w:tcPr>
            <w:tcW w:w="307" w:type="pct"/>
            <w:vMerge/>
            <w:tcBorders>
              <w:bottom w:val="single" w:sz="12" w:space="0" w:color="000000"/>
              <w:right w:val="single" w:sz="12" w:space="0" w:color="000000"/>
            </w:tcBorders>
            <w:shd w:val="clear" w:color="auto" w:fill="auto"/>
            <w:vAlign w:val="center"/>
          </w:tcPr>
          <w:p w:rsidR="00F47729" w:rsidRPr="009F686C" w:rsidRDefault="00F47729" w:rsidP="00F47729">
            <w:pPr>
              <w:jc w:val="left"/>
              <w:rPr>
                <w:rFonts w:asciiTheme="minorEastAsia" w:hAnsiTheme="minorEastAsia" w:cs="Times New Roman"/>
                <w:color w:val="000000" w:themeColor="text1"/>
                <w:sz w:val="15"/>
                <w:szCs w:val="15"/>
              </w:rPr>
            </w:pPr>
          </w:p>
        </w:tc>
        <w:tc>
          <w:tcPr>
            <w:tcW w:w="451" w:type="pct"/>
            <w:tcBorders>
              <w:bottom w:val="single" w:sz="12" w:space="0" w:color="000000"/>
              <w:right w:val="single" w:sz="12" w:space="0" w:color="000000"/>
            </w:tcBorders>
            <w:shd w:val="clear" w:color="auto" w:fill="auto"/>
            <w:vAlign w:val="center"/>
          </w:tcPr>
          <w:p w:rsidR="00F47729" w:rsidRPr="009F686C" w:rsidRDefault="00F47729" w:rsidP="00F47729">
            <w:pPr>
              <w:widowControl/>
              <w:jc w:val="left"/>
              <w:textAlignment w:val="center"/>
              <w:rPr>
                <w:rFonts w:asciiTheme="minorEastAsia" w:hAnsiTheme="minorEastAsia" w:cs="Times New Roman"/>
                <w:color w:val="000000" w:themeColor="text1"/>
                <w:sz w:val="15"/>
                <w:szCs w:val="15"/>
              </w:rPr>
            </w:pPr>
            <w:r w:rsidRPr="009F686C">
              <w:rPr>
                <w:rFonts w:asciiTheme="minorEastAsia" w:hAnsiTheme="minorEastAsia" w:cs="Cambria Math" w:hint="eastAsia"/>
                <w:color w:val="000000" w:themeColor="text1"/>
                <w:kern w:val="0"/>
                <w:sz w:val="15"/>
                <w:szCs w:val="15"/>
              </w:rPr>
              <w:t>②</w:t>
            </w:r>
            <w:r w:rsidRPr="009F686C">
              <w:rPr>
                <w:rFonts w:asciiTheme="minorEastAsia" w:hAnsiTheme="minorEastAsia" w:cs="Times New Roman"/>
                <w:color w:val="000000" w:themeColor="text1"/>
                <w:kern w:val="0"/>
                <w:sz w:val="15"/>
                <w:szCs w:val="15"/>
              </w:rPr>
              <w:t>25 mg</w:t>
            </w:r>
          </w:p>
        </w:tc>
        <w:tc>
          <w:tcPr>
            <w:tcW w:w="604" w:type="pct"/>
            <w:vMerge/>
            <w:tcBorders>
              <w:bottom w:val="single" w:sz="12" w:space="0" w:color="000000"/>
              <w:right w:val="single" w:sz="12" w:space="0" w:color="000000"/>
            </w:tcBorders>
            <w:shd w:val="clear" w:color="auto" w:fill="auto"/>
            <w:vAlign w:val="center"/>
          </w:tcPr>
          <w:p w:rsidR="00F47729" w:rsidRPr="009F686C" w:rsidRDefault="00F47729" w:rsidP="00F47729">
            <w:pPr>
              <w:jc w:val="left"/>
              <w:rPr>
                <w:rFonts w:asciiTheme="minorEastAsia" w:hAnsiTheme="minorEastAsia" w:cs="Times New Roman"/>
                <w:color w:val="000000" w:themeColor="text1"/>
                <w:sz w:val="15"/>
                <w:szCs w:val="15"/>
              </w:rPr>
            </w:pPr>
          </w:p>
        </w:tc>
        <w:tc>
          <w:tcPr>
            <w:tcW w:w="861" w:type="pct"/>
            <w:vMerge/>
            <w:tcBorders>
              <w:bottom w:val="single" w:sz="12" w:space="0" w:color="000000"/>
              <w:right w:val="single" w:sz="12" w:space="0" w:color="000000"/>
            </w:tcBorders>
            <w:shd w:val="clear" w:color="auto" w:fill="auto"/>
            <w:vAlign w:val="center"/>
          </w:tcPr>
          <w:p w:rsidR="00F47729" w:rsidRPr="009F686C" w:rsidRDefault="00F47729" w:rsidP="00F47729">
            <w:pPr>
              <w:jc w:val="left"/>
              <w:rPr>
                <w:rFonts w:asciiTheme="minorEastAsia" w:hAnsiTheme="minorEastAsia" w:cs="Times New Roman"/>
                <w:color w:val="000000" w:themeColor="text1"/>
                <w:sz w:val="15"/>
                <w:szCs w:val="15"/>
              </w:rPr>
            </w:pPr>
          </w:p>
        </w:tc>
        <w:tc>
          <w:tcPr>
            <w:tcW w:w="896" w:type="pct"/>
            <w:vMerge/>
            <w:tcBorders>
              <w:bottom w:val="single" w:sz="12" w:space="0" w:color="000000"/>
              <w:right w:val="single" w:sz="12" w:space="0" w:color="000000"/>
            </w:tcBorders>
            <w:shd w:val="clear" w:color="auto" w:fill="auto"/>
            <w:vAlign w:val="center"/>
          </w:tcPr>
          <w:p w:rsidR="00F47729" w:rsidRPr="009F686C" w:rsidRDefault="00F47729" w:rsidP="00F47729">
            <w:pPr>
              <w:jc w:val="left"/>
              <w:rPr>
                <w:rFonts w:asciiTheme="minorEastAsia" w:hAnsiTheme="minorEastAsia" w:cs="Times New Roman"/>
                <w:color w:val="000000" w:themeColor="text1"/>
                <w:sz w:val="15"/>
                <w:szCs w:val="15"/>
              </w:rPr>
            </w:pPr>
          </w:p>
        </w:tc>
        <w:tc>
          <w:tcPr>
            <w:tcW w:w="448" w:type="pct"/>
            <w:vMerge/>
            <w:tcBorders>
              <w:bottom w:val="single" w:sz="12" w:space="0" w:color="000000"/>
              <w:right w:val="single" w:sz="12" w:space="0" w:color="000000"/>
            </w:tcBorders>
            <w:shd w:val="clear" w:color="auto" w:fill="auto"/>
            <w:vAlign w:val="center"/>
          </w:tcPr>
          <w:p w:rsidR="00F47729" w:rsidRPr="009F686C" w:rsidRDefault="00F47729" w:rsidP="00F47729">
            <w:pPr>
              <w:jc w:val="left"/>
              <w:rPr>
                <w:rFonts w:asciiTheme="minorEastAsia" w:hAnsiTheme="minorEastAsia" w:cs="Times New Roman"/>
                <w:color w:val="000000" w:themeColor="text1"/>
                <w:sz w:val="15"/>
                <w:szCs w:val="15"/>
              </w:rPr>
            </w:pPr>
          </w:p>
        </w:tc>
        <w:tc>
          <w:tcPr>
            <w:tcW w:w="435" w:type="pct"/>
            <w:vMerge/>
            <w:tcBorders>
              <w:bottom w:val="single" w:sz="12" w:space="0" w:color="000000"/>
              <w:right w:val="single" w:sz="12" w:space="0" w:color="000000"/>
            </w:tcBorders>
            <w:shd w:val="clear" w:color="auto" w:fill="auto"/>
            <w:vAlign w:val="center"/>
          </w:tcPr>
          <w:p w:rsidR="00F47729" w:rsidRPr="009F686C" w:rsidRDefault="00F47729" w:rsidP="00F47729">
            <w:pPr>
              <w:jc w:val="left"/>
              <w:rPr>
                <w:rFonts w:asciiTheme="minorEastAsia" w:hAnsiTheme="minorEastAsia" w:cs="Times New Roman"/>
                <w:color w:val="000000" w:themeColor="text1"/>
                <w:sz w:val="15"/>
                <w:szCs w:val="15"/>
              </w:rPr>
            </w:pPr>
          </w:p>
        </w:tc>
        <w:tc>
          <w:tcPr>
            <w:tcW w:w="447" w:type="pct"/>
            <w:vMerge/>
            <w:tcBorders>
              <w:bottom w:val="single" w:sz="12" w:space="0" w:color="000000"/>
              <w:right w:val="single" w:sz="12" w:space="0" w:color="000000"/>
            </w:tcBorders>
            <w:shd w:val="clear" w:color="auto" w:fill="auto"/>
            <w:vAlign w:val="center"/>
          </w:tcPr>
          <w:p w:rsidR="00F47729" w:rsidRPr="009F686C" w:rsidRDefault="00F47729" w:rsidP="00F47729">
            <w:pPr>
              <w:jc w:val="left"/>
              <w:rPr>
                <w:rFonts w:asciiTheme="minorEastAsia" w:hAnsiTheme="minorEastAsia" w:cs="Times New Roman"/>
                <w:color w:val="000000" w:themeColor="text1"/>
                <w:sz w:val="15"/>
                <w:szCs w:val="15"/>
              </w:rPr>
            </w:pPr>
          </w:p>
        </w:tc>
      </w:tr>
    </w:tbl>
    <w:p w:rsidR="002E5476" w:rsidRDefault="00423E71">
      <w:pPr>
        <w:autoSpaceDE w:val="0"/>
        <w:autoSpaceDN w:val="0"/>
        <w:adjustRightInd w:val="0"/>
        <w:jc w:val="left"/>
        <w:rPr>
          <w:rFonts w:ascii="Times New Roman" w:eastAsia="宋体" w:hAnsi="Times New Roman" w:cs="Times New Roman"/>
          <w:color w:val="000000" w:themeColor="text1"/>
          <w:kern w:val="0"/>
          <w:sz w:val="18"/>
          <w:szCs w:val="18"/>
        </w:rPr>
      </w:pPr>
      <w:r>
        <w:rPr>
          <w:rFonts w:ascii="Times New Roman" w:eastAsia="宋体" w:hAnsi="Times New Roman" w:cs="Times New Roman" w:hint="eastAsia"/>
          <w:color w:val="000000" w:themeColor="text1"/>
          <w:kern w:val="0"/>
          <w:sz w:val="18"/>
          <w:szCs w:val="18"/>
        </w:rPr>
        <w:t>注：超说明书使用循证医学证据参考</w:t>
      </w:r>
      <w:r>
        <w:rPr>
          <w:rFonts w:ascii="Times New Roman" w:eastAsia="宋体" w:hAnsi="Times New Roman" w:cs="Times New Roman"/>
          <w:color w:val="000000" w:themeColor="text1"/>
          <w:kern w:val="0"/>
          <w:sz w:val="18"/>
          <w:szCs w:val="18"/>
        </w:rPr>
        <w:t xml:space="preserve">Micromedex </w:t>
      </w:r>
      <w:r>
        <w:rPr>
          <w:rFonts w:ascii="Times New Roman" w:eastAsia="宋体" w:hAnsi="Times New Roman" w:cs="Times New Roman" w:hint="eastAsia"/>
          <w:color w:val="000000" w:themeColor="text1"/>
          <w:kern w:val="0"/>
          <w:sz w:val="18"/>
          <w:szCs w:val="18"/>
        </w:rPr>
        <w:t>的</w:t>
      </w:r>
      <w:r>
        <w:rPr>
          <w:rFonts w:ascii="Times New Roman" w:eastAsia="宋体" w:hAnsi="Times New Roman" w:cs="Times New Roman"/>
          <w:color w:val="000000" w:themeColor="text1"/>
          <w:kern w:val="0"/>
          <w:sz w:val="18"/>
          <w:szCs w:val="18"/>
        </w:rPr>
        <w:t>Thomason</w:t>
      </w:r>
      <w:r>
        <w:rPr>
          <w:rFonts w:ascii="Times New Roman" w:eastAsia="宋体" w:hAnsi="Times New Roman" w:cs="Times New Roman" w:hint="eastAsia"/>
          <w:color w:val="000000" w:themeColor="text1"/>
          <w:kern w:val="0"/>
          <w:sz w:val="18"/>
          <w:szCs w:val="18"/>
        </w:rPr>
        <w:t>分级。</w:t>
      </w:r>
    </w:p>
    <w:p w:rsidR="002E5476" w:rsidRDefault="00B411DC">
      <w:pPr>
        <w:autoSpaceDE w:val="0"/>
        <w:autoSpaceDN w:val="0"/>
        <w:adjustRightInd w:val="0"/>
        <w:jc w:val="left"/>
        <w:rPr>
          <w:rFonts w:ascii="Times New Roman" w:eastAsia="宋体" w:hAnsi="Times New Roman" w:cs="Times New Roman"/>
          <w:color w:val="000000" w:themeColor="text1"/>
          <w:kern w:val="0"/>
          <w:sz w:val="24"/>
          <w:szCs w:val="24"/>
        </w:rPr>
      </w:pPr>
      <w:r>
        <w:rPr>
          <w:rFonts w:ascii="Times New Roman" w:eastAsia="宋体" w:hAnsi="Times New Roman" w:cs="Times New Roman"/>
          <w:color w:val="000000" w:themeColor="text1"/>
          <w:sz w:val="24"/>
          <w:szCs w:val="24"/>
        </w:rPr>
        <w:fldChar w:fldCharType="begin"/>
      </w:r>
      <w:r w:rsidR="00423E71">
        <w:rPr>
          <w:rFonts w:ascii="Times New Roman" w:eastAsia="宋体" w:hAnsi="Times New Roman" w:cs="Times New Roman"/>
          <w:color w:val="000000" w:themeColor="text1"/>
          <w:sz w:val="24"/>
          <w:szCs w:val="24"/>
        </w:rPr>
        <w:instrText xml:space="preserve"> ADDIN NE.Bib</w:instrText>
      </w:r>
      <w:r>
        <w:rPr>
          <w:rFonts w:ascii="Times New Roman" w:eastAsia="宋体" w:hAnsi="Times New Roman" w:cs="Times New Roman"/>
          <w:color w:val="000000" w:themeColor="text1"/>
          <w:sz w:val="24"/>
          <w:szCs w:val="24"/>
        </w:rPr>
        <w:fldChar w:fldCharType="separate"/>
      </w:r>
    </w:p>
    <w:p w:rsidR="002E5476" w:rsidRDefault="00423E71">
      <w:pPr>
        <w:autoSpaceDE w:val="0"/>
        <w:autoSpaceDN w:val="0"/>
        <w:adjustRightInd w:val="0"/>
        <w:jc w:val="left"/>
        <w:rPr>
          <w:rFonts w:ascii="Times New Roman" w:eastAsia="宋体" w:hAnsi="Times New Roman" w:cs="Times New Roman"/>
          <w:b/>
          <w:bCs/>
          <w:color w:val="000000" w:themeColor="text1"/>
          <w:kern w:val="0"/>
          <w:sz w:val="24"/>
          <w:szCs w:val="24"/>
        </w:rPr>
      </w:pPr>
      <w:bookmarkStart w:id="40" w:name="_Toc1893718094_WPSOffice_Level1"/>
      <w:r>
        <w:rPr>
          <w:rFonts w:ascii="Times New Roman" w:eastAsia="宋体" w:hAnsi="Times New Roman" w:cs="Times New Roman" w:hint="eastAsia"/>
          <w:b/>
          <w:bCs/>
          <w:color w:val="000000" w:themeColor="text1"/>
          <w:kern w:val="0"/>
          <w:sz w:val="24"/>
          <w:szCs w:val="24"/>
        </w:rPr>
        <w:t xml:space="preserve">7. </w:t>
      </w:r>
      <w:r>
        <w:rPr>
          <w:rFonts w:ascii="Times New Roman" w:eastAsia="宋体" w:hAnsi="Times New Roman" w:cs="Times New Roman" w:hint="eastAsia"/>
          <w:b/>
          <w:bCs/>
          <w:color w:val="000000" w:themeColor="text1"/>
          <w:kern w:val="0"/>
          <w:sz w:val="24"/>
          <w:szCs w:val="24"/>
        </w:rPr>
        <w:t>参考文献</w:t>
      </w:r>
      <w:bookmarkEnd w:id="40"/>
      <w:r>
        <w:rPr>
          <w:rFonts w:ascii="Times New Roman" w:eastAsia="宋体" w:hAnsi="Times New Roman" w:cs="Times New Roman" w:hint="eastAsia"/>
          <w:b/>
          <w:bCs/>
          <w:color w:val="000000" w:themeColor="text1"/>
          <w:kern w:val="0"/>
          <w:sz w:val="24"/>
          <w:szCs w:val="24"/>
        </w:rPr>
        <w:t>：</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[1]</w:t>
      </w:r>
      <w:r>
        <w:rPr>
          <w:rFonts w:ascii="Times New Roman" w:eastAsia="宋体" w:hAnsi="Times New Roman" w:cs="Times New Roman"/>
          <w:color w:val="000000" w:themeColor="text1"/>
          <w:kern w:val="0"/>
          <w:sz w:val="20"/>
          <w:szCs w:val="20"/>
        </w:rPr>
        <w:tab/>
        <w:t>Jha V, Garcia-Garcia G, Iseki K, et al. Chronic kidney disease: global dimension and perspectives[J]. Lancet, 2013, 382(9888): 260-272. DOI: 10.1016/S0140-6736(13)60687-X.</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[2]</w:t>
      </w:r>
      <w:r>
        <w:rPr>
          <w:rFonts w:ascii="Times New Roman" w:eastAsia="宋体" w:hAnsi="Times New Roman" w:cs="Times New Roman"/>
          <w:color w:val="000000" w:themeColor="text1"/>
          <w:kern w:val="0"/>
          <w:sz w:val="20"/>
          <w:szCs w:val="20"/>
        </w:rPr>
        <w:tab/>
        <w:t>Zhang L, Wang F, Wang L, et al. Prevalence of chronic kidney disease in China: a cross-sectional survey[J]. Lancet, 2012, 379(9818): 815-822. DOI: 10.1016/S0140-6736(12)60033-6.</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[3]</w:t>
      </w:r>
      <w:r>
        <w:rPr>
          <w:rFonts w:ascii="Times New Roman" w:eastAsia="宋体" w:hAnsi="Times New Roman" w:cs="Times New Roman" w:hint="eastAsia"/>
          <w:color w:val="000000" w:themeColor="text1"/>
          <w:kern w:val="0"/>
          <w:sz w:val="20"/>
          <w:szCs w:val="20"/>
        </w:rPr>
        <w:t>孙宁玲</w:t>
      </w:r>
      <w:r>
        <w:rPr>
          <w:rFonts w:ascii="Times New Roman" w:eastAsia="宋体" w:hAnsi="Times New Roman" w:cs="Times New Roman"/>
          <w:color w:val="000000" w:themeColor="text1"/>
          <w:kern w:val="0"/>
          <w:sz w:val="20"/>
          <w:szCs w:val="20"/>
        </w:rPr>
        <w:t xml:space="preserve">. </w:t>
      </w:r>
      <w:r>
        <w:rPr>
          <w:rFonts w:ascii="Times New Roman" w:eastAsia="宋体" w:hAnsi="Times New Roman" w:cs="Times New Roman" w:hint="eastAsia"/>
          <w:color w:val="000000" w:themeColor="text1"/>
          <w:kern w:val="0"/>
          <w:sz w:val="20"/>
          <w:szCs w:val="20"/>
        </w:rPr>
        <w:t>中国高血压防治现状</w:t>
      </w:r>
      <w:r>
        <w:rPr>
          <w:rFonts w:ascii="Times New Roman" w:eastAsia="宋体" w:hAnsi="Times New Roman" w:cs="Times New Roman"/>
          <w:color w:val="000000" w:themeColor="text1"/>
          <w:kern w:val="0"/>
          <w:sz w:val="20"/>
          <w:szCs w:val="20"/>
        </w:rPr>
        <w:t xml:space="preserve">[M]. </w:t>
      </w:r>
      <w:r>
        <w:rPr>
          <w:rFonts w:ascii="Times New Roman" w:eastAsia="宋体" w:hAnsi="Times New Roman" w:cs="Times New Roman" w:hint="eastAsia"/>
          <w:color w:val="000000" w:themeColor="text1"/>
          <w:kern w:val="0"/>
          <w:sz w:val="20"/>
          <w:szCs w:val="20"/>
        </w:rPr>
        <w:t>北京</w:t>
      </w:r>
      <w:r>
        <w:rPr>
          <w:rFonts w:ascii="Times New Roman" w:eastAsia="宋体" w:hAnsi="Times New Roman" w:cs="Times New Roman"/>
          <w:color w:val="000000" w:themeColor="text1"/>
          <w:kern w:val="0"/>
          <w:sz w:val="20"/>
          <w:szCs w:val="20"/>
        </w:rPr>
        <w:t xml:space="preserve">: </w:t>
      </w:r>
      <w:r>
        <w:rPr>
          <w:rFonts w:ascii="Times New Roman" w:eastAsia="宋体" w:hAnsi="Times New Roman" w:cs="Times New Roman" w:hint="eastAsia"/>
          <w:color w:val="000000" w:themeColor="text1"/>
          <w:kern w:val="0"/>
          <w:sz w:val="20"/>
          <w:szCs w:val="20"/>
        </w:rPr>
        <w:t>人民卫生出版社</w:t>
      </w:r>
      <w:r>
        <w:rPr>
          <w:rFonts w:ascii="Times New Roman" w:eastAsia="宋体" w:hAnsi="Times New Roman" w:cs="Times New Roman"/>
          <w:color w:val="000000" w:themeColor="text1"/>
          <w:kern w:val="0"/>
          <w:sz w:val="20"/>
          <w:szCs w:val="20"/>
        </w:rPr>
        <w:t>, 2018.</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[4]</w:t>
      </w:r>
      <w:r>
        <w:rPr>
          <w:rFonts w:ascii="Times New Roman" w:eastAsia="宋体" w:hAnsi="Times New Roman" w:cs="Times New Roman"/>
          <w:color w:val="000000" w:themeColor="text1"/>
          <w:kern w:val="0"/>
          <w:sz w:val="20"/>
          <w:szCs w:val="20"/>
        </w:rPr>
        <w:tab/>
        <w:t>Yan Z, Wang Y, Li S, et al. Hypertension control in adults with CKD in China: baseline results from the Chinese Cohort Study of Chronic Kidney Disease (C-STRIDE)[J]. Am J Hypertens, 2018, 31(4): 486-494. DOI: 10.1093/ajh/hpx222.</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[5]</w:t>
      </w:r>
      <w:r>
        <w:rPr>
          <w:rFonts w:ascii="Times New Roman" w:eastAsia="宋体" w:hAnsi="Times New Roman" w:cs="Times New Roman"/>
          <w:color w:val="000000" w:themeColor="text1"/>
          <w:kern w:val="0"/>
          <w:sz w:val="20"/>
          <w:szCs w:val="20"/>
        </w:rPr>
        <w:tab/>
        <w:t>Muntner P, Anderson A, Charleston J, et al. Hypertension awareness, treatment, and control in adults with CKD: results from the Chronic Renal Insufficiency Cohort (CRIC) Study[J]. Am J Kidney Dis, 2010, 55(3): 441-451. DOI: 10.1053/j.ajkd.2009.09.014.</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[6]</w:t>
      </w:r>
      <w:r>
        <w:rPr>
          <w:rFonts w:ascii="Times New Roman" w:eastAsia="宋体" w:hAnsi="Times New Roman" w:cs="Times New Roman"/>
          <w:color w:val="000000" w:themeColor="text1"/>
          <w:kern w:val="0"/>
          <w:sz w:val="20"/>
          <w:szCs w:val="20"/>
        </w:rPr>
        <w:tab/>
      </w:r>
      <w:r>
        <w:rPr>
          <w:rFonts w:ascii="Times New Roman" w:eastAsia="宋体" w:hAnsi="Times New Roman" w:cs="Times New Roman" w:hint="eastAsia"/>
          <w:color w:val="000000" w:themeColor="text1"/>
          <w:kern w:val="0"/>
          <w:sz w:val="20"/>
          <w:szCs w:val="20"/>
        </w:rPr>
        <w:t>蒋潇</w:t>
      </w:r>
      <w:r>
        <w:rPr>
          <w:rFonts w:ascii="Times New Roman" w:eastAsia="宋体" w:hAnsi="Times New Roman" w:cs="Times New Roman"/>
          <w:color w:val="000000" w:themeColor="text1"/>
          <w:kern w:val="0"/>
          <w:sz w:val="20"/>
          <w:szCs w:val="20"/>
        </w:rPr>
        <w:t xml:space="preserve">, </w:t>
      </w:r>
      <w:r>
        <w:rPr>
          <w:rFonts w:ascii="Times New Roman" w:eastAsia="宋体" w:hAnsi="Times New Roman" w:cs="Times New Roman" w:hint="eastAsia"/>
          <w:color w:val="000000" w:themeColor="text1"/>
          <w:kern w:val="0"/>
          <w:sz w:val="20"/>
          <w:szCs w:val="20"/>
        </w:rPr>
        <w:t>陈楠</w:t>
      </w:r>
      <w:r>
        <w:rPr>
          <w:rFonts w:ascii="Times New Roman" w:eastAsia="宋体" w:hAnsi="Times New Roman" w:cs="Times New Roman"/>
          <w:color w:val="000000" w:themeColor="text1"/>
          <w:kern w:val="0"/>
          <w:sz w:val="20"/>
          <w:szCs w:val="20"/>
        </w:rPr>
        <w:t xml:space="preserve">. </w:t>
      </w:r>
      <w:r>
        <w:rPr>
          <w:rFonts w:ascii="Times New Roman" w:eastAsia="宋体" w:hAnsi="Times New Roman" w:cs="Times New Roman" w:hint="eastAsia"/>
          <w:color w:val="000000" w:themeColor="text1"/>
          <w:kern w:val="0"/>
          <w:sz w:val="20"/>
          <w:szCs w:val="20"/>
        </w:rPr>
        <w:t>慢性肾脏病高血压诊治</w:t>
      </w:r>
      <w:r>
        <w:rPr>
          <w:rFonts w:ascii="Times New Roman" w:eastAsia="宋体" w:hAnsi="Times New Roman" w:cs="Times New Roman"/>
          <w:color w:val="000000" w:themeColor="text1"/>
          <w:kern w:val="0"/>
          <w:sz w:val="20"/>
          <w:szCs w:val="20"/>
        </w:rPr>
        <w:t>:</w:t>
      </w:r>
      <w:r>
        <w:rPr>
          <w:rFonts w:ascii="Times New Roman" w:eastAsia="宋体" w:hAnsi="Times New Roman" w:cs="Times New Roman" w:hint="eastAsia"/>
          <w:color w:val="000000" w:themeColor="text1"/>
          <w:kern w:val="0"/>
          <w:sz w:val="20"/>
          <w:szCs w:val="20"/>
        </w:rPr>
        <w:t>指南和争议</w:t>
      </w:r>
      <w:r>
        <w:rPr>
          <w:rFonts w:ascii="Times New Roman" w:eastAsia="宋体" w:hAnsi="Times New Roman" w:cs="Times New Roman"/>
          <w:color w:val="000000" w:themeColor="text1"/>
          <w:kern w:val="0"/>
          <w:sz w:val="20"/>
          <w:szCs w:val="20"/>
        </w:rPr>
        <w:t xml:space="preserve">[J]. </w:t>
      </w:r>
      <w:r>
        <w:rPr>
          <w:rFonts w:ascii="Times New Roman" w:eastAsia="宋体" w:hAnsi="Times New Roman" w:cs="Times New Roman" w:hint="eastAsia"/>
          <w:color w:val="000000" w:themeColor="text1"/>
          <w:kern w:val="0"/>
          <w:sz w:val="20"/>
          <w:szCs w:val="20"/>
        </w:rPr>
        <w:t>中国实用内科杂志</w:t>
      </w:r>
      <w:r>
        <w:rPr>
          <w:rFonts w:ascii="Times New Roman" w:eastAsia="宋体" w:hAnsi="Times New Roman" w:cs="Times New Roman"/>
          <w:color w:val="000000" w:themeColor="text1"/>
          <w:kern w:val="0"/>
          <w:sz w:val="20"/>
          <w:szCs w:val="20"/>
        </w:rPr>
        <w:t>, 2014, 34(6): 572-575. DOI: 10.7504/nk2014050301.</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[7]</w:t>
      </w:r>
      <w:r>
        <w:rPr>
          <w:rFonts w:ascii="Times New Roman" w:eastAsia="宋体" w:hAnsi="Times New Roman" w:cs="Times New Roman"/>
          <w:color w:val="000000" w:themeColor="text1"/>
          <w:kern w:val="0"/>
          <w:sz w:val="20"/>
          <w:szCs w:val="20"/>
        </w:rPr>
        <w:tab/>
        <w:t>Chang AR, L</w:t>
      </w:r>
      <w:r>
        <w:rPr>
          <w:rFonts w:ascii="Times New Roman" w:eastAsia="宋体" w:hAnsi="Times New Roman" w:cs="Times New Roman" w:hint="eastAsia"/>
          <w:color w:val="000000" w:themeColor="text1"/>
          <w:kern w:val="0"/>
          <w:sz w:val="20"/>
          <w:szCs w:val="20"/>
        </w:rPr>
        <w:t>ó</w:t>
      </w:r>
      <w:r>
        <w:rPr>
          <w:rFonts w:ascii="Times New Roman" w:eastAsia="宋体" w:hAnsi="Times New Roman" w:cs="Times New Roman"/>
          <w:color w:val="000000" w:themeColor="text1"/>
          <w:kern w:val="0"/>
          <w:sz w:val="20"/>
          <w:szCs w:val="20"/>
        </w:rPr>
        <w:t>ser M, Malhotra R, et al. Blood pressure goals in patients with CKD: A review of evidence and guidelines[J]. Clin J Am Soc Nephrol, 2019, 14(1): 161-169. DOI: 10.2215/CJN.07440618.</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lastRenderedPageBreak/>
        <w:t>[8] Kidney Disease: Improving Global Outcomes (KDIGO) Blood Pressure Work Group. Kidney disease: Improving global outcomes (KDIGO) blood pressure work group. KDIGO clinical practice guideline for the management of blood pressure in chronic kidney disease[J]. Kidney Int Suppl, 2012, 2: 337-414.</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[9]</w:t>
      </w:r>
      <w:r>
        <w:rPr>
          <w:rFonts w:ascii="Times New Roman" w:eastAsia="宋体" w:hAnsi="Times New Roman" w:cs="Times New Roman"/>
          <w:color w:val="000000" w:themeColor="text1"/>
          <w:kern w:val="0"/>
          <w:sz w:val="20"/>
          <w:szCs w:val="20"/>
        </w:rPr>
        <w:tab/>
        <w:t>James PA, Oparil S, Carter BL, et al. 2014 evidence-based guideline for the management of high blood pressure in adults: report from the panel members appointed to the Eighth Joint National Committee (JNC 8)[J]. JAMA, 2014, 311(5): 507-520. DOI: 10.1001/jama.2013.284427.</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[10]</w:t>
      </w:r>
      <w:r>
        <w:rPr>
          <w:rFonts w:ascii="Times New Roman" w:eastAsia="宋体" w:hAnsi="Times New Roman" w:cs="Times New Roman"/>
          <w:color w:val="000000" w:themeColor="text1"/>
          <w:kern w:val="0"/>
          <w:sz w:val="20"/>
          <w:szCs w:val="20"/>
        </w:rPr>
        <w:tab/>
        <w:t>Whelton PK, Carey RM, Aronow WS, et al. 2017 ACC/AHA/AAPA/ABC/ACPM/AGS/APhA/ASH/ASPC/NMA/PCNA Guideline for the Prevention, Detection, Evaluation, and Management of High Blood Pressure in Adults: Executive Summary: A Report of the American College of Cardiology/American Heart Association Task Force on Clinical Practice Guidelines[J]. Circulation, 2018, 138(17): e426-e483. DOI: 10.1161/CIR.0000000000000597.</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[11]</w:t>
      </w:r>
      <w:r>
        <w:rPr>
          <w:rFonts w:ascii="Times New Roman" w:eastAsia="宋体" w:hAnsi="Times New Roman" w:cs="Times New Roman"/>
          <w:color w:val="000000" w:themeColor="text1"/>
          <w:kern w:val="0"/>
          <w:sz w:val="20"/>
          <w:szCs w:val="20"/>
        </w:rPr>
        <w:tab/>
        <w:t>Williams B, Mancia G, Spiering W, et al. 2018 ESC/ESH Guidelines for the management of arterial hypertension: The Task Force for the management of arterial hypertension of the European Society of Cardiology and the European Society of Hypertension: The Task Force for the management of arterial hypertension of the European Society of Cardiology and the European Society of Hypertension[J]. J Hypertens, 2018, 36(10): 1953-2041. DOI: 10.1097/HJH.0000000000001940.</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[12]</w:t>
      </w:r>
      <w:r>
        <w:rPr>
          <w:rFonts w:ascii="Times New Roman" w:eastAsia="宋体" w:hAnsi="Times New Roman" w:cs="Times New Roman"/>
          <w:color w:val="000000" w:themeColor="text1"/>
          <w:kern w:val="0"/>
          <w:sz w:val="20"/>
          <w:szCs w:val="20"/>
        </w:rPr>
        <w:tab/>
      </w:r>
      <w:r>
        <w:rPr>
          <w:rFonts w:ascii="Times New Roman" w:eastAsia="宋体" w:hAnsi="Times New Roman" w:cs="Times New Roman" w:hint="eastAsia"/>
          <w:color w:val="000000" w:themeColor="text1"/>
          <w:kern w:val="0"/>
          <w:sz w:val="20"/>
          <w:szCs w:val="20"/>
        </w:rPr>
        <w:t>《中国高血压防治指南》修订委员会</w:t>
      </w:r>
      <w:r>
        <w:rPr>
          <w:rFonts w:ascii="Times New Roman" w:eastAsia="宋体" w:hAnsi="Times New Roman" w:cs="Times New Roman"/>
          <w:color w:val="000000" w:themeColor="text1"/>
          <w:kern w:val="0"/>
          <w:sz w:val="20"/>
          <w:szCs w:val="20"/>
        </w:rPr>
        <w:t xml:space="preserve">. </w:t>
      </w:r>
      <w:r>
        <w:rPr>
          <w:rFonts w:ascii="Times New Roman" w:eastAsia="宋体" w:hAnsi="Times New Roman" w:cs="Times New Roman" w:hint="eastAsia"/>
          <w:color w:val="000000" w:themeColor="text1"/>
          <w:kern w:val="0"/>
          <w:sz w:val="20"/>
          <w:szCs w:val="20"/>
        </w:rPr>
        <w:t>中国高血压防治指南</w:t>
      </w:r>
      <w:r>
        <w:rPr>
          <w:rFonts w:ascii="Times New Roman" w:eastAsia="宋体" w:hAnsi="Times New Roman" w:cs="Times New Roman"/>
          <w:color w:val="000000" w:themeColor="text1"/>
          <w:kern w:val="0"/>
          <w:sz w:val="20"/>
          <w:szCs w:val="20"/>
        </w:rPr>
        <w:t>2018</w:t>
      </w:r>
      <w:r>
        <w:rPr>
          <w:rFonts w:ascii="Times New Roman" w:eastAsia="宋体" w:hAnsi="Times New Roman" w:cs="Times New Roman" w:hint="eastAsia"/>
          <w:color w:val="000000" w:themeColor="text1"/>
          <w:kern w:val="0"/>
          <w:sz w:val="20"/>
          <w:szCs w:val="20"/>
        </w:rPr>
        <w:t>年修订版</w:t>
      </w:r>
      <w:r>
        <w:rPr>
          <w:rFonts w:ascii="Times New Roman" w:eastAsia="宋体" w:hAnsi="Times New Roman" w:cs="Times New Roman"/>
          <w:color w:val="000000" w:themeColor="text1"/>
          <w:kern w:val="0"/>
          <w:sz w:val="20"/>
          <w:szCs w:val="20"/>
        </w:rPr>
        <w:t xml:space="preserve">[J]. </w:t>
      </w:r>
      <w:r>
        <w:rPr>
          <w:rFonts w:ascii="Times New Roman" w:eastAsia="宋体" w:hAnsi="Times New Roman" w:cs="Times New Roman" w:hint="eastAsia"/>
          <w:color w:val="000000" w:themeColor="text1"/>
          <w:kern w:val="0"/>
          <w:sz w:val="20"/>
          <w:szCs w:val="20"/>
        </w:rPr>
        <w:t>心脑血管病防治</w:t>
      </w:r>
      <w:r>
        <w:rPr>
          <w:rFonts w:ascii="Times New Roman" w:eastAsia="宋体" w:hAnsi="Times New Roman" w:cs="Times New Roman"/>
          <w:color w:val="000000" w:themeColor="text1"/>
          <w:kern w:val="0"/>
          <w:sz w:val="20"/>
          <w:szCs w:val="20"/>
        </w:rPr>
        <w:t>, 2019, 19(1): 1-44. DOI: 10.3969/j.issn.1009-816X.2019.01.001.</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[13]</w:t>
      </w:r>
      <w:r>
        <w:rPr>
          <w:rFonts w:ascii="Times New Roman" w:eastAsia="宋体" w:hAnsi="Times New Roman" w:cs="Times New Roman"/>
          <w:color w:val="000000" w:themeColor="text1"/>
          <w:kern w:val="0"/>
          <w:sz w:val="20"/>
          <w:szCs w:val="20"/>
        </w:rPr>
        <w:tab/>
        <w:t>Umemura S, Arima H, Arima S, et al. The Japanese Society of Hypertension Guidelines for the Management of Hypertension (JSH 2019)[J]. Hypertens Res, 2019, 42(9): 1235-1481. DOI: 10.1038/s41440-019-0284-9.</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[14]</w:t>
      </w:r>
      <w:r>
        <w:rPr>
          <w:rFonts w:ascii="Times New Roman" w:eastAsia="宋体" w:hAnsi="Times New Roman" w:cs="Times New Roman"/>
          <w:color w:val="000000" w:themeColor="text1"/>
          <w:kern w:val="0"/>
          <w:sz w:val="20"/>
          <w:szCs w:val="20"/>
        </w:rPr>
        <w:tab/>
        <w:t>Unger T, Borghi C, Charchar F, et al. 2020 International Society of Hypertension global hypertension practice guidelines[J]. J Hypertens, 2020, 38(6): 982-1004. DOI: 10.1097/HJH.0000000000002453.</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[15] Kidney Disease: Improving Global Outcomes (KDIGO) Blood Pressure Work Group. KDIGO 2021 Clinical Practice Guideline for the Management of Blood Pressure in Chronic Kidney Disease[J]. Kidney Int, 2021, 99(3S): S1-S87. DOI: 10.1016/j.kint.2020.11.003.</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[16]</w:t>
      </w:r>
      <w:r>
        <w:rPr>
          <w:rFonts w:ascii="Times New Roman" w:eastAsia="宋体" w:hAnsi="Times New Roman" w:cs="Times New Roman"/>
          <w:color w:val="000000" w:themeColor="text1"/>
          <w:kern w:val="0"/>
          <w:sz w:val="20"/>
          <w:szCs w:val="20"/>
        </w:rPr>
        <w:tab/>
        <w:t>SPRINT Research Group, Wright JT Jr, Williamson JD, et al. A randomized trial of intensive versus standard blood-pressure control[J]. N Engl J Med, 2015, 373(22): 2103-2116. DOI: 10.1056/NEJMoa1511939.</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[17]</w:t>
      </w:r>
      <w:r>
        <w:rPr>
          <w:rFonts w:ascii="Times New Roman" w:eastAsia="宋体" w:hAnsi="Times New Roman" w:cs="Times New Roman"/>
          <w:color w:val="000000" w:themeColor="text1"/>
          <w:kern w:val="0"/>
          <w:sz w:val="20"/>
          <w:szCs w:val="20"/>
        </w:rPr>
        <w:tab/>
        <w:t>Cheung AK, Rahman M, Reboussin DM, et al. Effects of intensive BP control in CKD[J]. J Am Soc Nephrol, 2017, 28(9): 2812-2823. DOI: 10.1681/ASN.2017020148.</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[18]</w:t>
      </w:r>
      <w:r>
        <w:rPr>
          <w:rFonts w:ascii="Times New Roman" w:eastAsia="宋体" w:hAnsi="Times New Roman" w:cs="Times New Roman"/>
          <w:color w:val="000000" w:themeColor="text1"/>
          <w:kern w:val="0"/>
          <w:sz w:val="20"/>
          <w:szCs w:val="20"/>
        </w:rPr>
        <w:tab/>
        <w:t>Li Y, Liang M, Jiang C, et al. Impact of achieved blood pressure on renal function decline and first stroke in hypertensive patients with chronic kidney disease[J]. Nephrol Dial Transplant, 2018, 33(3): 409-417. DOI: 10.1093/ndt/gfx267.</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[19]</w:t>
      </w:r>
      <w:r>
        <w:rPr>
          <w:rFonts w:ascii="Times New Roman" w:eastAsia="宋体" w:hAnsi="Times New Roman" w:cs="Times New Roman"/>
          <w:color w:val="000000" w:themeColor="text1"/>
          <w:kern w:val="0"/>
          <w:sz w:val="20"/>
          <w:szCs w:val="20"/>
        </w:rPr>
        <w:tab/>
      </w:r>
      <w:hyperlink r:id="rId9" w:history="1">
        <w:r>
          <w:rPr>
            <w:rFonts w:ascii="Times New Roman" w:eastAsia="宋体" w:hAnsi="Times New Roman" w:cs="Times New Roman"/>
            <w:color w:val="000000" w:themeColor="text1"/>
            <w:kern w:val="0"/>
            <w:sz w:val="20"/>
            <w:szCs w:val="20"/>
            <w:shd w:val="clear" w:color="auto" w:fill="FFFFFF"/>
          </w:rPr>
          <w:t>ALLHAT Officers and Coordinators for the ALLHAT Collaborative Research Group. The Antihypertensive and Lipid-Lowering Treatment to Prevent Heart Attack Trial</w:t>
        </w:r>
      </w:hyperlink>
      <w:r>
        <w:rPr>
          <w:rFonts w:ascii="Times New Roman" w:eastAsia="宋体" w:hAnsi="Times New Roman" w:cs="Times New Roman"/>
          <w:color w:val="000000" w:themeColor="text1"/>
          <w:kern w:val="0"/>
          <w:sz w:val="20"/>
          <w:szCs w:val="20"/>
        </w:rPr>
        <w:t>. Major outcomes in high-risk hypertensive patients randomized to angiotensin-converting enzyme inhibitor or calcium channel blocker vs diuretic: The Antihypertensive and Lipid-Lowering Treatment to Prevent Heart Attack Trial (ALLHAT)[J]. JAMA, 2002, 288(23): 2981-2997. DOI: 10.1001/jama.288.23.2981.</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[20]</w:t>
      </w:r>
      <w:r>
        <w:rPr>
          <w:rFonts w:ascii="Times New Roman" w:eastAsia="宋体" w:hAnsi="Times New Roman" w:cs="Times New Roman"/>
          <w:color w:val="000000" w:themeColor="text1"/>
          <w:kern w:val="0"/>
          <w:sz w:val="20"/>
          <w:szCs w:val="20"/>
        </w:rPr>
        <w:tab/>
        <w:t>Leenen FH, Nwachuku CE, Black HR, et al. Clinical events in high-risk hypertensive patients randomly assigned to calcium channel blocker versus angiotensin-converting enzyme inhibitor in the antihypertensive and lipid-lowering treatment to prevent heart attack trial[J]. Hypertension, 2006, 48(3): 374-384. DOI: 10.1161/01.HYP.0000231662.77359.de.</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 xml:space="preserve">[21] ONTARGET Investigators, Yusuf S, Teo KK, et al. Telmisartan, ramipril, or both in patients at high risk for vascular events[J]. N Engl J Med, 2008, 358(15): 1547-1559. DOI: 10.1056/NEJMoa0801317. </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[22]</w:t>
      </w:r>
      <w:r>
        <w:rPr>
          <w:rFonts w:ascii="Times New Roman" w:eastAsia="宋体" w:hAnsi="Times New Roman" w:cs="Times New Roman"/>
          <w:color w:val="000000" w:themeColor="text1"/>
          <w:kern w:val="0"/>
          <w:sz w:val="20"/>
          <w:szCs w:val="20"/>
        </w:rPr>
        <w:tab/>
        <w:t>Levin NW, Kotanko P, Eckardt KU, et al. Blood pressure in chronic kidney disease stage 5D-report from a Kidney Disease: Improving Global Outcomes controversies conference[J]. Kidney Int, 2010, 77(4): 273-284. DOI: 10.1038/ki.2009.469.</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[23]</w:t>
      </w:r>
      <w:r>
        <w:rPr>
          <w:rFonts w:ascii="Times New Roman" w:eastAsia="宋体" w:hAnsi="Times New Roman" w:cs="Times New Roman"/>
          <w:color w:val="000000" w:themeColor="text1"/>
          <w:kern w:val="0"/>
          <w:sz w:val="20"/>
          <w:szCs w:val="20"/>
        </w:rPr>
        <w:tab/>
      </w:r>
      <w:r>
        <w:rPr>
          <w:rFonts w:ascii="Times New Roman" w:eastAsia="宋体" w:hAnsi="Times New Roman" w:cs="Times New Roman" w:hint="eastAsia"/>
          <w:color w:val="000000" w:themeColor="text1"/>
          <w:kern w:val="0"/>
          <w:sz w:val="20"/>
          <w:szCs w:val="20"/>
        </w:rPr>
        <w:t>王海燕</w:t>
      </w:r>
      <w:r>
        <w:rPr>
          <w:rFonts w:ascii="Times New Roman" w:eastAsia="宋体" w:hAnsi="Times New Roman" w:cs="Times New Roman"/>
          <w:color w:val="000000" w:themeColor="text1"/>
          <w:kern w:val="0"/>
          <w:sz w:val="20"/>
          <w:szCs w:val="20"/>
        </w:rPr>
        <w:t xml:space="preserve">. </w:t>
      </w:r>
      <w:r>
        <w:rPr>
          <w:rFonts w:ascii="Times New Roman" w:eastAsia="宋体" w:hAnsi="Times New Roman" w:cs="Times New Roman" w:hint="eastAsia"/>
          <w:color w:val="000000" w:themeColor="text1"/>
          <w:kern w:val="0"/>
          <w:sz w:val="20"/>
          <w:szCs w:val="20"/>
        </w:rPr>
        <w:t>肾脏病临床概览</w:t>
      </w:r>
      <w:r>
        <w:rPr>
          <w:rFonts w:ascii="Times New Roman" w:eastAsia="宋体" w:hAnsi="Times New Roman" w:cs="Times New Roman"/>
          <w:color w:val="000000" w:themeColor="text1"/>
          <w:kern w:val="0"/>
          <w:sz w:val="20"/>
          <w:szCs w:val="20"/>
        </w:rPr>
        <w:t xml:space="preserve">[M]. </w:t>
      </w:r>
      <w:r>
        <w:rPr>
          <w:rFonts w:ascii="Times New Roman" w:eastAsia="宋体" w:hAnsi="Times New Roman" w:cs="Times New Roman" w:hint="eastAsia"/>
          <w:color w:val="000000" w:themeColor="text1"/>
          <w:kern w:val="0"/>
          <w:sz w:val="20"/>
          <w:szCs w:val="20"/>
        </w:rPr>
        <w:t>北京</w:t>
      </w:r>
      <w:r>
        <w:rPr>
          <w:rFonts w:ascii="Times New Roman" w:eastAsia="宋体" w:hAnsi="Times New Roman" w:cs="Times New Roman"/>
          <w:color w:val="000000" w:themeColor="text1"/>
          <w:kern w:val="0"/>
          <w:sz w:val="20"/>
          <w:szCs w:val="20"/>
        </w:rPr>
        <w:t xml:space="preserve">: </w:t>
      </w:r>
      <w:r>
        <w:rPr>
          <w:rFonts w:ascii="Times New Roman" w:eastAsia="宋体" w:hAnsi="Times New Roman" w:cs="Times New Roman" w:hint="eastAsia"/>
          <w:color w:val="000000" w:themeColor="text1"/>
          <w:kern w:val="0"/>
          <w:sz w:val="20"/>
          <w:szCs w:val="20"/>
        </w:rPr>
        <w:t>北京大学医学出版社</w:t>
      </w:r>
      <w:r>
        <w:rPr>
          <w:rFonts w:ascii="Times New Roman" w:eastAsia="宋体" w:hAnsi="Times New Roman" w:cs="Times New Roman"/>
          <w:color w:val="000000" w:themeColor="text1"/>
          <w:kern w:val="0"/>
          <w:sz w:val="20"/>
          <w:szCs w:val="20"/>
        </w:rPr>
        <w:t>, 2010.</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[24]Hörl MP, Hörl WH. Drug therapy for hypertension in hemodialysis patients[J]. Semin Dial, 2004, 17(4): 288-294. DOI: 10.1111/j.0894-0959.2004.17329.x.</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[25]</w:t>
      </w:r>
      <w:r>
        <w:rPr>
          <w:rFonts w:ascii="Times New Roman" w:eastAsia="宋体" w:hAnsi="Times New Roman" w:cs="Times New Roman"/>
          <w:color w:val="000000" w:themeColor="text1"/>
          <w:kern w:val="0"/>
          <w:sz w:val="20"/>
          <w:szCs w:val="20"/>
        </w:rPr>
        <w:tab/>
        <w:t xml:space="preserve">Hayashi SY, Seeberger A, Lind B, et al. Acute effects of low and high intravenous doses of furosemide on myocardial function in anuric haemodialysis patients: a tissue Doppler study[J]. Nephrol Dial Transplant, 2008, 23(4): 1355-1361. DOI: </w:t>
      </w:r>
      <w:r>
        <w:rPr>
          <w:rFonts w:ascii="Times New Roman" w:eastAsia="宋体" w:hAnsi="Times New Roman" w:cs="Times New Roman"/>
          <w:color w:val="000000" w:themeColor="text1"/>
          <w:kern w:val="0"/>
          <w:sz w:val="20"/>
          <w:szCs w:val="20"/>
        </w:rPr>
        <w:lastRenderedPageBreak/>
        <w:t>10.1093/ndt/gfm805.</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[26]</w:t>
      </w:r>
      <w:r>
        <w:rPr>
          <w:rFonts w:ascii="Times New Roman" w:eastAsia="宋体" w:hAnsi="Times New Roman" w:cs="Times New Roman"/>
          <w:color w:val="000000" w:themeColor="text1"/>
          <w:kern w:val="0"/>
          <w:sz w:val="20"/>
          <w:szCs w:val="20"/>
        </w:rPr>
        <w:tab/>
        <w:t>Agarwal R, Flynn J, Pogue V, et al. Assessment and management of hypertension in patients on dialysis[J]. J Am Soc Nephrol, 2014, 25(8): 1630-1646. DOI: 10.1681/ASN.2013060601.</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[27] Oxlund CS, Henriksen JE, Tarnow L, et al. Low dose spironolactone reduces blood pressure in patients with resistant hypertension and type 2 diabetes mellitus: a double blind randomized clinical trial[J]. J Hypertens, 2013, 31(10): 2094-2102. DOI: 10.1097/HJH.0b013e3283638b1a.</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[28]Williams B, MacDonald TM, Morant S, et al. Spironolactone versus placebo, bisoprolol, and doxazosin to determine the optimal treatment for drug-resistant hypertension (PATHWAY-2): a randomised, double-blind, crossover trial[J]. Lancet, 2015, 386(10008): 2059-2068. DOI: 10.1016/S0140-6736(15)00257-3.</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[29]</w:t>
      </w:r>
      <w:r>
        <w:rPr>
          <w:rFonts w:ascii="Times New Roman" w:eastAsia="宋体" w:hAnsi="Times New Roman" w:cs="Times New Roman"/>
          <w:color w:val="000000" w:themeColor="text1"/>
          <w:kern w:val="0"/>
          <w:sz w:val="20"/>
          <w:szCs w:val="20"/>
        </w:rPr>
        <w:tab/>
        <w:t>Dhaybi OA, Bakris G. Mineralocorticoid antagonists in chronic kidney disease[J]. Curr Opin Nephrol Hypertens, 2017, 26(1): 50-55. DOI: 10.1097/MNH.0000000000000290.</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[30]</w:t>
      </w:r>
      <w:r>
        <w:rPr>
          <w:rFonts w:ascii="Times New Roman" w:eastAsia="宋体" w:hAnsi="Times New Roman" w:cs="Times New Roman"/>
          <w:color w:val="000000" w:themeColor="text1"/>
          <w:kern w:val="0"/>
          <w:sz w:val="20"/>
          <w:szCs w:val="20"/>
        </w:rPr>
        <w:tab/>
        <w:t>Ito Y, Mizuno M, Suzuki Y, et al. Long-term effects of spironolactone in peritoneal dialysis patients[J]. J Am Soc Nephrol, 2014, 25(5): 1094-1102. DOI: 10.1681/ASN.2013030273.</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[31]</w:t>
      </w:r>
      <w:r>
        <w:rPr>
          <w:rFonts w:ascii="Times New Roman" w:eastAsia="宋体" w:hAnsi="Times New Roman" w:cs="Times New Roman"/>
          <w:color w:val="000000" w:themeColor="text1"/>
          <w:kern w:val="0"/>
          <w:sz w:val="20"/>
          <w:szCs w:val="20"/>
        </w:rPr>
        <w:tab/>
        <w:t>Matsumoto Y, Kageyama S, Yakushigawa T, et al. Long-term low-dose spironolactone therapy is safe in oligoanuric hemodialysis patients[J]. Cardiology, 2009, 114(1): 32-38. DOI: 10.1159/000210553.</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[32]</w:t>
      </w:r>
      <w:r>
        <w:rPr>
          <w:rFonts w:ascii="Times New Roman" w:eastAsia="宋体" w:hAnsi="Times New Roman" w:cs="Times New Roman"/>
          <w:color w:val="000000" w:themeColor="text1"/>
          <w:kern w:val="0"/>
          <w:sz w:val="20"/>
          <w:szCs w:val="20"/>
        </w:rPr>
        <w:tab/>
        <w:t>Walsh M, Manns B, Garg AX, et al. The safety of eplerenone in hemodialysis patients: A noninferiority randomized controlled trial[J]. Clin J Am Soc Nephrol, 2015, 10(9): 1602-1608. DOI: 10.2215/CJN.12371214.</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[33]</w:t>
      </w:r>
      <w:r>
        <w:rPr>
          <w:rFonts w:ascii="Times New Roman" w:eastAsia="宋体" w:hAnsi="Times New Roman" w:cs="Times New Roman"/>
          <w:color w:val="000000" w:themeColor="text1"/>
          <w:kern w:val="0"/>
          <w:sz w:val="20"/>
          <w:szCs w:val="20"/>
        </w:rPr>
        <w:tab/>
        <w:t>Feniman-De-Stefano GM, Zanati-Basan SG, De Stefano LM, et al. Spironolactone is secure and reduces left ventricular hypertrophy in hemodialysis patients[J]. Ther Adv Cardiovasc Dis, 2015, 9(4): 158-167. DOI: 10.1177/1753944715591448.</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[34]</w:t>
      </w:r>
      <w:r>
        <w:rPr>
          <w:rFonts w:ascii="Times New Roman" w:eastAsia="宋体" w:hAnsi="Times New Roman" w:cs="Times New Roman"/>
          <w:color w:val="000000" w:themeColor="text1"/>
          <w:kern w:val="0"/>
          <w:sz w:val="20"/>
          <w:szCs w:val="20"/>
        </w:rPr>
        <w:tab/>
        <w:t>Zeng Q, Zhou X, Xu G. Safety evaluation and cardiovascular effect of additional use of spironolactone in hemodialysis patients: a meta-analysis[J]. Drug Des Devel Ther, 2019, 13: 1487-1499. DOI: 10.2147/DDDT.S189454.</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[35]</w:t>
      </w:r>
      <w:r>
        <w:rPr>
          <w:rFonts w:ascii="Times New Roman" w:eastAsia="宋体" w:hAnsi="Times New Roman" w:cs="Times New Roman"/>
          <w:color w:val="000000" w:themeColor="text1"/>
          <w:kern w:val="0"/>
          <w:sz w:val="20"/>
          <w:szCs w:val="20"/>
        </w:rPr>
        <w:tab/>
        <w:t>Matsumoto Y, Mori Y, Kageyama S, et al. Spironolactone reduces cardiovascular and cerebrovascular morbidity and mortality in hemodialysis patients[J]. J Am Coll Cardiol, 2014, 63(6): 528-536. DOI: 10.1016/j.jacc.2013.09.056.</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[36]</w:t>
      </w:r>
      <w:r>
        <w:rPr>
          <w:rFonts w:ascii="Times New Roman" w:eastAsia="宋体" w:hAnsi="Times New Roman" w:cs="Times New Roman"/>
          <w:color w:val="000000" w:themeColor="text1"/>
          <w:kern w:val="0"/>
          <w:sz w:val="20"/>
          <w:szCs w:val="20"/>
        </w:rPr>
        <w:tab/>
      </w:r>
      <w:r>
        <w:rPr>
          <w:rFonts w:ascii="Times New Roman" w:eastAsia="宋体" w:hAnsi="Times New Roman" w:cs="Times New Roman" w:hint="eastAsia"/>
          <w:color w:val="000000" w:themeColor="text1"/>
          <w:kern w:val="0"/>
          <w:sz w:val="20"/>
          <w:szCs w:val="20"/>
        </w:rPr>
        <w:t>赵连友</w:t>
      </w:r>
      <w:r>
        <w:rPr>
          <w:rFonts w:ascii="Times New Roman" w:eastAsia="宋体" w:hAnsi="Times New Roman" w:cs="Times New Roman"/>
          <w:color w:val="000000" w:themeColor="text1"/>
          <w:kern w:val="0"/>
          <w:sz w:val="20"/>
          <w:szCs w:val="20"/>
        </w:rPr>
        <w:t xml:space="preserve">, </w:t>
      </w:r>
      <w:r>
        <w:rPr>
          <w:rFonts w:ascii="Times New Roman" w:eastAsia="宋体" w:hAnsi="Times New Roman" w:cs="Times New Roman" w:hint="eastAsia"/>
          <w:color w:val="000000" w:themeColor="text1"/>
          <w:kern w:val="0"/>
          <w:sz w:val="20"/>
          <w:szCs w:val="20"/>
        </w:rPr>
        <w:t>孙宁玲</w:t>
      </w:r>
      <w:r>
        <w:rPr>
          <w:rFonts w:ascii="Times New Roman" w:eastAsia="宋体" w:hAnsi="Times New Roman" w:cs="Times New Roman"/>
          <w:color w:val="000000" w:themeColor="text1"/>
          <w:kern w:val="0"/>
          <w:sz w:val="20"/>
          <w:szCs w:val="20"/>
        </w:rPr>
        <w:t xml:space="preserve">, </w:t>
      </w:r>
      <w:r>
        <w:rPr>
          <w:rFonts w:ascii="Times New Roman" w:eastAsia="宋体" w:hAnsi="Times New Roman" w:cs="Times New Roman" w:hint="eastAsia"/>
          <w:color w:val="000000" w:themeColor="text1"/>
          <w:kern w:val="0"/>
          <w:sz w:val="20"/>
          <w:szCs w:val="20"/>
        </w:rPr>
        <w:t>孙英贤</w:t>
      </w:r>
      <w:r>
        <w:rPr>
          <w:rFonts w:ascii="Times New Roman" w:eastAsia="宋体" w:hAnsi="Times New Roman" w:cs="Times New Roman"/>
          <w:color w:val="000000" w:themeColor="text1"/>
          <w:kern w:val="0"/>
          <w:sz w:val="20"/>
          <w:szCs w:val="20"/>
        </w:rPr>
        <w:t xml:space="preserve">, </w:t>
      </w:r>
      <w:r>
        <w:rPr>
          <w:rFonts w:ascii="Times New Roman" w:eastAsia="宋体" w:hAnsi="Times New Roman" w:cs="Times New Roman" w:hint="eastAsia"/>
          <w:color w:val="000000" w:themeColor="text1"/>
          <w:kern w:val="0"/>
          <w:sz w:val="20"/>
          <w:szCs w:val="20"/>
        </w:rPr>
        <w:t>等</w:t>
      </w:r>
      <w:r>
        <w:rPr>
          <w:rFonts w:ascii="Times New Roman" w:eastAsia="宋体" w:hAnsi="Times New Roman" w:cs="Times New Roman"/>
          <w:color w:val="000000" w:themeColor="text1"/>
          <w:kern w:val="0"/>
          <w:sz w:val="20"/>
          <w:szCs w:val="20"/>
        </w:rPr>
        <w:t xml:space="preserve">. </w:t>
      </w:r>
      <w:r>
        <w:rPr>
          <w:rFonts w:ascii="Times New Roman" w:eastAsia="宋体" w:hAnsi="Times New Roman" w:cs="Times New Roman" w:hint="eastAsia"/>
          <w:color w:val="000000" w:themeColor="text1"/>
          <w:kern w:val="0"/>
          <w:sz w:val="20"/>
          <w:szCs w:val="20"/>
        </w:rPr>
        <w:t>α</w:t>
      </w:r>
      <w:r>
        <w:rPr>
          <w:rFonts w:ascii="Times New Roman" w:eastAsia="宋体" w:hAnsi="Times New Roman" w:cs="Times New Roman"/>
          <w:color w:val="000000" w:themeColor="text1"/>
          <w:kern w:val="0"/>
          <w:sz w:val="20"/>
          <w:szCs w:val="20"/>
        </w:rPr>
        <w:t>/</w:t>
      </w:r>
      <w:r>
        <w:rPr>
          <w:rFonts w:ascii="Times New Roman" w:eastAsia="宋体" w:hAnsi="Times New Roman" w:cs="Times New Roman" w:hint="eastAsia"/>
          <w:color w:val="000000" w:themeColor="text1"/>
          <w:kern w:val="0"/>
          <w:sz w:val="20"/>
          <w:szCs w:val="20"/>
        </w:rPr>
        <w:t>β受体阻滞剂在高血压治疗中应用的中国专家共识</w:t>
      </w:r>
      <w:r>
        <w:rPr>
          <w:rFonts w:ascii="Times New Roman" w:eastAsia="宋体" w:hAnsi="Times New Roman" w:cs="Times New Roman"/>
          <w:color w:val="000000" w:themeColor="text1"/>
          <w:kern w:val="0"/>
          <w:sz w:val="20"/>
          <w:szCs w:val="20"/>
        </w:rPr>
        <w:t xml:space="preserve">[J]. </w:t>
      </w:r>
      <w:r>
        <w:rPr>
          <w:rFonts w:ascii="Times New Roman" w:eastAsia="宋体" w:hAnsi="Times New Roman" w:cs="Times New Roman" w:hint="eastAsia"/>
          <w:color w:val="000000" w:themeColor="text1"/>
          <w:kern w:val="0"/>
          <w:sz w:val="20"/>
          <w:szCs w:val="20"/>
        </w:rPr>
        <w:t>中华高血压杂志</w:t>
      </w:r>
      <w:r>
        <w:rPr>
          <w:rFonts w:ascii="Times New Roman" w:eastAsia="宋体" w:hAnsi="Times New Roman" w:cs="Times New Roman"/>
          <w:color w:val="000000" w:themeColor="text1"/>
          <w:kern w:val="0"/>
          <w:sz w:val="20"/>
          <w:szCs w:val="20"/>
        </w:rPr>
        <w:t>, 2016, 24(6): 521-526.</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[37]</w:t>
      </w:r>
      <w:r>
        <w:rPr>
          <w:rFonts w:ascii="Times New Roman" w:eastAsia="宋体" w:hAnsi="Times New Roman" w:cs="Times New Roman"/>
          <w:color w:val="000000" w:themeColor="text1"/>
          <w:kern w:val="0"/>
          <w:sz w:val="20"/>
          <w:szCs w:val="20"/>
        </w:rPr>
        <w:tab/>
      </w:r>
      <w:r>
        <w:rPr>
          <w:rFonts w:ascii="Times New Roman" w:eastAsia="宋体" w:hAnsi="Times New Roman" w:cs="Times New Roman" w:hint="eastAsia"/>
          <w:color w:val="000000" w:themeColor="text1"/>
          <w:kern w:val="0"/>
          <w:sz w:val="20"/>
          <w:szCs w:val="20"/>
        </w:rPr>
        <w:t>国家卫生计生委合理用药专家委员会</w:t>
      </w:r>
      <w:r>
        <w:rPr>
          <w:rFonts w:ascii="Times New Roman" w:eastAsia="宋体" w:hAnsi="Times New Roman" w:cs="Times New Roman"/>
          <w:color w:val="000000" w:themeColor="text1"/>
          <w:kern w:val="0"/>
          <w:sz w:val="20"/>
          <w:szCs w:val="20"/>
        </w:rPr>
        <w:t xml:space="preserve">, </w:t>
      </w:r>
      <w:r>
        <w:rPr>
          <w:rFonts w:ascii="Times New Roman" w:eastAsia="宋体" w:hAnsi="Times New Roman" w:cs="Times New Roman" w:hint="eastAsia"/>
          <w:color w:val="000000" w:themeColor="text1"/>
          <w:kern w:val="0"/>
          <w:sz w:val="20"/>
          <w:szCs w:val="20"/>
        </w:rPr>
        <w:t>中国医师协会高血压专业委员会</w:t>
      </w:r>
      <w:r>
        <w:rPr>
          <w:rFonts w:ascii="Times New Roman" w:eastAsia="宋体" w:hAnsi="Times New Roman" w:cs="Times New Roman"/>
          <w:color w:val="000000" w:themeColor="text1"/>
          <w:kern w:val="0"/>
          <w:sz w:val="20"/>
          <w:szCs w:val="20"/>
        </w:rPr>
        <w:t xml:space="preserve">. </w:t>
      </w:r>
      <w:r>
        <w:rPr>
          <w:rFonts w:ascii="Times New Roman" w:eastAsia="宋体" w:hAnsi="Times New Roman" w:cs="Times New Roman" w:hint="eastAsia"/>
          <w:color w:val="000000" w:themeColor="text1"/>
          <w:kern w:val="0"/>
          <w:sz w:val="20"/>
          <w:szCs w:val="20"/>
        </w:rPr>
        <w:t>高血压合理用药指南</w:t>
      </w:r>
      <w:r>
        <w:rPr>
          <w:rFonts w:ascii="Times New Roman" w:eastAsia="宋体" w:hAnsi="Times New Roman" w:cs="Times New Roman"/>
          <w:color w:val="000000" w:themeColor="text1"/>
          <w:kern w:val="0"/>
          <w:sz w:val="20"/>
          <w:szCs w:val="20"/>
        </w:rPr>
        <w:t>(</w:t>
      </w:r>
      <w:r>
        <w:rPr>
          <w:rFonts w:ascii="Times New Roman" w:eastAsia="宋体" w:hAnsi="Times New Roman" w:cs="Times New Roman" w:hint="eastAsia"/>
          <w:color w:val="000000" w:themeColor="text1"/>
          <w:kern w:val="0"/>
          <w:sz w:val="20"/>
          <w:szCs w:val="20"/>
        </w:rPr>
        <w:t>第</w:t>
      </w:r>
      <w:r>
        <w:rPr>
          <w:rFonts w:ascii="Times New Roman" w:eastAsia="宋体" w:hAnsi="Times New Roman" w:cs="Times New Roman"/>
          <w:color w:val="000000" w:themeColor="text1"/>
          <w:kern w:val="0"/>
          <w:sz w:val="20"/>
          <w:szCs w:val="20"/>
        </w:rPr>
        <w:t>2</w:t>
      </w:r>
      <w:r>
        <w:rPr>
          <w:rFonts w:ascii="Times New Roman" w:eastAsia="宋体" w:hAnsi="Times New Roman" w:cs="Times New Roman" w:hint="eastAsia"/>
          <w:color w:val="000000" w:themeColor="text1"/>
          <w:kern w:val="0"/>
          <w:sz w:val="20"/>
          <w:szCs w:val="20"/>
        </w:rPr>
        <w:t>版</w:t>
      </w:r>
      <w:r>
        <w:rPr>
          <w:rFonts w:ascii="Times New Roman" w:eastAsia="宋体" w:hAnsi="Times New Roman" w:cs="Times New Roman"/>
          <w:color w:val="000000" w:themeColor="text1"/>
          <w:kern w:val="0"/>
          <w:sz w:val="20"/>
          <w:szCs w:val="20"/>
        </w:rPr>
        <w:t xml:space="preserve">)[J]. </w:t>
      </w:r>
      <w:r>
        <w:rPr>
          <w:rFonts w:ascii="Times New Roman" w:eastAsia="宋体" w:hAnsi="Times New Roman" w:cs="Times New Roman" w:hint="eastAsia"/>
          <w:color w:val="000000" w:themeColor="text1"/>
          <w:kern w:val="0"/>
          <w:sz w:val="20"/>
          <w:szCs w:val="20"/>
        </w:rPr>
        <w:t>中国医学前沿杂志（电子版）</w:t>
      </w:r>
      <w:r>
        <w:rPr>
          <w:rFonts w:ascii="Times New Roman" w:eastAsia="宋体" w:hAnsi="Times New Roman" w:cs="Times New Roman"/>
          <w:color w:val="000000" w:themeColor="text1"/>
          <w:kern w:val="0"/>
          <w:sz w:val="20"/>
          <w:szCs w:val="20"/>
        </w:rPr>
        <w:t>, 2017, 9(7): 28-126. DOI: 10.12037/YXQY.2017.07-07.</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[38]</w:t>
      </w:r>
      <w:r>
        <w:rPr>
          <w:rFonts w:ascii="Times New Roman" w:eastAsia="宋体" w:hAnsi="Times New Roman" w:cs="Times New Roman"/>
          <w:color w:val="000000" w:themeColor="text1"/>
          <w:kern w:val="0"/>
          <w:sz w:val="20"/>
          <w:szCs w:val="20"/>
        </w:rPr>
        <w:tab/>
        <w:t>Kovesdy CP. Management of hyperkalemia: An update for the internist[J]. Am J Med, 2015, 128(12): 1281-1287. DOI: 10.1016/j.amjmed.2015.05.040.</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[39]</w:t>
      </w:r>
      <w:r>
        <w:rPr>
          <w:rFonts w:ascii="Times New Roman" w:eastAsia="宋体" w:hAnsi="Times New Roman" w:cs="Times New Roman"/>
          <w:color w:val="000000" w:themeColor="text1"/>
          <w:kern w:val="0"/>
          <w:sz w:val="20"/>
          <w:szCs w:val="20"/>
        </w:rPr>
        <w:tab/>
      </w:r>
      <w:r>
        <w:rPr>
          <w:rFonts w:ascii="Times New Roman" w:eastAsia="宋体" w:hAnsi="Times New Roman" w:cs="Times New Roman" w:hint="eastAsia"/>
          <w:color w:val="000000" w:themeColor="text1"/>
          <w:kern w:val="0"/>
          <w:sz w:val="20"/>
          <w:szCs w:val="20"/>
        </w:rPr>
        <w:t>陈香美</w:t>
      </w:r>
      <w:r>
        <w:rPr>
          <w:rFonts w:ascii="Times New Roman" w:eastAsia="宋体" w:hAnsi="Times New Roman" w:cs="Times New Roman"/>
          <w:color w:val="000000" w:themeColor="text1"/>
          <w:kern w:val="0"/>
          <w:sz w:val="20"/>
          <w:szCs w:val="20"/>
        </w:rPr>
        <w:t xml:space="preserve">, </w:t>
      </w:r>
      <w:r>
        <w:rPr>
          <w:rFonts w:ascii="Times New Roman" w:eastAsia="宋体" w:hAnsi="Times New Roman" w:cs="Times New Roman" w:hint="eastAsia"/>
          <w:color w:val="000000" w:themeColor="text1"/>
          <w:kern w:val="0"/>
          <w:sz w:val="20"/>
          <w:szCs w:val="20"/>
        </w:rPr>
        <w:t>袁伟杰</w:t>
      </w:r>
      <w:r>
        <w:rPr>
          <w:rFonts w:ascii="Times New Roman" w:eastAsia="宋体" w:hAnsi="Times New Roman" w:cs="Times New Roman"/>
          <w:color w:val="000000" w:themeColor="text1"/>
          <w:kern w:val="0"/>
          <w:sz w:val="20"/>
          <w:szCs w:val="20"/>
        </w:rPr>
        <w:t xml:space="preserve">, </w:t>
      </w:r>
      <w:r>
        <w:rPr>
          <w:rFonts w:ascii="Times New Roman" w:eastAsia="宋体" w:hAnsi="Times New Roman" w:cs="Times New Roman" w:hint="eastAsia"/>
          <w:color w:val="000000" w:themeColor="text1"/>
          <w:kern w:val="0"/>
          <w:sz w:val="20"/>
          <w:szCs w:val="20"/>
        </w:rPr>
        <w:t>蔡广研</w:t>
      </w:r>
      <w:r>
        <w:rPr>
          <w:rFonts w:ascii="Times New Roman" w:eastAsia="宋体" w:hAnsi="Times New Roman" w:cs="Times New Roman"/>
          <w:color w:val="000000" w:themeColor="text1"/>
          <w:kern w:val="0"/>
          <w:sz w:val="20"/>
          <w:szCs w:val="20"/>
        </w:rPr>
        <w:t xml:space="preserve">. </w:t>
      </w:r>
      <w:r>
        <w:rPr>
          <w:rFonts w:ascii="Times New Roman" w:eastAsia="宋体" w:hAnsi="Times New Roman" w:cs="Times New Roman" w:hint="eastAsia"/>
          <w:color w:val="000000" w:themeColor="text1"/>
          <w:kern w:val="0"/>
          <w:sz w:val="20"/>
          <w:szCs w:val="20"/>
        </w:rPr>
        <w:t>α</w:t>
      </w:r>
      <w:r>
        <w:rPr>
          <w:rFonts w:ascii="Times New Roman" w:eastAsia="宋体" w:hAnsi="Times New Roman" w:cs="Times New Roman"/>
          <w:color w:val="000000" w:themeColor="text1"/>
          <w:kern w:val="0"/>
          <w:sz w:val="20"/>
          <w:szCs w:val="20"/>
        </w:rPr>
        <w:t>/</w:t>
      </w:r>
      <w:r>
        <w:rPr>
          <w:rFonts w:ascii="Times New Roman" w:eastAsia="宋体" w:hAnsi="Times New Roman" w:cs="Times New Roman" w:hint="eastAsia"/>
          <w:color w:val="000000" w:themeColor="text1"/>
          <w:kern w:val="0"/>
          <w:sz w:val="20"/>
          <w:szCs w:val="20"/>
        </w:rPr>
        <w:t>β受体阻滞剂在慢性肾脏病高血压治疗中的实践指南</w:t>
      </w:r>
      <w:r>
        <w:rPr>
          <w:rFonts w:ascii="Times New Roman" w:eastAsia="宋体" w:hAnsi="Times New Roman" w:cs="Times New Roman"/>
          <w:color w:val="000000" w:themeColor="text1"/>
          <w:kern w:val="0"/>
          <w:sz w:val="20"/>
          <w:szCs w:val="20"/>
        </w:rPr>
        <w:t xml:space="preserve">[J]. </w:t>
      </w:r>
      <w:r>
        <w:rPr>
          <w:rFonts w:ascii="Times New Roman" w:eastAsia="宋体" w:hAnsi="Times New Roman" w:cs="Times New Roman" w:hint="eastAsia"/>
          <w:color w:val="000000" w:themeColor="text1"/>
          <w:kern w:val="0"/>
          <w:sz w:val="20"/>
          <w:szCs w:val="20"/>
        </w:rPr>
        <w:t>中华医学杂志</w:t>
      </w:r>
      <w:r>
        <w:rPr>
          <w:rFonts w:ascii="Times New Roman" w:eastAsia="宋体" w:hAnsi="Times New Roman" w:cs="Times New Roman"/>
          <w:color w:val="000000" w:themeColor="text1"/>
          <w:kern w:val="0"/>
          <w:sz w:val="20"/>
          <w:szCs w:val="20"/>
        </w:rPr>
        <w:t>, 2013, 93(48): 3812-3816.</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[40]</w:t>
      </w:r>
      <w:r>
        <w:rPr>
          <w:rFonts w:ascii="Times New Roman" w:eastAsia="宋体" w:hAnsi="Times New Roman" w:cs="Times New Roman"/>
          <w:color w:val="000000" w:themeColor="text1"/>
          <w:kern w:val="0"/>
          <w:sz w:val="20"/>
          <w:szCs w:val="20"/>
        </w:rPr>
        <w:tab/>
        <w:t>Agarwal R, Sinha AD, Pappas MK, et al. Hypertension in hemodialysis patients treated with atenolol or lisinopril: a randomized controlled trial[J]. Nephrol Dial Transplant, 2014, 29(3): 672-681. DOI: 10.1093/ndt/gft515.</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[41] Sarafidis PA, Persu A, Agarwal R, et al. Hypertension in dialysis patients: a consensus document by the European Renal and Cardiovascular Medicine (EURECA-m) working group of the European Renal Association-European Dialysis and Transplant Association (ERA-EDTA) and the Hypertension and the Kidney working group of the European Society of Hypertension (ESH)[J]. Nephrol Dial Transplant, 2017, 32(4): 620-640. DOI: 10.1093/ndt/gfw433.</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[42]</w:t>
      </w:r>
      <w:r>
        <w:rPr>
          <w:rFonts w:ascii="Times New Roman" w:eastAsia="宋体" w:hAnsi="Times New Roman" w:cs="Times New Roman"/>
          <w:color w:val="000000" w:themeColor="text1"/>
          <w:kern w:val="0"/>
          <w:sz w:val="20"/>
          <w:szCs w:val="20"/>
        </w:rPr>
        <w:tab/>
        <w:t>Tomita K, Marumo F. Effect of long-term carvedilol therapy on renal function in essential hypertension[J]. J Cardiovasc Pharmacol, 1992, 19 Suppl 1: S97-S101. DOI: 10.1097/00005344-199219001-00019.</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[43]</w:t>
      </w:r>
      <w:r>
        <w:rPr>
          <w:rFonts w:ascii="Times New Roman" w:eastAsia="宋体" w:hAnsi="Times New Roman" w:cs="Times New Roman"/>
          <w:color w:val="000000" w:themeColor="text1"/>
          <w:kern w:val="0"/>
          <w:sz w:val="20"/>
          <w:szCs w:val="20"/>
        </w:rPr>
        <w:tab/>
        <w:t>Suzuki H, Moriwaki K, Kanno Y, et al. Comparison of the effects of an ACE inhibitor and alphabeta blocker on the progression of renal failure with left ventricular hypertrophy: preliminary report[J]. Hypertens Res, 2001, 24(2): 153-158. DOI: 10.1291/hypres.24.153.</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[44]</w:t>
      </w:r>
      <w:r>
        <w:rPr>
          <w:rFonts w:ascii="Times New Roman" w:eastAsia="宋体" w:hAnsi="Times New Roman" w:cs="Times New Roman"/>
          <w:color w:val="000000" w:themeColor="text1"/>
          <w:kern w:val="0"/>
          <w:sz w:val="20"/>
          <w:szCs w:val="20"/>
        </w:rPr>
        <w:tab/>
        <w:t>Bakris GL, Fonseca V, Katholi RE, et al. Metabolic effects of carvedilol vs metoprolol in patients with type 2 diabetes mellitus and hypertension: a randomized controlled trial[J]. JAMA, 2004, 292(18): 2227-2236. DOI: 10.1001/jama.292.18.2227.</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[45]</w:t>
      </w:r>
      <w:r>
        <w:rPr>
          <w:rFonts w:ascii="Times New Roman" w:eastAsia="宋体" w:hAnsi="Times New Roman" w:cs="Times New Roman"/>
          <w:color w:val="000000" w:themeColor="text1"/>
          <w:kern w:val="0"/>
          <w:sz w:val="20"/>
          <w:szCs w:val="20"/>
        </w:rPr>
        <w:tab/>
        <w:t>Bousquet P, Hudson A, Garc</w:t>
      </w:r>
      <w:r>
        <w:rPr>
          <w:rFonts w:ascii="Times New Roman" w:eastAsia="宋体" w:hAnsi="Times New Roman" w:cs="Times New Roman" w:hint="eastAsia"/>
          <w:color w:val="000000" w:themeColor="text1"/>
          <w:kern w:val="0"/>
          <w:sz w:val="20"/>
          <w:szCs w:val="20"/>
        </w:rPr>
        <w:t>í</w:t>
      </w:r>
      <w:r>
        <w:rPr>
          <w:rFonts w:ascii="Times New Roman" w:eastAsia="宋体" w:hAnsi="Times New Roman" w:cs="Times New Roman"/>
          <w:color w:val="000000" w:themeColor="text1"/>
          <w:kern w:val="0"/>
          <w:sz w:val="20"/>
          <w:szCs w:val="20"/>
        </w:rPr>
        <w:t xml:space="preserve">a-Sevilla JA, et al. Imidazoline receptor system: the past, the present, and the future[J]. </w:t>
      </w:r>
      <w:r>
        <w:rPr>
          <w:rFonts w:ascii="Times New Roman" w:eastAsia="宋体" w:hAnsi="Times New Roman" w:cs="Times New Roman"/>
          <w:color w:val="000000" w:themeColor="text1"/>
          <w:kern w:val="0"/>
          <w:sz w:val="20"/>
          <w:szCs w:val="20"/>
        </w:rPr>
        <w:lastRenderedPageBreak/>
        <w:t>Pharmacol Rev, 2020, 72(1): 50-79. DOI: 10.1124/pr.118.016311.</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[46] Gu J, Noe A, Chandra P, et al. Pharmacokinetics and pharmacodynamics of LCZ696, a novel dual-acting angiotensin receptor-neprilysin inhibitor (ARNi)[J]. J Clin Pharmacol, 2010, 50(4): 401-14. DOI: 10.1177/0091270009343932.</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[47]</w:t>
      </w:r>
      <w:r>
        <w:rPr>
          <w:rFonts w:ascii="Times New Roman" w:eastAsia="宋体" w:hAnsi="Times New Roman" w:cs="Times New Roman"/>
          <w:color w:val="000000" w:themeColor="text1"/>
          <w:kern w:val="0"/>
          <w:sz w:val="20"/>
          <w:szCs w:val="20"/>
        </w:rPr>
        <w:tab/>
        <w:t>Cheung DG, Aizenberg D, Gorbunov V, et al. Efficacy and safety of sacubitril/valsartan in patients with essential hypertension uncontrolled by olmesartan: A randomized, double-blind, 8-week study[J]. J Clin Hypertens (Greenwich), 2018, 20(1): 150-158. DOI: 10.1111/jch.13153.</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[48] Huo Y, Li W, Webb R, et al. Efficacy and safety of sacubitril/valsartan compared with olmesartan in Asian patients with essential hypertension: A randomized, double-blind, 8-week study[J]. J Clin Hypertens (Greenwich), 2019, 21(1): 67-76. DOI: 10.1111/jch.13437.</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 xml:space="preserve">[49] Ruilope LM, Dukat A, Böhm M, et al. Blood-pressure reduction with LCZ696, a novel dual-acting inhibitor of the angiotensin II receptor and neprilysin: a randomised, double-blind, placebo-controlled, active comparator study[J]. Lancet, 2010, 375(9722): 1255-1266. DOI: 10.1016/S0140-6736(09)61966-8. </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[50]</w:t>
      </w:r>
      <w:r>
        <w:rPr>
          <w:rFonts w:ascii="Times New Roman" w:eastAsia="宋体" w:hAnsi="Times New Roman" w:cs="Times New Roman"/>
          <w:color w:val="000000" w:themeColor="text1"/>
          <w:kern w:val="0"/>
          <w:sz w:val="20"/>
          <w:szCs w:val="20"/>
        </w:rPr>
        <w:tab/>
        <w:t>Ito S, Satoh M, Tamaki Y, et al. Safety and efficacy of LCZ696, a first-in-class angiotensin receptor neprilysin inhibitor, in Japanese patients with hypertension and renal dysfunction[J]. Hypertens Res, 2015, 38(4): 269-275. DOI: 10.1038/hr.2015.1.</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[51]</w:t>
      </w:r>
      <w:r>
        <w:rPr>
          <w:rFonts w:ascii="Times New Roman" w:eastAsia="宋体" w:hAnsi="Times New Roman" w:cs="Times New Roman"/>
          <w:color w:val="000000" w:themeColor="text1"/>
          <w:kern w:val="0"/>
          <w:sz w:val="20"/>
          <w:szCs w:val="20"/>
        </w:rPr>
        <w:tab/>
        <w:t>Kaplinsky E. After having changed the treatment of heart failure with reduced ejection fraction: what are the latest evidences with sacubitril valsartan?[J]. J Geriatr Cardiol, 2019, 16(2): 151-155. DOI: 10.11909/j.issn.1671-5411.2019.02.009.</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[52]</w:t>
      </w:r>
      <w:r>
        <w:rPr>
          <w:rFonts w:ascii="Times New Roman" w:eastAsia="宋体" w:hAnsi="Times New Roman" w:cs="Times New Roman"/>
          <w:color w:val="000000" w:themeColor="text1"/>
          <w:kern w:val="0"/>
          <w:sz w:val="20"/>
          <w:szCs w:val="20"/>
        </w:rPr>
        <w:tab/>
        <w:t>Packer M, Claggett B, Lefkowitz MP, et al. Effect of neprilysin inhibition on renal function in patients with type 2 diabetes and chronic heart failure who are receiving target doses of inhibitors of the renin-angiotensin system: a secondary analysis of the PARADIGM-HF trial[J]. Lancet Diabetes Endocrinol, 2018, 6(7): 547-554. DOI: 10.1016/S2213-8587(18)30100-1.</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[53]</w:t>
      </w:r>
      <w:r>
        <w:rPr>
          <w:rFonts w:ascii="Times New Roman" w:eastAsia="宋体" w:hAnsi="Times New Roman" w:cs="Times New Roman"/>
          <w:color w:val="000000" w:themeColor="text1"/>
          <w:kern w:val="0"/>
          <w:sz w:val="20"/>
          <w:szCs w:val="20"/>
        </w:rPr>
        <w:tab/>
      </w:r>
      <w:r>
        <w:rPr>
          <w:rFonts w:ascii="Times New Roman" w:eastAsia="宋体" w:hAnsi="Times New Roman" w:cs="Times New Roman" w:hint="eastAsia"/>
          <w:color w:val="000000" w:themeColor="text1"/>
          <w:kern w:val="0"/>
          <w:sz w:val="20"/>
          <w:szCs w:val="20"/>
        </w:rPr>
        <w:t>中国高血压防治指南修订委员会</w:t>
      </w:r>
      <w:r>
        <w:rPr>
          <w:rFonts w:ascii="Times New Roman" w:eastAsia="宋体" w:hAnsi="Times New Roman" w:cs="Times New Roman"/>
          <w:color w:val="000000" w:themeColor="text1"/>
          <w:kern w:val="0"/>
          <w:sz w:val="20"/>
          <w:szCs w:val="20"/>
        </w:rPr>
        <w:t xml:space="preserve">. </w:t>
      </w:r>
      <w:r>
        <w:rPr>
          <w:rFonts w:ascii="Times New Roman" w:eastAsia="宋体" w:hAnsi="Times New Roman" w:cs="Times New Roman" w:hint="eastAsia"/>
          <w:color w:val="000000" w:themeColor="text1"/>
          <w:kern w:val="0"/>
          <w:sz w:val="20"/>
          <w:szCs w:val="20"/>
        </w:rPr>
        <w:t>中国高血压防治指南</w:t>
      </w:r>
      <w:r>
        <w:rPr>
          <w:rFonts w:ascii="Times New Roman" w:eastAsia="宋体" w:hAnsi="Times New Roman" w:cs="Times New Roman"/>
          <w:color w:val="000000" w:themeColor="text1"/>
          <w:kern w:val="0"/>
          <w:sz w:val="20"/>
          <w:szCs w:val="20"/>
        </w:rPr>
        <w:t xml:space="preserve">2010[J]. </w:t>
      </w:r>
      <w:r>
        <w:rPr>
          <w:rFonts w:ascii="Times New Roman" w:eastAsia="宋体" w:hAnsi="Times New Roman" w:cs="Times New Roman" w:hint="eastAsia"/>
          <w:color w:val="000000" w:themeColor="text1"/>
          <w:kern w:val="0"/>
          <w:sz w:val="20"/>
          <w:szCs w:val="20"/>
        </w:rPr>
        <w:t>中华心血管病杂志</w:t>
      </w:r>
      <w:r>
        <w:rPr>
          <w:rFonts w:ascii="Times New Roman" w:eastAsia="宋体" w:hAnsi="Times New Roman" w:cs="Times New Roman"/>
          <w:color w:val="000000" w:themeColor="text1"/>
          <w:kern w:val="0"/>
          <w:sz w:val="20"/>
          <w:szCs w:val="20"/>
        </w:rPr>
        <w:t>, 2011, 39(7): 579-616. DOI: 10.3760/cma.j.issn.0253-3758.2011.07.002.</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[54]</w:t>
      </w:r>
      <w:r>
        <w:rPr>
          <w:rFonts w:ascii="Times New Roman" w:eastAsia="宋体" w:hAnsi="Times New Roman" w:cs="Times New Roman"/>
          <w:color w:val="000000" w:themeColor="text1"/>
          <w:kern w:val="0"/>
          <w:sz w:val="20"/>
          <w:szCs w:val="20"/>
        </w:rPr>
        <w:tab/>
        <w:t>K/DOQI Workgroup. K/DOQI clinical practice guidelines for cardiovascular disease in dialysis patients[J]. Am J Kidney Dis, 2005, 45(4 Suppl 3): S1-S153.</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[55]</w:t>
      </w:r>
      <w:r>
        <w:rPr>
          <w:rFonts w:ascii="Times New Roman" w:eastAsia="宋体" w:hAnsi="Times New Roman" w:cs="Times New Roman"/>
          <w:color w:val="000000" w:themeColor="text1"/>
          <w:kern w:val="0"/>
          <w:sz w:val="20"/>
          <w:szCs w:val="20"/>
        </w:rPr>
        <w:tab/>
        <w:t>Agarwal R, Peixoto AJ, Santos SF, et al. Pre- and postdialysis blood pressures are imprecise estimates of interdialytic ambulatory blood pressure[J]. Clin J Am Soc Nephrol, 2006, 1(3): 389-398. DOI: 10.2215/CJN.01891105.</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[56]</w:t>
      </w:r>
      <w:r>
        <w:rPr>
          <w:rFonts w:ascii="Times New Roman" w:eastAsia="宋体" w:hAnsi="Times New Roman" w:cs="Times New Roman"/>
          <w:color w:val="000000" w:themeColor="text1"/>
          <w:kern w:val="0"/>
          <w:sz w:val="20"/>
          <w:szCs w:val="20"/>
        </w:rPr>
        <w:tab/>
        <w:t>Agarwal R, Peixoto AJ, Santos SF, et al. Pre- and postdialysis blood pressures are imprecise estimates of interdialytic ambulatory blood pressure[J]. Clin J Am Soc Nephrol, 2006, 1(3): 389-398. DOI: 10.2215/CJN.01891105.</w:t>
      </w:r>
      <w:r>
        <w:rPr>
          <w:rFonts w:ascii="Times New Roman" w:eastAsia="宋体" w:hAnsi="Times New Roman" w:cs="Times New Roman" w:hint="eastAsia"/>
          <w:color w:val="000000" w:themeColor="text1"/>
          <w:kern w:val="0"/>
          <w:sz w:val="20"/>
          <w:szCs w:val="20"/>
        </w:rPr>
        <w:t>（与</w:t>
      </w:r>
      <w:r>
        <w:rPr>
          <w:rFonts w:ascii="Times New Roman" w:eastAsia="宋体" w:hAnsi="Times New Roman" w:cs="Times New Roman"/>
          <w:color w:val="000000" w:themeColor="text1"/>
          <w:kern w:val="0"/>
          <w:sz w:val="20"/>
          <w:szCs w:val="20"/>
        </w:rPr>
        <w:t>54</w:t>
      </w:r>
      <w:r>
        <w:rPr>
          <w:rFonts w:ascii="Times New Roman" w:eastAsia="宋体" w:hAnsi="Times New Roman" w:cs="Times New Roman" w:hint="eastAsia"/>
          <w:color w:val="000000" w:themeColor="text1"/>
          <w:kern w:val="0"/>
          <w:sz w:val="20"/>
          <w:szCs w:val="20"/>
        </w:rPr>
        <w:t>条重复）</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[57]</w:t>
      </w:r>
      <w:r>
        <w:rPr>
          <w:rFonts w:ascii="Times New Roman" w:eastAsia="宋体" w:hAnsi="Times New Roman" w:cs="Times New Roman"/>
          <w:color w:val="000000" w:themeColor="text1"/>
          <w:kern w:val="0"/>
          <w:sz w:val="20"/>
          <w:szCs w:val="20"/>
        </w:rPr>
        <w:tab/>
        <w:t>Foley RN, Herzog CA, Collins AJ. Blood pressure and long-term mortality in United States hemodialysis patients: USRDS Waves 3 and 4 Study[J]. Kidney Int, 2002, 62(5): 1784-1790. DOI: 10.1046/j.1523-1755.2002.00636.x.</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[58]</w:t>
      </w:r>
      <w:r>
        <w:rPr>
          <w:rFonts w:ascii="Times New Roman" w:eastAsia="宋体" w:hAnsi="Times New Roman" w:cs="Times New Roman"/>
          <w:color w:val="000000" w:themeColor="text1"/>
          <w:kern w:val="0"/>
          <w:sz w:val="20"/>
          <w:szCs w:val="20"/>
        </w:rPr>
        <w:tab/>
        <w:t>Robinson BM, Tong L, Zhang J, et al. Blood pressure levels and mortality risk among hemodialysis patients in the Dialysis Outcomes and Practice Patterns Study[J]. Kidney Int, 2012, 82(5): 570-580. DOI: 10.1038/ki.2012.136.</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[59]</w:t>
      </w:r>
      <w:r>
        <w:rPr>
          <w:rFonts w:ascii="Times New Roman" w:eastAsia="宋体" w:hAnsi="Times New Roman" w:cs="Times New Roman"/>
          <w:color w:val="000000" w:themeColor="text1"/>
          <w:kern w:val="0"/>
          <w:sz w:val="20"/>
          <w:szCs w:val="20"/>
        </w:rPr>
        <w:tab/>
        <w:t>Jhee JH, Park J, Kim H, et al. The optimal blood pressure target in different dialysis populations[J]. Sci Rep, 2018, 8(1): 14123. DOI: 10.1038/s41598-018-32281-w.</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[60]</w:t>
      </w:r>
      <w:r>
        <w:rPr>
          <w:rFonts w:ascii="Times New Roman" w:eastAsia="宋体" w:hAnsi="Times New Roman" w:cs="Times New Roman"/>
          <w:color w:val="000000" w:themeColor="text1"/>
          <w:kern w:val="0"/>
          <w:sz w:val="20"/>
          <w:szCs w:val="20"/>
        </w:rPr>
        <w:tab/>
        <w:t>Sarafidis PA, Mallamaci F, Loutradis C, et al. Prevalence and control of hypertension by 48-h ambulatory blood pressure monitoring in haemodialysis patients: a study by the European Cardiovascular and Renal Medicine (EURECA-m) working group of the ERA-EDTA[J]. Nephrol Dial Transplant, 2019, 34(9): 1542-1548. DOI: 10.1093/ndt/gfy147.</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[61]</w:t>
      </w:r>
      <w:r>
        <w:rPr>
          <w:rFonts w:ascii="Times New Roman" w:eastAsia="宋体" w:hAnsi="Times New Roman" w:cs="Times New Roman"/>
          <w:color w:val="000000" w:themeColor="text1"/>
          <w:kern w:val="0"/>
          <w:sz w:val="20"/>
          <w:szCs w:val="20"/>
        </w:rPr>
        <w:tab/>
        <w:t>Thompson AM, Pickering TG. The role of ambulatory blood pressure monitoring in chronic and end-stage renal disease[J]. Kidney Int, 2006, 70(6): 1000-1007. DOI: 10.1038/sj.ki.5001695.</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[62]</w:t>
      </w:r>
      <w:r>
        <w:rPr>
          <w:rFonts w:ascii="Times New Roman" w:eastAsia="宋体" w:hAnsi="Times New Roman" w:cs="Times New Roman"/>
          <w:color w:val="000000" w:themeColor="text1"/>
          <w:kern w:val="0"/>
          <w:sz w:val="20"/>
          <w:szCs w:val="20"/>
        </w:rPr>
        <w:tab/>
        <w:t>Parati G, Ochoa JE, Bilo G, et al. Hypertension in chronic kidney disease Part 1: Out-of-office blood pressure monitoring: methods, thresholds, and patterns[J]. Hypertension, 2016, 67(6): 1093-1101. DOI: 10.1161/HYPERTENSIONAHA.115.06895.</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[63]</w:t>
      </w:r>
      <w:r>
        <w:rPr>
          <w:rFonts w:ascii="Times New Roman" w:eastAsia="宋体" w:hAnsi="Times New Roman" w:cs="Times New Roman"/>
          <w:color w:val="000000" w:themeColor="text1"/>
          <w:kern w:val="0"/>
          <w:sz w:val="20"/>
          <w:szCs w:val="20"/>
        </w:rPr>
        <w:tab/>
        <w:t>Sarafidis PA, Persu A, Agarwal R, et al. Hypertension in dialysis patients: a consensus document by the European Renal and Cardiovascular Medicine (EURECA-m) working group of the European Renal Association-European Dialysis and Transplant Association (ERA-EDTA) and the Hypertension and the Kidney working group of the European Society of Hypertension (ESH)[J]. Nephrol Dial Transplant, 2017, 32(4): 620-640. DOI: 10.1093/ndt/gfw433.</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 xml:space="preserve">[64] Bucharles SGE, Wallbach KKS, Moraes TP, et al. Hypertension in patients on dialysis: diagnosis, mechanisms, and </w:t>
      </w:r>
      <w:r>
        <w:rPr>
          <w:rFonts w:ascii="Times New Roman" w:eastAsia="宋体" w:hAnsi="Times New Roman" w:cs="Times New Roman"/>
          <w:color w:val="000000" w:themeColor="text1"/>
          <w:kern w:val="0"/>
          <w:sz w:val="20"/>
          <w:szCs w:val="20"/>
        </w:rPr>
        <w:lastRenderedPageBreak/>
        <w:t>management[J]. J Bras Nefrol, 2019, 41(3): 400-411. DOI: 10.1590/2175-8239-jbn-2018-0155.</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[65]</w:t>
      </w:r>
      <w:r>
        <w:rPr>
          <w:rFonts w:ascii="Times New Roman" w:eastAsia="宋体" w:hAnsi="Times New Roman" w:cs="Times New Roman"/>
          <w:color w:val="000000" w:themeColor="text1"/>
          <w:kern w:val="0"/>
          <w:sz w:val="20"/>
          <w:szCs w:val="20"/>
        </w:rPr>
        <w:tab/>
        <w:t>Agarwal R, Light RP. Chronobiology of arterial hypertension in hemodialysis patients: implications for home blood pressure monitoring[J]. Am J Kidney Dis, 2009, 54(4): 693-701. DOI: 10.1053/j.ajkd.2009.03.018.</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[66]</w:t>
      </w:r>
      <w:r>
        <w:rPr>
          <w:rFonts w:ascii="Times New Roman" w:eastAsia="宋体" w:hAnsi="Times New Roman" w:cs="Times New Roman"/>
          <w:color w:val="000000" w:themeColor="text1"/>
          <w:kern w:val="0"/>
          <w:sz w:val="20"/>
          <w:szCs w:val="20"/>
        </w:rPr>
        <w:tab/>
        <w:t>Flythe JE, Chang TI, Gallagher MP, et al. Blood pressure and volume management in dialysis: conclusions from a Kidney Disease: Improving Global Outcomes (KDIGO) Controversies Conference[J]. Kidney Int, 2020, 97(5): 861-876. DOI: 10.1016/j.kint.2020.01.046.</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[67]</w:t>
      </w:r>
      <w:r>
        <w:rPr>
          <w:rFonts w:ascii="Times New Roman" w:eastAsia="宋体" w:hAnsi="Times New Roman" w:cs="Times New Roman"/>
          <w:color w:val="000000" w:themeColor="text1"/>
          <w:kern w:val="0"/>
          <w:sz w:val="20"/>
          <w:szCs w:val="20"/>
        </w:rPr>
        <w:tab/>
        <w:t>Agarwal R, Andersen MJ, Bishu K, et al. Home blood pressure monitoring improves the diagnosis of hypertension in hemodialysis patients[J]. Kidney Int, 2006, 69(5): 900-906. DOI: 10.1038/sj.ki.5000145.</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[68]</w:t>
      </w:r>
      <w:r>
        <w:rPr>
          <w:rFonts w:ascii="Times New Roman" w:eastAsia="宋体" w:hAnsi="Times New Roman" w:cs="Times New Roman"/>
          <w:color w:val="000000" w:themeColor="text1"/>
          <w:kern w:val="0"/>
          <w:sz w:val="20"/>
          <w:szCs w:val="20"/>
        </w:rPr>
        <w:tab/>
        <w:t>Alborzi P, Patel N, Agarwal R. Home blood pressures are of greater prognostic value than hemodialysis unit recordings[J]. Clin J Am Soc Nephrol, 2007, 2(6): 1228-1234. DOI: 10.2215/CJN.02250507.</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[69]</w:t>
      </w:r>
      <w:r>
        <w:rPr>
          <w:rFonts w:ascii="Times New Roman" w:eastAsia="宋体" w:hAnsi="Times New Roman" w:cs="Times New Roman"/>
          <w:color w:val="000000" w:themeColor="text1"/>
          <w:kern w:val="0"/>
          <w:sz w:val="20"/>
          <w:szCs w:val="20"/>
        </w:rPr>
        <w:tab/>
        <w:t>Agarwal R. Blood pressure and mortality among hemodialysis patients[J]. Hypertension, 2010, 55(3): 762-768. DOI: 10.1161/HYPERTENSIONAHA.109.144899.</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[70]</w:t>
      </w:r>
      <w:r>
        <w:rPr>
          <w:rFonts w:ascii="Times New Roman" w:eastAsia="宋体" w:hAnsi="Times New Roman" w:cs="Times New Roman"/>
          <w:color w:val="000000" w:themeColor="text1"/>
          <w:kern w:val="0"/>
          <w:sz w:val="20"/>
          <w:szCs w:val="20"/>
        </w:rPr>
        <w:tab/>
        <w:t>Bansal N, McCulloch CE, Rahman M, et al. Blood pressure and risk of all-cause mortality in advanced chronic kidney disease and hemodialysis: the chronic renal insufficiency cohort study[J]. Hypertension, 2015, 65(1): 93-100. DOI: 10.1161/HYPERTENSIONAHA.114.04334.</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[71]</w:t>
      </w:r>
      <w:r>
        <w:rPr>
          <w:rFonts w:ascii="Times New Roman" w:eastAsia="宋体" w:hAnsi="Times New Roman" w:cs="Times New Roman"/>
          <w:color w:val="000000" w:themeColor="text1"/>
          <w:kern w:val="0"/>
          <w:sz w:val="20"/>
          <w:szCs w:val="20"/>
        </w:rPr>
        <w:tab/>
        <w:t>Agarwal R, Metiku T, Tegegne GG, et al. Diagnosing hypertension by intradialytic blood pressure recordings[J]. Clin J Am Soc Nephrol, 2008, 3(5): 1364-1372. DOI: 10.2215/CJN.01510308.</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[72]</w:t>
      </w:r>
      <w:r>
        <w:rPr>
          <w:rFonts w:ascii="Times New Roman" w:eastAsia="宋体" w:hAnsi="Times New Roman" w:cs="Times New Roman"/>
          <w:color w:val="000000" w:themeColor="text1"/>
          <w:kern w:val="0"/>
          <w:sz w:val="20"/>
          <w:szCs w:val="20"/>
        </w:rPr>
        <w:tab/>
        <w:t>Miskulin DC, Gassman J, Schrader R, et al. BP in dialysis: results of a pilot study[J]. J Am Soc Nephrol, 2018, 29(1): 307-316. DOI: 10.1681/ASN.2017020135.</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[73]</w:t>
      </w:r>
      <w:r>
        <w:rPr>
          <w:rFonts w:ascii="Times New Roman" w:eastAsia="宋体" w:hAnsi="Times New Roman" w:cs="Times New Roman" w:hint="eastAsia"/>
          <w:color w:val="000000" w:themeColor="text1"/>
          <w:kern w:val="0"/>
          <w:sz w:val="20"/>
          <w:szCs w:val="20"/>
        </w:rPr>
        <w:t>中国医师协会肾脏病医师分会血液透析充分性协作组</w:t>
      </w:r>
      <w:r>
        <w:rPr>
          <w:rFonts w:ascii="Times New Roman" w:eastAsia="宋体" w:hAnsi="Times New Roman" w:cs="Times New Roman"/>
          <w:color w:val="000000" w:themeColor="text1"/>
          <w:kern w:val="0"/>
          <w:sz w:val="20"/>
          <w:szCs w:val="20"/>
        </w:rPr>
        <w:t xml:space="preserve">. </w:t>
      </w:r>
      <w:r>
        <w:rPr>
          <w:rFonts w:ascii="Times New Roman" w:eastAsia="宋体" w:hAnsi="Times New Roman" w:cs="Times New Roman" w:hint="eastAsia"/>
          <w:color w:val="000000" w:themeColor="text1"/>
          <w:kern w:val="0"/>
          <w:sz w:val="20"/>
          <w:szCs w:val="20"/>
        </w:rPr>
        <w:t>中国血液透析充分性临床实践指南</w:t>
      </w:r>
      <w:r>
        <w:rPr>
          <w:rFonts w:ascii="Times New Roman" w:eastAsia="宋体" w:hAnsi="Times New Roman" w:cs="Times New Roman"/>
          <w:color w:val="000000" w:themeColor="text1"/>
          <w:kern w:val="0"/>
          <w:sz w:val="20"/>
          <w:szCs w:val="20"/>
        </w:rPr>
        <w:t xml:space="preserve">[J]. </w:t>
      </w:r>
      <w:r>
        <w:rPr>
          <w:rFonts w:ascii="Times New Roman" w:eastAsia="宋体" w:hAnsi="Times New Roman" w:cs="Times New Roman" w:hint="eastAsia"/>
          <w:color w:val="000000" w:themeColor="text1"/>
          <w:kern w:val="0"/>
          <w:sz w:val="20"/>
          <w:szCs w:val="20"/>
        </w:rPr>
        <w:t>中华医学杂志</w:t>
      </w:r>
      <w:r>
        <w:rPr>
          <w:rFonts w:ascii="Times New Roman" w:eastAsia="宋体" w:hAnsi="Times New Roman" w:cs="Times New Roman"/>
          <w:color w:val="000000" w:themeColor="text1"/>
          <w:kern w:val="0"/>
          <w:sz w:val="20"/>
          <w:szCs w:val="20"/>
        </w:rPr>
        <w:t>, 2015, 95(34): 2748-2753. DOI: 10.3760/cma.j.issn.0376-2491.2015.34.004.</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[74]</w:t>
      </w:r>
      <w:r>
        <w:rPr>
          <w:rFonts w:ascii="Times New Roman" w:eastAsia="宋体" w:hAnsi="Times New Roman" w:cs="Times New Roman"/>
          <w:color w:val="000000" w:themeColor="text1"/>
          <w:kern w:val="0"/>
          <w:sz w:val="20"/>
          <w:szCs w:val="20"/>
        </w:rPr>
        <w:tab/>
        <w:t>Georgianos PI, Sarafidis PA, Zoccali C. Intradialysis hypertension in end-stage renal disease patients: clinical epidemiology, pathogenesis, and treatment[J]. Hypertension, 2015, 66(3): 456-463. DOI: 10.1161/HYPERTENSIONAHA.115.05858.</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[75]</w:t>
      </w:r>
      <w:r>
        <w:rPr>
          <w:rFonts w:ascii="Times New Roman" w:eastAsia="宋体" w:hAnsi="Times New Roman" w:cs="Times New Roman"/>
          <w:color w:val="000000" w:themeColor="text1"/>
          <w:kern w:val="0"/>
          <w:sz w:val="20"/>
          <w:szCs w:val="20"/>
        </w:rPr>
        <w:tab/>
        <w:t>Inrig JK. Intradialytic hypertension: a less-recognized cardiovascular complication of hemodialysis[J]. Am J Kidney Dis, 2010, 55(3): 580-589. DOI: 10.1053/j.ajkd.2009.08.013.</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[76]</w:t>
      </w:r>
      <w:r>
        <w:rPr>
          <w:rFonts w:ascii="Times New Roman" w:eastAsia="宋体" w:hAnsi="Times New Roman" w:cs="Times New Roman"/>
          <w:color w:val="000000" w:themeColor="text1"/>
          <w:kern w:val="0"/>
          <w:sz w:val="20"/>
          <w:szCs w:val="20"/>
        </w:rPr>
        <w:tab/>
        <w:t>Tattersall J, Martin-Malo A, Pedrini L, et al. EBPG guideline on dialysis strategies[J]. Nephrol Dial Transplant, 2007, 22 Suppl 2: ii5-21. DOI: 10.1093/ndt/gfm022.</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[77]</w:t>
      </w:r>
      <w:r>
        <w:rPr>
          <w:rFonts w:ascii="Times New Roman" w:eastAsia="宋体" w:hAnsi="Times New Roman" w:cs="Times New Roman"/>
          <w:color w:val="000000" w:themeColor="text1"/>
          <w:kern w:val="0"/>
          <w:sz w:val="20"/>
          <w:szCs w:val="20"/>
        </w:rPr>
        <w:tab/>
        <w:t>Agarwal R, Flynn J, Pogue V, et al. Assessment and management of hypertension in patients on dialysis[J]. J Am Soc Nephrol, 2014, 25(8): 1630-1646. DOI: 10.1681/ASN.2013060601.</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[78]</w:t>
      </w:r>
      <w:r>
        <w:rPr>
          <w:rFonts w:ascii="Times New Roman" w:eastAsia="宋体" w:hAnsi="Times New Roman" w:cs="Times New Roman"/>
          <w:color w:val="000000" w:themeColor="text1"/>
          <w:kern w:val="0"/>
          <w:sz w:val="20"/>
          <w:szCs w:val="20"/>
        </w:rPr>
        <w:tab/>
        <w:t>Loutradis CN, Tsioufis C, Sarafidis PA. The clinical problems of hypertension treatment in hemodialysis patients[J]. Curr Vasc Pharmacol, 2017, 16(1): 54-60. DOI: 10.2174/1570161115666170414120921.</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[79]</w:t>
      </w:r>
      <w:r>
        <w:rPr>
          <w:rFonts w:ascii="Times New Roman" w:eastAsia="宋体" w:hAnsi="Times New Roman" w:cs="Times New Roman"/>
          <w:color w:val="000000" w:themeColor="text1"/>
          <w:kern w:val="0"/>
          <w:sz w:val="20"/>
          <w:szCs w:val="20"/>
        </w:rPr>
        <w:tab/>
        <w:t>Chang TI, Zheng Y, Montez-Rath ME, et al. Antihypertensive medication use in older patients transitioning from chronic kidney disease to end-stage renal disease on dialysis[J]. Clin J Am Soc Nephrol, 2016, 11(8): 1401-1412. DOI: 10.2215/CJN.10611015.</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[80]</w:t>
      </w:r>
      <w:r>
        <w:rPr>
          <w:rFonts w:ascii="Times New Roman" w:eastAsia="宋体" w:hAnsi="Times New Roman" w:cs="Times New Roman"/>
          <w:color w:val="000000" w:themeColor="text1"/>
          <w:kern w:val="0"/>
          <w:sz w:val="20"/>
          <w:szCs w:val="20"/>
        </w:rPr>
        <w:tab/>
        <w:t xml:space="preserve">Weir MA, Dixon SN, Fleet JL, et al. </w:t>
      </w:r>
      <w:r>
        <w:rPr>
          <w:rFonts w:ascii="Times New Roman" w:eastAsia="宋体" w:hAnsi="Times New Roman" w:cs="Times New Roman" w:hint="eastAsia"/>
          <w:color w:val="000000" w:themeColor="text1"/>
          <w:kern w:val="0"/>
          <w:sz w:val="20"/>
          <w:szCs w:val="20"/>
        </w:rPr>
        <w:t>β</w:t>
      </w:r>
      <w:r>
        <w:rPr>
          <w:rFonts w:ascii="Times New Roman" w:eastAsia="宋体" w:hAnsi="Times New Roman" w:cs="Times New Roman"/>
          <w:color w:val="000000" w:themeColor="text1"/>
          <w:kern w:val="0"/>
          <w:sz w:val="20"/>
          <w:szCs w:val="20"/>
        </w:rPr>
        <w:t>-blocker dialyzability and mortality in older patients receiving hemodialysis[J]. J Am Soc Nephrol, 2015, 26(4): 987-996. DOI: 10.1681/ASN.2014040324.</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[81]</w:t>
      </w:r>
      <w:r>
        <w:rPr>
          <w:rFonts w:ascii="Times New Roman" w:eastAsia="宋体" w:hAnsi="Times New Roman" w:cs="Times New Roman"/>
          <w:color w:val="000000" w:themeColor="text1"/>
          <w:kern w:val="0"/>
          <w:sz w:val="20"/>
          <w:szCs w:val="20"/>
        </w:rPr>
        <w:tab/>
        <w:t xml:space="preserve">Tieu A, Velenosi TJ, Kucey AS, et al. </w:t>
      </w:r>
      <w:r>
        <w:rPr>
          <w:rFonts w:ascii="Times New Roman" w:eastAsia="宋体" w:hAnsi="Times New Roman" w:cs="Times New Roman" w:hint="eastAsia"/>
          <w:color w:val="000000" w:themeColor="text1"/>
          <w:kern w:val="0"/>
          <w:sz w:val="20"/>
          <w:szCs w:val="20"/>
        </w:rPr>
        <w:t>β</w:t>
      </w:r>
      <w:r>
        <w:rPr>
          <w:rFonts w:ascii="Times New Roman" w:eastAsia="宋体" w:hAnsi="Times New Roman" w:cs="Times New Roman"/>
          <w:color w:val="000000" w:themeColor="text1"/>
          <w:kern w:val="0"/>
          <w:sz w:val="20"/>
          <w:szCs w:val="20"/>
        </w:rPr>
        <w:t>-blocker dialyzability in maintenance hemodialysis patients: a randomized clinical trial[J]. Clin J Am Soc Nephrol, 2018, 13(4): 604-611. DOI: 10.2215/CJN.07470717.</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[82]</w:t>
      </w:r>
      <w:r>
        <w:rPr>
          <w:rFonts w:ascii="Times New Roman" w:eastAsia="宋体" w:hAnsi="Times New Roman" w:cs="Times New Roman"/>
          <w:color w:val="000000" w:themeColor="text1"/>
          <w:kern w:val="0"/>
          <w:sz w:val="20"/>
          <w:szCs w:val="20"/>
        </w:rPr>
        <w:tab/>
      </w:r>
      <w:r>
        <w:rPr>
          <w:rFonts w:ascii="Times New Roman" w:eastAsia="宋体" w:hAnsi="Times New Roman" w:cs="Times New Roman" w:hint="eastAsia"/>
          <w:color w:val="000000" w:themeColor="text1"/>
          <w:kern w:val="0"/>
          <w:sz w:val="20"/>
          <w:szCs w:val="20"/>
        </w:rPr>
        <w:t>中国医师协会肾脏内科医师分会</w:t>
      </w:r>
      <w:r>
        <w:rPr>
          <w:rFonts w:ascii="Times New Roman" w:eastAsia="宋体" w:hAnsi="Times New Roman" w:cs="Times New Roman"/>
          <w:color w:val="000000" w:themeColor="text1"/>
          <w:kern w:val="0"/>
          <w:sz w:val="20"/>
          <w:szCs w:val="20"/>
        </w:rPr>
        <w:t xml:space="preserve">, </w:t>
      </w:r>
      <w:r>
        <w:rPr>
          <w:rFonts w:ascii="Times New Roman" w:eastAsia="宋体" w:hAnsi="Times New Roman" w:cs="Times New Roman" w:hint="eastAsia"/>
          <w:color w:val="000000" w:themeColor="text1"/>
          <w:kern w:val="0"/>
          <w:sz w:val="20"/>
          <w:szCs w:val="20"/>
        </w:rPr>
        <w:t>中国中西医结合学会肾脏疾病专业委员会</w:t>
      </w:r>
      <w:r>
        <w:rPr>
          <w:rFonts w:ascii="Times New Roman" w:eastAsia="宋体" w:hAnsi="Times New Roman" w:cs="Times New Roman"/>
          <w:color w:val="000000" w:themeColor="text1"/>
          <w:kern w:val="0"/>
          <w:sz w:val="20"/>
          <w:szCs w:val="20"/>
        </w:rPr>
        <w:t xml:space="preserve">. </w:t>
      </w:r>
      <w:r>
        <w:rPr>
          <w:rFonts w:ascii="Times New Roman" w:eastAsia="宋体" w:hAnsi="Times New Roman" w:cs="Times New Roman" w:hint="eastAsia"/>
          <w:color w:val="000000" w:themeColor="text1"/>
          <w:kern w:val="0"/>
          <w:sz w:val="20"/>
          <w:szCs w:val="20"/>
        </w:rPr>
        <w:t>中国肾性高血压管理指南</w:t>
      </w:r>
      <w:r>
        <w:rPr>
          <w:rFonts w:ascii="Times New Roman" w:eastAsia="宋体" w:hAnsi="Times New Roman" w:cs="Times New Roman"/>
          <w:color w:val="000000" w:themeColor="text1"/>
          <w:kern w:val="0"/>
          <w:sz w:val="20"/>
          <w:szCs w:val="20"/>
        </w:rPr>
        <w:t>2016(</w:t>
      </w:r>
      <w:r>
        <w:rPr>
          <w:rFonts w:ascii="Times New Roman" w:eastAsia="宋体" w:hAnsi="Times New Roman" w:cs="Times New Roman" w:hint="eastAsia"/>
          <w:color w:val="000000" w:themeColor="text1"/>
          <w:kern w:val="0"/>
          <w:sz w:val="20"/>
          <w:szCs w:val="20"/>
        </w:rPr>
        <w:t>简版</w:t>
      </w:r>
      <w:r>
        <w:rPr>
          <w:rFonts w:ascii="Times New Roman" w:eastAsia="宋体" w:hAnsi="Times New Roman" w:cs="Times New Roman"/>
          <w:color w:val="000000" w:themeColor="text1"/>
          <w:kern w:val="0"/>
          <w:sz w:val="20"/>
          <w:szCs w:val="20"/>
        </w:rPr>
        <w:t xml:space="preserve">)[J]. </w:t>
      </w:r>
      <w:r>
        <w:rPr>
          <w:rFonts w:ascii="Times New Roman" w:eastAsia="宋体" w:hAnsi="Times New Roman" w:cs="Times New Roman" w:hint="eastAsia"/>
          <w:color w:val="000000" w:themeColor="text1"/>
          <w:kern w:val="0"/>
          <w:sz w:val="20"/>
          <w:szCs w:val="20"/>
        </w:rPr>
        <w:t>中华医学杂志</w:t>
      </w:r>
      <w:r>
        <w:rPr>
          <w:rFonts w:ascii="Times New Roman" w:eastAsia="宋体" w:hAnsi="Times New Roman" w:cs="Times New Roman"/>
          <w:color w:val="000000" w:themeColor="text1"/>
          <w:kern w:val="0"/>
          <w:sz w:val="20"/>
          <w:szCs w:val="20"/>
        </w:rPr>
        <w:t>, 2017, 97(20): 1547-1555. DOI: 10.3760/cma.j.issn.0376-2491.2017.20.010.</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[83]</w:t>
      </w:r>
      <w:r>
        <w:rPr>
          <w:rFonts w:ascii="Times New Roman" w:eastAsia="宋体" w:hAnsi="Times New Roman" w:cs="Times New Roman"/>
          <w:color w:val="000000" w:themeColor="text1"/>
          <w:kern w:val="0"/>
          <w:sz w:val="20"/>
          <w:szCs w:val="20"/>
        </w:rPr>
        <w:tab/>
        <w:t>Davies SJ, Brown EA, Frandsen NE, et al. Longitudinal membrane function in functionally anuric patients treated with APD: data from EAPOS on the effects of glucose and icodextrin prescription[J]. Kidney Int, 2005, 67(4): 1609-1615. DOI: 10.1111/j.1523-1755.2005.00243.x.</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[84]</w:t>
      </w:r>
      <w:r>
        <w:rPr>
          <w:rFonts w:ascii="Times New Roman" w:eastAsia="宋体" w:hAnsi="Times New Roman" w:cs="Times New Roman"/>
          <w:color w:val="000000" w:themeColor="text1"/>
          <w:kern w:val="0"/>
          <w:sz w:val="20"/>
          <w:szCs w:val="20"/>
        </w:rPr>
        <w:tab/>
        <w:t>Finkelstein F, Healy H, Abu-Alfa A, et al. Superiority of icodextrin compared with 4.25% dextrose for peritoneal ultrafiltration[J]. J Am Soc Nephrol, 2005, 16(2): 546-554. DOI: 10.1681/ASN.2004090793.</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lastRenderedPageBreak/>
        <w:t>[85]</w:t>
      </w:r>
      <w:r>
        <w:rPr>
          <w:rFonts w:ascii="Times New Roman" w:eastAsia="宋体" w:hAnsi="Times New Roman" w:cs="Times New Roman"/>
          <w:color w:val="000000" w:themeColor="text1"/>
          <w:kern w:val="0"/>
          <w:sz w:val="20"/>
          <w:szCs w:val="20"/>
        </w:rPr>
        <w:tab/>
        <w:t>Li PK, Chow KM, Wong TY, et al. Effects of an angiotensin-converting enzyme inhibitor on residual renal function in patients receiving peritoneal dialysis. A randomized, controlled study[J]. Ann Intern Med, 2003, 139(2): 105-112. DOI: 10.7326/0003-4819-139-2-200307150-00010.</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[86]</w:t>
      </w:r>
      <w:r>
        <w:rPr>
          <w:rFonts w:ascii="Times New Roman" w:eastAsia="宋体" w:hAnsi="Times New Roman" w:cs="Times New Roman"/>
          <w:color w:val="000000" w:themeColor="text1"/>
          <w:kern w:val="0"/>
          <w:sz w:val="20"/>
          <w:szCs w:val="20"/>
        </w:rPr>
        <w:tab/>
        <w:t>Suzuki H, Kanno Y, Sugahara S, et al. Effects of an angiotensin II receptor blocker, valsartan, on residual renal function in patients on CAPD[J]. Am J Kidney Dis, 2004, 43(6): 1056-1064. DOI: 10.1053/j.ajkd.2004.01.019.</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[87]</w:t>
      </w:r>
      <w:r>
        <w:rPr>
          <w:rFonts w:ascii="Times New Roman" w:eastAsia="宋体" w:hAnsi="Times New Roman" w:cs="Times New Roman"/>
          <w:color w:val="000000" w:themeColor="text1"/>
          <w:kern w:val="0"/>
          <w:sz w:val="20"/>
          <w:szCs w:val="20"/>
        </w:rPr>
        <w:tab/>
        <w:t>Fang W, Oreopoulos DG, Bargman JM. Use of ACE inhibitors or angiotensin receptor blockers and survival in patients on peritoneal dialysis[J]. Nephrol Dial Transplant, 2008, 23(11): 3704-3710. DOI: 10.1093/ndt/gfn321.</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[88]</w:t>
      </w:r>
      <w:r>
        <w:rPr>
          <w:rFonts w:ascii="Times New Roman" w:eastAsia="宋体" w:hAnsi="Times New Roman" w:cs="Times New Roman"/>
          <w:color w:val="000000" w:themeColor="text1"/>
          <w:kern w:val="0"/>
          <w:sz w:val="20"/>
          <w:szCs w:val="20"/>
        </w:rPr>
        <w:tab/>
        <w:t>Liu Y, Ma X, Zheng J, et al. Effects of angiotensin-converting enzyme inhibitors and angiotensin receptor blockers on cardiovascular events and residual renal function in dialysis patients: a meta-analysis of randomised controlled trials[J]. BMC Nephrol, 2017, 18(1): 206. DOI: 10.1186/s12882-017-0605-7.</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[89]</w:t>
      </w:r>
      <w:r>
        <w:rPr>
          <w:rFonts w:ascii="Times New Roman" w:eastAsia="宋体" w:hAnsi="Times New Roman" w:cs="Times New Roman"/>
          <w:color w:val="000000" w:themeColor="text1"/>
          <w:kern w:val="0"/>
          <w:sz w:val="20"/>
          <w:szCs w:val="20"/>
        </w:rPr>
        <w:tab/>
        <w:t>Japanese Society of Nephrology. Essential points from Evidence-based Clinical Practice Guidelines for Chronic Kidney Disease 2018[J]. Clin Exp Nephrol, 2019, 23(1): 1-15. DOI: 10.1007/s10157-018-1648-1.</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[90]</w:t>
      </w:r>
      <w:r>
        <w:rPr>
          <w:rFonts w:ascii="Times New Roman" w:eastAsia="宋体" w:hAnsi="Times New Roman" w:cs="Times New Roman"/>
          <w:color w:val="000000" w:themeColor="text1"/>
          <w:kern w:val="0"/>
          <w:sz w:val="20"/>
          <w:szCs w:val="20"/>
        </w:rPr>
        <w:tab/>
        <w:t>O'Hare AM, Kaufman JS, Covinsky KE, et al. Current guidelines for using angiotensin-converting enzyme inhibitors and angiotensin II-receptor antagonists in chronic kidney disease: is the evidence base relevant to older adults?[J]. Ann Intern Med, 2009, 150(10): 717-724. DOI: 10.7326/0003-4819-150-10-200905190-00010.</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[91]</w:t>
      </w:r>
      <w:r>
        <w:rPr>
          <w:rFonts w:ascii="Times New Roman" w:eastAsia="宋体" w:hAnsi="Times New Roman" w:cs="Times New Roman"/>
          <w:color w:val="000000" w:themeColor="text1"/>
          <w:kern w:val="0"/>
          <w:sz w:val="20"/>
          <w:szCs w:val="20"/>
        </w:rPr>
        <w:tab/>
        <w:t>Turgut F, Balogun RA, Abdel-Rahman EM. Renin-angiotensin-aldosterone system blockade effects on the kidney in the elderly: benefits and limitations[J]. Clin J Am Soc Nephrol, 2010, 5(7): 1330-1339. DOI: 10.2215/CJN.08611209.</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[92]</w:t>
      </w:r>
      <w:r>
        <w:rPr>
          <w:rFonts w:ascii="Times New Roman" w:eastAsia="宋体" w:hAnsi="Times New Roman" w:cs="Times New Roman"/>
          <w:color w:val="000000" w:themeColor="text1"/>
          <w:kern w:val="0"/>
          <w:sz w:val="20"/>
          <w:szCs w:val="20"/>
        </w:rPr>
        <w:tab/>
        <w:t>Weiss JW, Thorp ML, O'Hare AM. Renin-angiotensin system blockade in older adults with chronic kidney disease: a review of the literature[J]. Curr Opin Nephrol Hypertens, 2010, 19(5): 413-419. DOI: 10.1097/MNH.0b013e32833b8d6b.</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[93]</w:t>
      </w:r>
      <w:r>
        <w:rPr>
          <w:rFonts w:ascii="Times New Roman" w:eastAsia="宋体" w:hAnsi="Times New Roman" w:cs="Times New Roman"/>
          <w:color w:val="000000" w:themeColor="text1"/>
          <w:kern w:val="0"/>
          <w:sz w:val="20"/>
          <w:szCs w:val="20"/>
        </w:rPr>
        <w:tab/>
        <w:t>Hsu TW, Liu JS, Hung SC, et al. Renoprotective effect of renin-angiotensin-aldosterone system blockade in patients with predialysis advanced chronic kidney disease, hypertension, and anemia[J]. JAMA Intern Med, 2014, 174(3): 347-354. DOI: 10.1001/jamainternmed.2013.12700.</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[94]</w:t>
      </w:r>
      <w:r>
        <w:rPr>
          <w:rFonts w:ascii="Times New Roman" w:eastAsia="宋体" w:hAnsi="Times New Roman" w:cs="Times New Roman"/>
          <w:color w:val="000000" w:themeColor="text1"/>
          <w:kern w:val="0"/>
          <w:sz w:val="20"/>
          <w:szCs w:val="20"/>
        </w:rPr>
        <w:tab/>
        <w:t>Dulin BR, Haas SJ, Abraham WT, et al. Do elderly systolic heart failure patients benefit from beta blockers to the same extent as the non-elderly? Meta-analysis of &gt;12,000 patients in large-scale clinical trials[J]. Am J Cardiol, 2005, 95(7): 896-898. DOI: 10.1016/j.amjcard.2004.11.052.</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 xml:space="preserve">[95] </w:t>
      </w:r>
      <w:r>
        <w:rPr>
          <w:rFonts w:ascii="Times New Roman" w:eastAsia="宋体" w:hAnsi="Times New Roman" w:cs="Times New Roman" w:hint="eastAsia"/>
          <w:color w:val="000000" w:themeColor="text1"/>
          <w:kern w:val="0"/>
          <w:sz w:val="20"/>
          <w:szCs w:val="20"/>
        </w:rPr>
        <w:t>中华医学会妇产科学分会妊娠期高血压疾病学组</w:t>
      </w:r>
      <w:r>
        <w:rPr>
          <w:rFonts w:ascii="Times New Roman" w:eastAsia="宋体" w:hAnsi="Times New Roman" w:cs="Times New Roman"/>
          <w:color w:val="000000" w:themeColor="text1"/>
          <w:kern w:val="0"/>
          <w:sz w:val="20"/>
          <w:szCs w:val="20"/>
        </w:rPr>
        <w:t xml:space="preserve">. </w:t>
      </w:r>
      <w:r>
        <w:rPr>
          <w:rFonts w:ascii="Times New Roman" w:eastAsia="宋体" w:hAnsi="Times New Roman" w:cs="Times New Roman" w:hint="eastAsia"/>
          <w:color w:val="000000" w:themeColor="text1"/>
          <w:kern w:val="0"/>
          <w:sz w:val="20"/>
          <w:szCs w:val="20"/>
        </w:rPr>
        <w:t>妊娠期高血压疾病诊治指南（</w:t>
      </w:r>
      <w:r>
        <w:rPr>
          <w:rFonts w:ascii="Times New Roman" w:eastAsia="宋体" w:hAnsi="Times New Roman" w:cs="Times New Roman"/>
          <w:color w:val="000000" w:themeColor="text1"/>
          <w:kern w:val="0"/>
          <w:sz w:val="20"/>
          <w:szCs w:val="20"/>
        </w:rPr>
        <w:t>2020</w:t>
      </w:r>
      <w:r>
        <w:rPr>
          <w:rFonts w:ascii="Times New Roman" w:eastAsia="宋体" w:hAnsi="Times New Roman" w:cs="Times New Roman" w:hint="eastAsia"/>
          <w:color w:val="000000" w:themeColor="text1"/>
          <w:kern w:val="0"/>
          <w:sz w:val="20"/>
          <w:szCs w:val="20"/>
        </w:rPr>
        <w:t>）</w:t>
      </w:r>
      <w:r>
        <w:rPr>
          <w:rFonts w:ascii="Times New Roman" w:eastAsia="宋体" w:hAnsi="Times New Roman" w:cs="Times New Roman"/>
          <w:color w:val="000000" w:themeColor="text1"/>
          <w:kern w:val="0"/>
          <w:sz w:val="20"/>
          <w:szCs w:val="20"/>
        </w:rPr>
        <w:t xml:space="preserve">[J]. </w:t>
      </w:r>
      <w:r>
        <w:rPr>
          <w:rFonts w:ascii="Times New Roman" w:eastAsia="宋体" w:hAnsi="Times New Roman" w:cs="Times New Roman" w:hint="eastAsia"/>
          <w:color w:val="000000" w:themeColor="text1"/>
          <w:kern w:val="0"/>
          <w:sz w:val="20"/>
          <w:szCs w:val="20"/>
        </w:rPr>
        <w:t>中华妇产科杂志</w:t>
      </w:r>
      <w:r>
        <w:rPr>
          <w:rFonts w:ascii="Times New Roman" w:eastAsia="宋体" w:hAnsi="Times New Roman" w:cs="Times New Roman"/>
          <w:color w:val="000000" w:themeColor="text1"/>
          <w:kern w:val="0"/>
          <w:sz w:val="20"/>
          <w:szCs w:val="20"/>
        </w:rPr>
        <w:t>, 2020, 55(4) :227-238. DOI:10.3760/cma.j.cn112141-20200114-00039.</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[96]</w:t>
      </w:r>
      <w:r>
        <w:rPr>
          <w:rFonts w:ascii="Times New Roman" w:eastAsia="宋体" w:hAnsi="Times New Roman" w:cs="Times New Roman"/>
          <w:color w:val="000000" w:themeColor="text1"/>
          <w:kern w:val="0"/>
          <w:sz w:val="20"/>
          <w:szCs w:val="20"/>
        </w:rPr>
        <w:tab/>
        <w:t>Roberts JM, August PA, Bakris G, et al. Hypertension in pregnancy. Report of the American College of Obstetricians and Gynecologists</w:t>
      </w:r>
      <w:r>
        <w:rPr>
          <w:rFonts w:ascii="Times New Roman" w:eastAsia="宋体" w:hAnsi="Times New Roman" w:cs="Times New Roman" w:hint="eastAsia"/>
          <w:color w:val="000000" w:themeColor="text1"/>
          <w:kern w:val="0"/>
          <w:sz w:val="20"/>
          <w:szCs w:val="20"/>
        </w:rPr>
        <w:t>’</w:t>
      </w:r>
      <w:r>
        <w:rPr>
          <w:rFonts w:ascii="Times New Roman" w:eastAsia="宋体" w:hAnsi="Times New Roman" w:cs="Times New Roman"/>
          <w:color w:val="000000" w:themeColor="text1"/>
          <w:kern w:val="0"/>
          <w:sz w:val="20"/>
          <w:szCs w:val="20"/>
        </w:rPr>
        <w:t>Task Force on Hypertension in Pregnancy[J]. Obstet Gynecol, 2013, 122(5): 1122-1131. DOI: 10.1097/01.AOG.0000437382.03963.88.</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 xml:space="preserve">[97] Magee LA, von Dadelszen P, Rey E, et al. Less-tight versus tight control of hypertension in pregnancy[J]. N Engl J Med, 2015, 372(5): 407-417. DOI: 10.1056/NEJMoa1404595. </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[98]</w:t>
      </w:r>
      <w:r>
        <w:rPr>
          <w:rFonts w:ascii="Times New Roman" w:eastAsia="宋体" w:hAnsi="Times New Roman" w:cs="Times New Roman" w:hint="eastAsia"/>
          <w:color w:val="000000" w:themeColor="text1"/>
          <w:kern w:val="0"/>
          <w:sz w:val="20"/>
          <w:szCs w:val="20"/>
        </w:rPr>
        <w:t xml:space="preserve"> </w:t>
      </w:r>
      <w:r>
        <w:rPr>
          <w:rFonts w:ascii="Times New Roman" w:eastAsia="宋体" w:hAnsi="Times New Roman" w:cs="Times New Roman"/>
          <w:color w:val="000000" w:themeColor="text1"/>
          <w:kern w:val="0"/>
          <w:sz w:val="20"/>
          <w:szCs w:val="20"/>
        </w:rPr>
        <w:t>Somerset D. Diagnosis, evaluation, and management of the hypertensive disorders of pregnancy: executive summary[J]. J Obstet Gynaecol Can, 2014, 36(7): 575. DOI: 10.1016/S1701-2163(15)30532-6.</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[99]</w:t>
      </w:r>
      <w:r>
        <w:rPr>
          <w:rFonts w:ascii="Times New Roman" w:eastAsia="宋体" w:hAnsi="Times New Roman" w:cs="Times New Roman" w:hint="eastAsia"/>
          <w:color w:val="000000" w:themeColor="text1"/>
          <w:kern w:val="0"/>
          <w:sz w:val="20"/>
          <w:szCs w:val="20"/>
        </w:rPr>
        <w:t xml:space="preserve"> </w:t>
      </w:r>
      <w:r>
        <w:rPr>
          <w:rFonts w:ascii="Times New Roman" w:eastAsia="宋体" w:hAnsi="Times New Roman" w:cs="Times New Roman"/>
          <w:color w:val="000000" w:themeColor="text1"/>
          <w:kern w:val="0"/>
          <w:sz w:val="20"/>
          <w:szCs w:val="20"/>
        </w:rPr>
        <w:t>McCoy S, Baldwin K. Pharmacotherapeutic options for the treatment of preeclampsia[J]. Am J Health Syst Pharm, 2009, 66(4): 337-344. DOI: 10.2146/ajhp080104.</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[100]</w:t>
      </w:r>
      <w:r>
        <w:rPr>
          <w:rFonts w:ascii="Times New Roman" w:eastAsia="宋体" w:hAnsi="Times New Roman" w:cs="Times New Roman" w:hint="eastAsia"/>
          <w:color w:val="000000" w:themeColor="text1"/>
          <w:kern w:val="0"/>
          <w:sz w:val="20"/>
          <w:szCs w:val="20"/>
        </w:rPr>
        <w:t xml:space="preserve"> </w:t>
      </w:r>
      <w:r>
        <w:rPr>
          <w:rFonts w:ascii="Times New Roman" w:eastAsia="宋体" w:hAnsi="Times New Roman" w:cs="Times New Roman"/>
          <w:color w:val="000000" w:themeColor="text1"/>
          <w:kern w:val="0"/>
          <w:sz w:val="20"/>
          <w:szCs w:val="20"/>
        </w:rPr>
        <w:t>Jun Zhang,Jun Song, Lower ambulatory nocturnal SBP is associatedwith lesscardiovascular and renal damage in normatensive hosptalized patients with chronic kedney disease [J].Journalof Hypertension, 2021,39(11):2241-2249,DOI:10.1097/</w:t>
      </w:r>
    </w:p>
    <w:p w:rsidR="002E5476" w:rsidRDefault="00423E71">
      <w:pPr>
        <w:autoSpaceDE w:val="0"/>
        <w:autoSpaceDN w:val="0"/>
        <w:adjustRightInd w:val="0"/>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 xml:space="preserve">HJH.0000000000002930 </w:t>
      </w:r>
      <w:r>
        <w:rPr>
          <w:rFonts w:ascii="Times New Roman" w:eastAsia="宋体" w:hAnsi="Times New Roman" w:cs="Times New Roman" w:hint="eastAsia"/>
          <w:color w:val="000000" w:themeColor="text1"/>
          <w:kern w:val="0"/>
          <w:sz w:val="20"/>
          <w:szCs w:val="20"/>
        </w:rPr>
        <w:t>.</w:t>
      </w:r>
    </w:p>
    <w:p w:rsidR="002E5476" w:rsidRDefault="00423E71">
      <w:pPr>
        <w:widowControl/>
        <w:autoSpaceDE w:val="0"/>
        <w:autoSpaceDN w:val="0"/>
        <w:adjustRightInd w:val="0"/>
        <w:jc w:val="left"/>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[101]</w:t>
      </w:r>
      <w:r>
        <w:rPr>
          <w:rFonts w:ascii="Times New Roman" w:eastAsia="宋体" w:hAnsi="Times New Roman" w:cs="Times New Roman" w:hint="eastAsia"/>
          <w:color w:val="000000" w:themeColor="text1"/>
          <w:kern w:val="0"/>
          <w:sz w:val="20"/>
          <w:szCs w:val="20"/>
        </w:rPr>
        <w:t xml:space="preserve"> </w:t>
      </w:r>
      <w:r>
        <w:rPr>
          <w:rFonts w:ascii="Times New Roman" w:eastAsia="宋体" w:hAnsi="Times New Roman" w:cs="Times New Roman" w:hint="eastAsia"/>
          <w:color w:val="000000" w:themeColor="text1"/>
          <w:kern w:val="0"/>
          <w:sz w:val="20"/>
          <w:szCs w:val="20"/>
        </w:rPr>
        <w:t>国家卫生计生委合理用药专家委员会，中国医师协会高血压专业委员会</w:t>
      </w:r>
      <w:r>
        <w:rPr>
          <w:rFonts w:ascii="Times New Roman" w:eastAsia="宋体" w:hAnsi="Times New Roman" w:cs="Times New Roman"/>
          <w:color w:val="000000" w:themeColor="text1"/>
          <w:kern w:val="0"/>
          <w:sz w:val="20"/>
          <w:szCs w:val="20"/>
        </w:rPr>
        <w:t xml:space="preserve"> </w:t>
      </w:r>
      <w:r>
        <w:rPr>
          <w:rFonts w:ascii="Times New Roman" w:eastAsia="宋体" w:hAnsi="Times New Roman" w:cs="Times New Roman" w:hint="eastAsia"/>
          <w:color w:val="000000" w:themeColor="text1"/>
          <w:kern w:val="0"/>
          <w:sz w:val="20"/>
          <w:szCs w:val="20"/>
        </w:rPr>
        <w:t>高血压合理用药指南（第</w:t>
      </w:r>
      <w:r>
        <w:rPr>
          <w:rFonts w:ascii="Times New Roman" w:eastAsia="宋体" w:hAnsi="Times New Roman" w:cs="Times New Roman"/>
          <w:color w:val="000000" w:themeColor="text1"/>
          <w:kern w:val="0"/>
          <w:sz w:val="20"/>
          <w:szCs w:val="20"/>
        </w:rPr>
        <w:t>2</w:t>
      </w:r>
      <w:r>
        <w:rPr>
          <w:rFonts w:ascii="Times New Roman" w:eastAsia="宋体" w:hAnsi="Times New Roman" w:cs="Times New Roman" w:hint="eastAsia"/>
          <w:color w:val="000000" w:themeColor="text1"/>
          <w:kern w:val="0"/>
          <w:sz w:val="20"/>
          <w:szCs w:val="20"/>
        </w:rPr>
        <w:t>版）</w:t>
      </w:r>
      <w:r>
        <w:rPr>
          <w:rFonts w:ascii="Times New Roman" w:eastAsia="宋体" w:hAnsi="Times New Roman" w:cs="Times New Roman"/>
          <w:color w:val="000000" w:themeColor="text1"/>
          <w:sz w:val="20"/>
          <w:szCs w:val="20"/>
          <w:shd w:val="clear" w:color="auto" w:fill="FFFFFF"/>
        </w:rPr>
        <w:t>[J].</w:t>
      </w:r>
      <w:r>
        <w:rPr>
          <w:rFonts w:ascii="Times New Roman" w:eastAsia="宋体" w:hAnsi="Times New Roman" w:cs="Times New Roman"/>
          <w:color w:val="000000" w:themeColor="text1"/>
          <w:sz w:val="20"/>
          <w:szCs w:val="20"/>
          <w:shd w:val="clear" w:color="auto" w:fill="FFFFFF"/>
        </w:rPr>
        <w:t>中国医学前沿杂志（电子版</w:t>
      </w:r>
      <w:r>
        <w:rPr>
          <w:rFonts w:ascii="Times New Roman" w:eastAsia="宋体" w:hAnsi="Times New Roman" w:cs="Times New Roman" w:hint="eastAsia"/>
          <w:color w:val="000000" w:themeColor="text1"/>
          <w:sz w:val="20"/>
          <w:szCs w:val="20"/>
          <w:shd w:val="clear" w:color="auto" w:fill="FFFFFF"/>
        </w:rPr>
        <w:t>），</w:t>
      </w:r>
      <w:r>
        <w:rPr>
          <w:rFonts w:ascii="Times New Roman" w:eastAsia="宋体" w:hAnsi="Times New Roman" w:cs="Times New Roman"/>
          <w:color w:val="000000" w:themeColor="text1"/>
          <w:sz w:val="20"/>
          <w:szCs w:val="20"/>
          <w:shd w:val="clear" w:color="auto" w:fill="FFFFFF"/>
        </w:rPr>
        <w:t xml:space="preserve">2017 </w:t>
      </w:r>
      <w:r>
        <w:rPr>
          <w:rFonts w:ascii="Times New Roman" w:eastAsia="宋体" w:hAnsi="Times New Roman" w:cs="Times New Roman" w:hint="eastAsia"/>
          <w:color w:val="000000" w:themeColor="text1"/>
          <w:sz w:val="20"/>
          <w:szCs w:val="20"/>
          <w:shd w:val="clear" w:color="auto" w:fill="FFFFFF"/>
        </w:rPr>
        <w:t>，</w:t>
      </w:r>
      <w:r>
        <w:rPr>
          <w:rFonts w:ascii="Times New Roman" w:eastAsia="宋体" w:hAnsi="Times New Roman" w:cs="Times New Roman"/>
          <w:color w:val="000000" w:themeColor="text1"/>
          <w:sz w:val="20"/>
          <w:szCs w:val="20"/>
          <w:shd w:val="clear" w:color="auto" w:fill="FFFFFF"/>
        </w:rPr>
        <w:t>9</w:t>
      </w:r>
      <w:r>
        <w:rPr>
          <w:rFonts w:ascii="Times New Roman" w:eastAsia="宋体" w:hAnsi="Times New Roman" w:cs="Times New Roman" w:hint="eastAsia"/>
          <w:color w:val="000000" w:themeColor="text1"/>
          <w:sz w:val="20"/>
          <w:szCs w:val="20"/>
          <w:shd w:val="clear" w:color="auto" w:fill="FFFFFF"/>
        </w:rPr>
        <w:t>（</w:t>
      </w:r>
      <w:r>
        <w:rPr>
          <w:rFonts w:ascii="Times New Roman" w:eastAsia="宋体" w:hAnsi="Times New Roman" w:cs="Times New Roman"/>
          <w:color w:val="000000" w:themeColor="text1"/>
          <w:sz w:val="20"/>
          <w:szCs w:val="20"/>
          <w:shd w:val="clear" w:color="auto" w:fill="FFFFFF"/>
        </w:rPr>
        <w:t>7</w:t>
      </w:r>
      <w:r>
        <w:rPr>
          <w:rFonts w:ascii="Times New Roman" w:eastAsia="宋体" w:hAnsi="Times New Roman" w:cs="Times New Roman" w:hint="eastAsia"/>
          <w:color w:val="000000" w:themeColor="text1"/>
          <w:sz w:val="20"/>
          <w:szCs w:val="20"/>
          <w:shd w:val="clear" w:color="auto" w:fill="FFFFFF"/>
        </w:rPr>
        <w:t>）：</w:t>
      </w:r>
      <w:r>
        <w:rPr>
          <w:rFonts w:ascii="Times New Roman" w:eastAsia="宋体" w:hAnsi="Times New Roman" w:cs="Times New Roman"/>
          <w:color w:val="000000" w:themeColor="text1"/>
          <w:sz w:val="20"/>
          <w:szCs w:val="20"/>
          <w:shd w:val="clear" w:color="auto" w:fill="FFFFFF"/>
        </w:rPr>
        <w:t xml:space="preserve">28-126.DOI </w:t>
      </w:r>
      <w:r>
        <w:rPr>
          <w:rFonts w:ascii="Times New Roman" w:eastAsia="宋体" w:hAnsi="Times New Roman" w:cs="Times New Roman" w:hint="eastAsia"/>
          <w:color w:val="000000" w:themeColor="text1"/>
          <w:sz w:val="20"/>
          <w:szCs w:val="20"/>
          <w:shd w:val="clear" w:color="auto" w:fill="FFFFFF"/>
        </w:rPr>
        <w:t>：</w:t>
      </w:r>
      <w:r>
        <w:rPr>
          <w:rFonts w:ascii="Times New Roman" w:eastAsia="宋体" w:hAnsi="Times New Roman" w:cs="Times New Roman"/>
          <w:color w:val="000000" w:themeColor="text1"/>
          <w:sz w:val="20"/>
          <w:szCs w:val="20"/>
          <w:shd w:val="clear" w:color="auto" w:fill="FFFFFF"/>
        </w:rPr>
        <w:t>10.12037/YXQY.2017.07-07</w:t>
      </w:r>
    </w:p>
    <w:p w:rsidR="002E5476" w:rsidRDefault="00423E71">
      <w:pPr>
        <w:widowControl/>
        <w:autoSpaceDE w:val="0"/>
        <w:autoSpaceDN w:val="0"/>
        <w:adjustRightInd w:val="0"/>
        <w:jc w:val="left"/>
        <w:rPr>
          <w:rFonts w:ascii="Times New Roman" w:eastAsia="宋体" w:hAnsi="Times New Roman" w:cs="Times New Roman"/>
          <w:color w:val="000000" w:themeColor="text1"/>
          <w:sz w:val="20"/>
          <w:szCs w:val="20"/>
          <w:shd w:val="clear" w:color="auto" w:fill="FFFFFF"/>
        </w:rPr>
      </w:pPr>
      <w:r>
        <w:rPr>
          <w:rFonts w:ascii="Times New Roman" w:eastAsia="宋体" w:hAnsi="Times New Roman" w:cs="Times New Roman"/>
          <w:color w:val="000000" w:themeColor="text1"/>
          <w:sz w:val="20"/>
          <w:szCs w:val="20"/>
        </w:rPr>
        <w:t xml:space="preserve">[102] </w:t>
      </w:r>
      <w:r>
        <w:rPr>
          <w:rFonts w:ascii="Times New Roman" w:eastAsia="宋体" w:hAnsi="Times New Roman" w:cs="Times New Roman"/>
          <w:color w:val="000000" w:themeColor="text1"/>
          <w:sz w:val="20"/>
          <w:szCs w:val="20"/>
          <w:shd w:val="clear" w:color="auto" w:fill="FFFFFF"/>
        </w:rPr>
        <w:t xml:space="preserve">Levin NW, Kotanko P, Eckardt KU, et al. Blood pressure in chronic kidney disease stage 5D-report from a Kidney Disease: Improving Global Outcomes controversies conference[J]. Kidney Int, 2010, 77(4): 273-284. DOI: 10.1038/ki.2009.469. </w:t>
      </w:r>
    </w:p>
    <w:p w:rsidR="002E5476" w:rsidRDefault="00423E71">
      <w:pPr>
        <w:rPr>
          <w:rFonts w:ascii="Times New Roman" w:eastAsia="宋体" w:hAnsi="Times New Roman" w:cs="Times New Roman"/>
          <w:color w:val="000000" w:themeColor="text1"/>
          <w:sz w:val="20"/>
          <w:szCs w:val="20"/>
        </w:rPr>
      </w:pPr>
      <w:r>
        <w:rPr>
          <w:rFonts w:ascii="Times New Roman" w:eastAsia="宋体" w:hAnsi="Times New Roman" w:cs="Times New Roman"/>
          <w:color w:val="000000" w:themeColor="text1"/>
          <w:sz w:val="20"/>
          <w:szCs w:val="20"/>
        </w:rPr>
        <w:t xml:space="preserve">[103] </w:t>
      </w:r>
      <w:r>
        <w:rPr>
          <w:rFonts w:ascii="Times New Roman" w:eastAsia="宋体" w:hAnsi="Times New Roman" w:cs="Times New Roman"/>
          <w:color w:val="000000" w:themeColor="text1"/>
          <w:sz w:val="20"/>
          <w:szCs w:val="20"/>
          <w:shd w:val="clear" w:color="auto" w:fill="FFFFFF"/>
        </w:rPr>
        <w:t>Gabardi S, Abramson S. Drug dosing in chronic kidney disease[J]. Med Clin North Am, 2005, 89(3): 649-687. DOI: 10.1016/j.mcna.2004.11.007.</w:t>
      </w:r>
    </w:p>
    <w:p w:rsidR="002E5476" w:rsidRDefault="00423E71">
      <w:pPr>
        <w:rPr>
          <w:rFonts w:ascii="Times New Roman" w:eastAsia="宋体" w:hAnsi="Times New Roman" w:cs="Times New Roman"/>
          <w:color w:val="000000" w:themeColor="text1"/>
          <w:sz w:val="20"/>
          <w:szCs w:val="20"/>
          <w:shd w:val="clear" w:color="auto" w:fill="FFFFFF"/>
        </w:rPr>
      </w:pPr>
      <w:r>
        <w:rPr>
          <w:rFonts w:ascii="Times New Roman" w:eastAsia="宋体" w:hAnsi="Times New Roman" w:cs="Times New Roman"/>
          <w:color w:val="000000" w:themeColor="text1"/>
          <w:sz w:val="20"/>
          <w:szCs w:val="20"/>
        </w:rPr>
        <w:lastRenderedPageBreak/>
        <w:t>[104]</w:t>
      </w:r>
      <w:r>
        <w:rPr>
          <w:rFonts w:ascii="Times New Roman" w:eastAsia="宋体" w:hAnsi="Times New Roman" w:cs="Times New Roman" w:hint="eastAsia"/>
          <w:color w:val="000000" w:themeColor="text1"/>
          <w:sz w:val="20"/>
          <w:szCs w:val="20"/>
        </w:rPr>
        <w:t xml:space="preserve"> </w:t>
      </w:r>
      <w:r>
        <w:rPr>
          <w:rFonts w:ascii="Times New Roman" w:eastAsia="宋体" w:hAnsi="Times New Roman" w:cs="Times New Roman"/>
          <w:color w:val="000000" w:themeColor="text1"/>
          <w:sz w:val="20"/>
          <w:szCs w:val="20"/>
        </w:rPr>
        <w:t>马珂</w:t>
      </w:r>
      <w:r>
        <w:rPr>
          <w:rFonts w:ascii="Times New Roman" w:eastAsia="宋体" w:hAnsi="Times New Roman" w:cs="Times New Roman"/>
          <w:color w:val="000000" w:themeColor="text1"/>
          <w:sz w:val="20"/>
          <w:szCs w:val="20"/>
        </w:rPr>
        <w:t xml:space="preserve">, </w:t>
      </w:r>
      <w:r>
        <w:rPr>
          <w:rFonts w:ascii="Times New Roman" w:eastAsia="宋体" w:hAnsi="Times New Roman" w:cs="Times New Roman"/>
          <w:color w:val="000000" w:themeColor="text1"/>
          <w:sz w:val="20"/>
          <w:szCs w:val="20"/>
        </w:rPr>
        <w:t>卢晓阳</w:t>
      </w:r>
      <w:r>
        <w:rPr>
          <w:rFonts w:ascii="Times New Roman" w:eastAsia="宋体" w:hAnsi="Times New Roman" w:cs="Times New Roman"/>
          <w:color w:val="000000" w:themeColor="text1"/>
          <w:sz w:val="20"/>
          <w:szCs w:val="20"/>
        </w:rPr>
        <w:t xml:space="preserve">, </w:t>
      </w:r>
      <w:r>
        <w:rPr>
          <w:rFonts w:ascii="Times New Roman" w:eastAsia="宋体" w:hAnsi="Times New Roman" w:cs="Times New Roman"/>
          <w:color w:val="000000" w:themeColor="text1"/>
          <w:sz w:val="20"/>
          <w:szCs w:val="20"/>
        </w:rPr>
        <w:t>陈红梅</w:t>
      </w:r>
      <w:r>
        <w:rPr>
          <w:rFonts w:ascii="Times New Roman" w:eastAsia="宋体" w:hAnsi="Times New Roman" w:cs="Times New Roman"/>
          <w:color w:val="000000" w:themeColor="text1"/>
          <w:sz w:val="20"/>
          <w:szCs w:val="20"/>
        </w:rPr>
        <w:t xml:space="preserve">. </w:t>
      </w:r>
      <w:r>
        <w:rPr>
          <w:rFonts w:ascii="Times New Roman" w:eastAsia="宋体" w:hAnsi="Times New Roman" w:cs="Times New Roman"/>
          <w:color w:val="000000" w:themeColor="text1"/>
          <w:sz w:val="20"/>
          <w:szCs w:val="20"/>
        </w:rPr>
        <w:t>腹膜透析患者的药学监护</w:t>
      </w:r>
      <w:r>
        <w:rPr>
          <w:rFonts w:ascii="Times New Roman" w:eastAsia="宋体" w:hAnsi="Times New Roman" w:cs="Times New Roman"/>
          <w:color w:val="000000" w:themeColor="text1"/>
          <w:sz w:val="20"/>
          <w:szCs w:val="20"/>
        </w:rPr>
        <w:t xml:space="preserve">[M]. </w:t>
      </w:r>
      <w:r>
        <w:rPr>
          <w:rFonts w:ascii="Times New Roman" w:eastAsia="宋体" w:hAnsi="Times New Roman" w:cs="Times New Roman"/>
          <w:color w:val="000000" w:themeColor="text1"/>
          <w:sz w:val="20"/>
          <w:szCs w:val="20"/>
        </w:rPr>
        <w:t>杭州</w:t>
      </w:r>
      <w:r>
        <w:rPr>
          <w:rFonts w:ascii="Times New Roman" w:eastAsia="宋体" w:hAnsi="Times New Roman" w:cs="Times New Roman"/>
          <w:color w:val="000000" w:themeColor="text1"/>
          <w:sz w:val="20"/>
          <w:szCs w:val="20"/>
        </w:rPr>
        <w:t xml:space="preserve">: </w:t>
      </w:r>
      <w:r>
        <w:rPr>
          <w:rFonts w:ascii="Times New Roman" w:eastAsia="宋体" w:hAnsi="Times New Roman" w:cs="Times New Roman"/>
          <w:color w:val="000000" w:themeColor="text1"/>
          <w:sz w:val="20"/>
          <w:szCs w:val="20"/>
        </w:rPr>
        <w:t>浙江大学出版社</w:t>
      </w:r>
      <w:r>
        <w:rPr>
          <w:rFonts w:ascii="Times New Roman" w:eastAsia="宋体" w:hAnsi="Times New Roman" w:cs="Times New Roman"/>
          <w:color w:val="000000" w:themeColor="text1"/>
          <w:sz w:val="20"/>
          <w:szCs w:val="20"/>
        </w:rPr>
        <w:t xml:space="preserve">, 2017. </w:t>
      </w:r>
    </w:p>
    <w:p w:rsidR="002E5476" w:rsidRDefault="00423E71">
      <w:pPr>
        <w:autoSpaceDE w:val="0"/>
        <w:autoSpaceDN w:val="0"/>
        <w:adjustRightInd w:val="0"/>
        <w:jc w:val="left"/>
        <w:rPr>
          <w:rFonts w:ascii="Times New Roman" w:eastAsia="宋体" w:hAnsi="Times New Roman" w:cs="Times New Roman"/>
          <w:color w:val="000000" w:themeColor="text1"/>
          <w:sz w:val="20"/>
          <w:szCs w:val="20"/>
          <w:shd w:val="clear" w:color="auto" w:fill="FFFFFF"/>
        </w:rPr>
      </w:pPr>
      <w:r>
        <w:rPr>
          <w:rFonts w:ascii="Times New Roman" w:eastAsia="宋体" w:hAnsi="Times New Roman" w:cs="Times New Roman"/>
          <w:color w:val="000000" w:themeColor="text1"/>
          <w:sz w:val="20"/>
          <w:szCs w:val="20"/>
        </w:rPr>
        <w:t>[105]</w:t>
      </w:r>
      <w:r w:rsidR="00B411DC">
        <w:rPr>
          <w:rFonts w:ascii="Times New Roman" w:eastAsia="宋体" w:hAnsi="Times New Roman" w:cs="Times New Roman"/>
          <w:color w:val="000000" w:themeColor="text1"/>
          <w:sz w:val="24"/>
          <w:szCs w:val="24"/>
        </w:rPr>
        <w:fldChar w:fldCharType="end"/>
      </w:r>
      <w:r>
        <w:rPr>
          <w:rFonts w:ascii="Times New Roman" w:eastAsia="宋体" w:hAnsi="Times New Roman" w:cs="Times New Roman" w:hint="eastAsia"/>
          <w:color w:val="000000" w:themeColor="text1"/>
          <w:sz w:val="24"/>
          <w:szCs w:val="24"/>
        </w:rPr>
        <w:t xml:space="preserve"> </w:t>
      </w:r>
      <w:r>
        <w:rPr>
          <w:rFonts w:ascii="Times New Roman" w:eastAsia="宋体" w:hAnsi="Times New Roman" w:cs="Times New Roman" w:hint="eastAsia"/>
          <w:color w:val="000000" w:themeColor="text1"/>
          <w:sz w:val="20"/>
          <w:szCs w:val="20"/>
          <w:shd w:val="clear" w:color="auto" w:fill="FFFFFF"/>
        </w:rPr>
        <w:t>广东省药学会</w:t>
      </w:r>
      <w:r>
        <w:rPr>
          <w:rFonts w:ascii="Times New Roman" w:eastAsia="宋体" w:hAnsi="Times New Roman" w:cs="Times New Roman"/>
          <w:color w:val="000000" w:themeColor="text1"/>
          <w:sz w:val="20"/>
          <w:szCs w:val="20"/>
          <w:shd w:val="clear" w:color="auto" w:fill="FFFFFF"/>
        </w:rPr>
        <w:t>.</w:t>
      </w:r>
      <w:r>
        <w:rPr>
          <w:rFonts w:ascii="Times New Roman" w:eastAsia="宋体" w:hAnsi="Times New Roman" w:cs="Times New Roman" w:hint="eastAsia"/>
          <w:color w:val="000000" w:themeColor="text1"/>
          <w:sz w:val="20"/>
          <w:szCs w:val="20"/>
          <w:shd w:val="clear" w:color="auto" w:fill="FFFFFF"/>
        </w:rPr>
        <w:t>超药品说明书用药目录（</w:t>
      </w:r>
      <w:r>
        <w:rPr>
          <w:rFonts w:ascii="Times New Roman" w:eastAsia="宋体" w:hAnsi="Times New Roman" w:cs="Times New Roman"/>
          <w:color w:val="000000" w:themeColor="text1"/>
          <w:sz w:val="20"/>
          <w:szCs w:val="20"/>
          <w:shd w:val="clear" w:color="auto" w:fill="FFFFFF"/>
        </w:rPr>
        <w:t>2021</w:t>
      </w:r>
      <w:r>
        <w:rPr>
          <w:rFonts w:ascii="Times New Roman" w:eastAsia="宋体" w:hAnsi="Times New Roman" w:cs="Times New Roman" w:hint="eastAsia"/>
          <w:color w:val="000000" w:themeColor="text1"/>
          <w:sz w:val="20"/>
          <w:szCs w:val="20"/>
          <w:shd w:val="clear" w:color="auto" w:fill="FFFFFF"/>
        </w:rPr>
        <w:t>年版新增用法）</w:t>
      </w:r>
      <w:r>
        <w:rPr>
          <w:rFonts w:ascii="Times New Roman" w:eastAsia="宋体" w:hAnsi="Times New Roman" w:cs="Times New Roman"/>
          <w:color w:val="000000" w:themeColor="text1"/>
          <w:sz w:val="20"/>
          <w:szCs w:val="20"/>
          <w:shd w:val="clear" w:color="auto" w:fill="FFFFFF"/>
        </w:rPr>
        <w:t>[J/OL].</w:t>
      </w:r>
      <w:r>
        <w:rPr>
          <w:rFonts w:ascii="Times New Roman" w:eastAsia="宋体" w:hAnsi="Times New Roman" w:cs="Times New Roman" w:hint="eastAsia"/>
          <w:color w:val="000000" w:themeColor="text1"/>
          <w:sz w:val="20"/>
          <w:szCs w:val="20"/>
          <w:shd w:val="clear" w:color="auto" w:fill="FFFFFF"/>
        </w:rPr>
        <w:t>今日药学</w:t>
      </w:r>
      <w:r>
        <w:rPr>
          <w:rFonts w:ascii="Times New Roman" w:eastAsia="宋体" w:hAnsi="Times New Roman" w:cs="Times New Roman"/>
          <w:color w:val="000000" w:themeColor="text1"/>
          <w:sz w:val="20"/>
          <w:szCs w:val="20"/>
          <w:shd w:val="clear" w:color="auto" w:fill="FFFFFF"/>
        </w:rPr>
        <w:t>:1-19[2021-06-24].http://kns.cnki.net/kcms/detail/44.1650.R.20210624.1137.004.html</w:t>
      </w:r>
      <w:r>
        <w:rPr>
          <w:rFonts w:ascii="Times New Roman" w:eastAsia="宋体" w:hAnsi="Times New Roman" w:cs="Times New Roman" w:hint="eastAsia"/>
          <w:color w:val="000000" w:themeColor="text1"/>
          <w:sz w:val="20"/>
          <w:szCs w:val="20"/>
          <w:shd w:val="clear" w:color="auto" w:fill="FFFFFF"/>
        </w:rPr>
        <w:t>。</w:t>
      </w:r>
    </w:p>
    <w:p w:rsidR="002E5476" w:rsidRDefault="00423E71">
      <w:pPr>
        <w:numPr>
          <w:ilvl w:val="255"/>
          <w:numId w:val="0"/>
        </w:numPr>
        <w:autoSpaceDE w:val="0"/>
        <w:autoSpaceDN w:val="0"/>
        <w:adjustRightInd w:val="0"/>
        <w:jc w:val="left"/>
        <w:rPr>
          <w:rFonts w:ascii="Times New Roman" w:eastAsia="宋体" w:hAnsi="Times New Roman" w:cs="Times New Roman"/>
          <w:color w:val="000000" w:themeColor="text1"/>
          <w:kern w:val="0"/>
          <w:sz w:val="20"/>
          <w:szCs w:val="20"/>
        </w:rPr>
      </w:pPr>
      <w:r>
        <w:rPr>
          <w:rFonts w:ascii="Times New Roman" w:eastAsia="宋体" w:hAnsi="Times New Roman" w:cs="Times New Roman"/>
          <w:color w:val="000000" w:themeColor="text1"/>
          <w:kern w:val="0"/>
          <w:sz w:val="20"/>
          <w:szCs w:val="20"/>
        </w:rPr>
        <w:t>[106]</w:t>
      </w:r>
      <w:r>
        <w:rPr>
          <w:rFonts w:ascii="Times New Roman" w:eastAsia="宋体" w:hAnsi="Times New Roman" w:cs="Times New Roman" w:hint="eastAsia"/>
          <w:color w:val="000000" w:themeColor="text1"/>
          <w:kern w:val="0"/>
          <w:sz w:val="20"/>
          <w:szCs w:val="20"/>
        </w:rPr>
        <w:t xml:space="preserve"> </w:t>
      </w:r>
      <w:r>
        <w:rPr>
          <w:rFonts w:ascii="Times New Roman" w:eastAsia="宋体" w:hAnsi="Times New Roman" w:cs="Times New Roman" w:hint="eastAsia"/>
          <w:color w:val="000000" w:themeColor="text1"/>
          <w:kern w:val="0"/>
          <w:sz w:val="20"/>
          <w:szCs w:val="20"/>
        </w:rPr>
        <w:t>中华医学会糖尿病学分会微血管并发症学组</w:t>
      </w:r>
      <w:r>
        <w:rPr>
          <w:rFonts w:ascii="Times New Roman" w:eastAsia="宋体" w:hAnsi="Times New Roman" w:cs="Times New Roman"/>
          <w:color w:val="000000" w:themeColor="text1"/>
          <w:kern w:val="0"/>
          <w:sz w:val="20"/>
          <w:szCs w:val="20"/>
        </w:rPr>
        <w:t>.</w:t>
      </w:r>
      <w:r>
        <w:rPr>
          <w:rFonts w:ascii="Times New Roman" w:eastAsia="宋体" w:hAnsi="Times New Roman" w:cs="Times New Roman" w:hint="eastAsia"/>
          <w:color w:val="000000" w:themeColor="text1"/>
          <w:kern w:val="0"/>
          <w:sz w:val="20"/>
          <w:szCs w:val="20"/>
        </w:rPr>
        <w:t>中国糖尿病肾脏疾病防治临床指南</w:t>
      </w:r>
      <w:r>
        <w:rPr>
          <w:rFonts w:ascii="Times New Roman" w:eastAsia="宋体" w:hAnsi="Times New Roman" w:cs="Times New Roman"/>
          <w:color w:val="000000" w:themeColor="text1"/>
          <w:kern w:val="0"/>
          <w:sz w:val="20"/>
          <w:szCs w:val="20"/>
        </w:rPr>
        <w:t xml:space="preserve">(2019)[J]. </w:t>
      </w:r>
      <w:r>
        <w:rPr>
          <w:rFonts w:ascii="Times New Roman" w:eastAsia="宋体" w:hAnsi="Times New Roman" w:cs="Times New Roman" w:hint="eastAsia"/>
          <w:color w:val="000000" w:themeColor="text1"/>
          <w:sz w:val="20"/>
          <w:szCs w:val="20"/>
          <w:shd w:val="clear" w:color="auto" w:fill="FFFFFF"/>
        </w:rPr>
        <w:t>中华糖尿病杂志</w:t>
      </w:r>
      <w:r>
        <w:rPr>
          <w:rFonts w:ascii="Times New Roman" w:eastAsia="宋体" w:hAnsi="Times New Roman" w:cs="Times New Roman"/>
          <w:color w:val="000000" w:themeColor="text1"/>
          <w:sz w:val="20"/>
          <w:szCs w:val="20"/>
          <w:shd w:val="clear" w:color="auto" w:fill="FFFFFF"/>
        </w:rPr>
        <w:t>.2019.11(1):15-28.DOI:</w:t>
      </w:r>
      <w:r>
        <w:rPr>
          <w:rFonts w:ascii="Times New Roman" w:eastAsia="宋体" w:hAnsi="Times New Roman" w:cs="Times New Roman"/>
          <w:color w:val="000000" w:themeColor="text1"/>
          <w:sz w:val="20"/>
          <w:szCs w:val="20"/>
        </w:rPr>
        <w:t>10.3760/cma.j.issn.1674-5809.2019.01.004</w:t>
      </w:r>
    </w:p>
    <w:p w:rsidR="002E5476" w:rsidRDefault="00423E71">
      <w:pPr>
        <w:autoSpaceDE w:val="0"/>
        <w:autoSpaceDN w:val="0"/>
        <w:adjustRightInd w:val="0"/>
        <w:jc w:val="left"/>
        <w:rPr>
          <w:rFonts w:ascii="Times New Roman" w:eastAsia="宋体" w:hAnsi="Times New Roman" w:cs="Times New Roman"/>
          <w:color w:val="000000" w:themeColor="text1"/>
          <w:sz w:val="20"/>
          <w:szCs w:val="20"/>
          <w:shd w:val="clear" w:color="auto" w:fill="FFFFFF"/>
        </w:rPr>
      </w:pPr>
      <w:r>
        <w:rPr>
          <w:rFonts w:ascii="Times New Roman" w:eastAsia="宋体" w:hAnsi="Times New Roman" w:cs="Times New Roman"/>
          <w:color w:val="000000" w:themeColor="text1"/>
          <w:kern w:val="0"/>
          <w:sz w:val="20"/>
          <w:szCs w:val="20"/>
        </w:rPr>
        <w:t>[107]</w:t>
      </w:r>
      <w:r>
        <w:rPr>
          <w:rFonts w:ascii="Times New Roman" w:eastAsia="宋体" w:hAnsi="Times New Roman" w:cs="Times New Roman" w:hint="eastAsia"/>
          <w:color w:val="000000" w:themeColor="text1"/>
          <w:kern w:val="0"/>
          <w:sz w:val="20"/>
          <w:szCs w:val="20"/>
        </w:rPr>
        <w:t xml:space="preserve"> </w:t>
      </w:r>
      <w:r>
        <w:rPr>
          <w:rFonts w:ascii="Times New Roman" w:eastAsia="宋体" w:hAnsi="Times New Roman" w:cs="Times New Roman"/>
          <w:color w:val="000000" w:themeColor="text1"/>
          <w:kern w:val="0"/>
          <w:sz w:val="20"/>
          <w:szCs w:val="20"/>
        </w:rPr>
        <w:t>Kidney Disease: Improving Global Outcomes (KDIGO) Glomerular Diseases Work Group. KDIGO 2021 Clinical Practice Guideline for the Management of Glomerular Diseases[J]. Kidney International (2021) 100, S1</w:t>
      </w:r>
      <w:r>
        <w:rPr>
          <w:rFonts w:ascii="Times New Roman" w:eastAsia="宋体" w:hAnsi="Times New Roman" w:cs="Times New Roman" w:hint="eastAsia"/>
          <w:color w:val="000000" w:themeColor="text1"/>
          <w:kern w:val="0"/>
          <w:sz w:val="20"/>
          <w:szCs w:val="20"/>
        </w:rPr>
        <w:t>–</w:t>
      </w:r>
      <w:r>
        <w:rPr>
          <w:rFonts w:ascii="Times New Roman" w:eastAsia="宋体" w:hAnsi="Times New Roman" w:cs="Times New Roman"/>
          <w:color w:val="000000" w:themeColor="text1"/>
          <w:kern w:val="0"/>
          <w:sz w:val="20"/>
          <w:szCs w:val="20"/>
        </w:rPr>
        <w:t xml:space="preserve">S276 . DOI: </w:t>
      </w:r>
      <w:r>
        <w:rPr>
          <w:rFonts w:ascii="Times New Roman" w:eastAsia="宋体" w:hAnsi="Times New Roman" w:cs="Times New Roman"/>
          <w:color w:val="000000" w:themeColor="text1"/>
          <w:sz w:val="20"/>
          <w:szCs w:val="20"/>
        </w:rPr>
        <w:t>10.1016/j.kint.2021.05.021.</w:t>
      </w:r>
    </w:p>
    <w:p w:rsidR="002E5476" w:rsidRDefault="00423E71">
      <w:pPr>
        <w:numPr>
          <w:ilvl w:val="255"/>
          <w:numId w:val="0"/>
        </w:numPr>
        <w:autoSpaceDE w:val="0"/>
        <w:autoSpaceDN w:val="0"/>
        <w:adjustRightInd w:val="0"/>
        <w:jc w:val="left"/>
        <w:rPr>
          <w:rFonts w:ascii="Times New Roman" w:eastAsia="宋体" w:hAnsi="Times New Roman" w:cs="Times New Roman"/>
          <w:color w:val="000000" w:themeColor="text1"/>
          <w:sz w:val="20"/>
          <w:szCs w:val="20"/>
        </w:rPr>
      </w:pPr>
      <w:r>
        <w:rPr>
          <w:rFonts w:ascii="Times New Roman" w:eastAsia="宋体" w:hAnsi="Times New Roman" w:cs="Times New Roman"/>
          <w:color w:val="000000" w:themeColor="text1"/>
          <w:sz w:val="20"/>
          <w:szCs w:val="20"/>
        </w:rPr>
        <w:t>[108]</w:t>
      </w:r>
      <w:r>
        <w:rPr>
          <w:rFonts w:ascii="Times New Roman" w:eastAsia="宋体" w:hAnsi="Times New Roman" w:cs="Times New Roman" w:hint="eastAsia"/>
          <w:color w:val="000000" w:themeColor="text1"/>
          <w:sz w:val="20"/>
          <w:szCs w:val="20"/>
        </w:rPr>
        <w:t xml:space="preserve"> </w:t>
      </w:r>
      <w:r>
        <w:rPr>
          <w:rFonts w:ascii="Times New Roman" w:eastAsia="宋体" w:hAnsi="Times New Roman" w:cs="Times New Roman"/>
          <w:color w:val="000000" w:themeColor="text1"/>
          <w:sz w:val="20"/>
          <w:szCs w:val="20"/>
        </w:rPr>
        <w:t>American Diabetes Association :Professional Practice Committee.</w:t>
      </w:r>
      <w:r>
        <w:rPr>
          <w:rFonts w:ascii="Times New Roman" w:eastAsia="宋体" w:hAnsi="Times New Roman" w:cs="Times New Roman"/>
          <w:color w:val="000000" w:themeColor="text1"/>
          <w:sz w:val="20"/>
          <w:szCs w:val="20"/>
          <w:shd w:val="clear" w:color="auto" w:fill="FFFFFF"/>
        </w:rPr>
        <w:t>The 2020 Standards of Medical Care in Diabetes</w:t>
      </w:r>
      <w:r>
        <w:rPr>
          <w:rFonts w:ascii="Times New Roman" w:eastAsia="宋体" w:hAnsi="Times New Roman" w:cs="Times New Roman"/>
          <w:color w:val="000000" w:themeColor="text1"/>
          <w:kern w:val="0"/>
          <w:sz w:val="20"/>
          <w:szCs w:val="20"/>
        </w:rPr>
        <w:t>[J].</w:t>
      </w:r>
      <w:r>
        <w:rPr>
          <w:rFonts w:ascii="Times New Roman" w:eastAsia="宋体" w:hAnsi="Times New Roman" w:cs="Times New Roman"/>
          <w:color w:val="000000" w:themeColor="text1"/>
          <w:kern w:val="0"/>
          <w:sz w:val="20"/>
          <w:szCs w:val="20"/>
          <w:highlight w:val="yellow"/>
        </w:rPr>
        <w:t xml:space="preserve"> </w:t>
      </w:r>
      <w:r>
        <w:rPr>
          <w:rFonts w:ascii="Times New Roman" w:eastAsia="宋体" w:hAnsi="Times New Roman" w:cs="Times New Roman"/>
          <w:color w:val="000000" w:themeColor="text1"/>
          <w:sz w:val="20"/>
          <w:szCs w:val="20"/>
        </w:rPr>
        <w:t xml:space="preserve">Diabetes Care Volume , </w:t>
      </w:r>
      <w:r>
        <w:rPr>
          <w:rFonts w:ascii="Times New Roman" w:eastAsia="宋体" w:hAnsi="Times New Roman" w:cs="Times New Roman"/>
          <w:color w:val="000000" w:themeColor="text1"/>
          <w:sz w:val="20"/>
          <w:szCs w:val="20"/>
          <w:shd w:val="clear" w:color="auto" w:fill="FFFFFF"/>
        </w:rPr>
        <w:t>2020</w:t>
      </w:r>
      <w:r>
        <w:rPr>
          <w:rFonts w:ascii="Times New Roman" w:eastAsia="宋体" w:hAnsi="Times New Roman" w:cs="Times New Roman" w:hint="eastAsia"/>
          <w:color w:val="000000" w:themeColor="text1"/>
          <w:sz w:val="20"/>
          <w:szCs w:val="20"/>
          <w:shd w:val="clear" w:color="auto" w:fill="FFFFFF"/>
        </w:rPr>
        <w:t>；</w:t>
      </w:r>
      <w:r>
        <w:rPr>
          <w:rFonts w:ascii="Times New Roman" w:eastAsia="宋体" w:hAnsi="Times New Roman" w:cs="Times New Roman"/>
          <w:color w:val="000000" w:themeColor="text1"/>
          <w:sz w:val="20"/>
          <w:szCs w:val="20"/>
          <w:shd w:val="clear" w:color="auto" w:fill="FFFFFF"/>
        </w:rPr>
        <w:t>43</w:t>
      </w:r>
      <w:r>
        <w:rPr>
          <w:rFonts w:ascii="Times New Roman" w:eastAsia="宋体" w:hAnsi="Times New Roman" w:cs="Times New Roman" w:hint="eastAsia"/>
          <w:color w:val="000000" w:themeColor="text1"/>
          <w:sz w:val="20"/>
          <w:szCs w:val="20"/>
          <w:shd w:val="clear" w:color="auto" w:fill="FFFFFF"/>
        </w:rPr>
        <w:t>（</w:t>
      </w:r>
      <w:r>
        <w:rPr>
          <w:rFonts w:ascii="Times New Roman" w:eastAsia="宋体" w:hAnsi="Times New Roman" w:cs="Times New Roman"/>
          <w:color w:val="000000" w:themeColor="text1"/>
          <w:sz w:val="20"/>
          <w:szCs w:val="20"/>
          <w:shd w:val="clear" w:color="auto" w:fill="FFFFFF"/>
        </w:rPr>
        <w:t>Supplement_1</w:t>
      </w:r>
      <w:r>
        <w:rPr>
          <w:rFonts w:ascii="Times New Roman" w:eastAsia="宋体" w:hAnsi="Times New Roman" w:cs="Times New Roman" w:hint="eastAsia"/>
          <w:color w:val="000000" w:themeColor="text1"/>
          <w:sz w:val="20"/>
          <w:szCs w:val="20"/>
          <w:shd w:val="clear" w:color="auto" w:fill="FFFFFF"/>
        </w:rPr>
        <w:t>）：</w:t>
      </w:r>
      <w:r>
        <w:rPr>
          <w:rFonts w:ascii="Times New Roman" w:eastAsia="宋体" w:hAnsi="Times New Roman" w:cs="Times New Roman"/>
          <w:color w:val="000000" w:themeColor="text1"/>
          <w:sz w:val="20"/>
          <w:szCs w:val="20"/>
          <w:shd w:val="clear" w:color="auto" w:fill="FFFFFF"/>
        </w:rPr>
        <w:t>S3</w:t>
      </w:r>
      <w:r>
        <w:rPr>
          <w:rFonts w:ascii="Times New Roman" w:eastAsia="宋体" w:hAnsi="Times New Roman" w:cs="Times New Roman"/>
          <w:color w:val="000000" w:themeColor="text1"/>
          <w:sz w:val="20"/>
          <w:szCs w:val="20"/>
        </w:rPr>
        <w:t>.DOI:</w:t>
      </w:r>
      <w:hyperlink r:id="rId10" w:tgtFrame="https://diabetesjournals.org/care/article/43/Supplement_1/S3/30487/_blank" w:history="1">
        <w:r>
          <w:rPr>
            <w:rStyle w:val="af1"/>
            <w:rFonts w:ascii="Times New Roman" w:eastAsia="宋体" w:hAnsi="Times New Roman" w:cs="Times New Roman"/>
            <w:color w:val="000000" w:themeColor="text1"/>
            <w:sz w:val="20"/>
            <w:szCs w:val="20"/>
            <w:u w:val="none"/>
            <w:shd w:val="clear" w:color="auto" w:fill="FFFFFF"/>
          </w:rPr>
          <w:t>10.2337/dc20-Sppc</w:t>
        </w:r>
      </w:hyperlink>
    </w:p>
    <w:p w:rsidR="002E5476" w:rsidRDefault="00423E71">
      <w:pPr>
        <w:pStyle w:val="aa"/>
        <w:spacing w:beforeAutospacing="0" w:afterAutospacing="0"/>
        <w:rPr>
          <w:rFonts w:ascii="Times New Roman" w:hAnsi="Times New Roman"/>
          <w:color w:val="000000" w:themeColor="text1"/>
          <w:sz w:val="20"/>
          <w:szCs w:val="20"/>
        </w:rPr>
      </w:pPr>
      <w:r>
        <w:rPr>
          <w:rFonts w:ascii="Times New Roman" w:hAnsi="Times New Roman"/>
          <w:color w:val="000000" w:themeColor="text1"/>
          <w:sz w:val="20"/>
          <w:szCs w:val="20"/>
        </w:rPr>
        <w:t>[109]</w:t>
      </w:r>
      <w:r>
        <w:rPr>
          <w:rFonts w:ascii="Times New Roman" w:hAnsi="Times New Roman" w:hint="eastAsia"/>
          <w:color w:val="000000" w:themeColor="text1"/>
          <w:sz w:val="20"/>
          <w:szCs w:val="20"/>
        </w:rPr>
        <w:t xml:space="preserve"> </w:t>
      </w:r>
      <w:r>
        <w:rPr>
          <w:rFonts w:ascii="Times New Roman" w:hAnsi="Times New Roman" w:hint="eastAsia"/>
          <w:color w:val="000000" w:themeColor="text1"/>
          <w:sz w:val="20"/>
          <w:szCs w:val="20"/>
        </w:rPr>
        <w:t>中华医学会糖尿病学分会</w:t>
      </w:r>
      <w:r>
        <w:rPr>
          <w:rFonts w:ascii="Times New Roman" w:hAnsi="Times New Roman"/>
          <w:color w:val="000000" w:themeColor="text1"/>
          <w:sz w:val="20"/>
          <w:szCs w:val="20"/>
        </w:rPr>
        <w:t>.</w:t>
      </w:r>
      <w:r>
        <w:rPr>
          <w:rFonts w:ascii="Times New Roman" w:hAnsi="Times New Roman" w:hint="eastAsia"/>
          <w:color w:val="000000" w:themeColor="text1"/>
          <w:sz w:val="20"/>
          <w:szCs w:val="20"/>
        </w:rPr>
        <w:t>中国</w:t>
      </w:r>
      <w:r>
        <w:rPr>
          <w:rFonts w:ascii="Times New Roman" w:hAnsi="Times New Roman"/>
          <w:color w:val="000000" w:themeColor="text1"/>
          <w:sz w:val="20"/>
          <w:szCs w:val="20"/>
        </w:rPr>
        <w:t>2</w:t>
      </w:r>
      <w:r>
        <w:rPr>
          <w:rFonts w:ascii="Times New Roman" w:hAnsi="Times New Roman" w:hint="eastAsia"/>
          <w:color w:val="000000" w:themeColor="text1"/>
          <w:sz w:val="20"/>
          <w:szCs w:val="20"/>
        </w:rPr>
        <w:t>型糖尿病防治指南（</w:t>
      </w:r>
      <w:r>
        <w:rPr>
          <w:rFonts w:ascii="Times New Roman" w:hAnsi="Times New Roman"/>
          <w:color w:val="000000" w:themeColor="text1"/>
          <w:sz w:val="20"/>
          <w:szCs w:val="20"/>
        </w:rPr>
        <w:t>2020</w:t>
      </w:r>
      <w:r>
        <w:rPr>
          <w:rFonts w:ascii="Times New Roman" w:hAnsi="Times New Roman" w:hint="eastAsia"/>
          <w:color w:val="000000" w:themeColor="text1"/>
          <w:sz w:val="20"/>
          <w:szCs w:val="20"/>
        </w:rPr>
        <w:t>年版）</w:t>
      </w:r>
      <w:r>
        <w:rPr>
          <w:rFonts w:ascii="Times New Roman" w:hAnsi="Times New Roman"/>
          <w:color w:val="000000" w:themeColor="text1"/>
          <w:sz w:val="20"/>
          <w:szCs w:val="20"/>
        </w:rPr>
        <w:t xml:space="preserve">[J]. </w:t>
      </w:r>
      <w:r>
        <w:rPr>
          <w:rFonts w:ascii="Times New Roman" w:hAnsi="Times New Roman" w:hint="eastAsia"/>
          <w:color w:val="000000" w:themeColor="text1"/>
          <w:sz w:val="20"/>
          <w:szCs w:val="20"/>
          <w:shd w:val="clear" w:color="auto" w:fill="FFFFFF"/>
        </w:rPr>
        <w:t>中华糖尿病杂志</w:t>
      </w:r>
      <w:r>
        <w:rPr>
          <w:rFonts w:ascii="Times New Roman" w:hAnsi="Times New Roman"/>
          <w:color w:val="000000" w:themeColor="text1"/>
          <w:sz w:val="20"/>
          <w:szCs w:val="20"/>
          <w:shd w:val="clear" w:color="auto" w:fill="FFFFFF"/>
        </w:rPr>
        <w:t>2019.11</w:t>
      </w:r>
      <w:r>
        <w:rPr>
          <w:rFonts w:ascii="Times New Roman" w:hAnsi="Times New Roman" w:hint="eastAsia"/>
          <w:color w:val="000000" w:themeColor="text1"/>
          <w:sz w:val="20"/>
          <w:szCs w:val="20"/>
          <w:shd w:val="clear" w:color="auto" w:fill="FFFFFF"/>
        </w:rPr>
        <w:t>（</w:t>
      </w:r>
      <w:r>
        <w:rPr>
          <w:rFonts w:ascii="Times New Roman" w:hAnsi="Times New Roman"/>
          <w:color w:val="000000" w:themeColor="text1"/>
          <w:sz w:val="20"/>
          <w:szCs w:val="20"/>
          <w:shd w:val="clear" w:color="auto" w:fill="FFFFFF"/>
        </w:rPr>
        <w:t>1</w:t>
      </w:r>
      <w:r>
        <w:rPr>
          <w:rFonts w:ascii="Times New Roman" w:hAnsi="Times New Roman" w:hint="eastAsia"/>
          <w:color w:val="000000" w:themeColor="text1"/>
          <w:sz w:val="20"/>
          <w:szCs w:val="20"/>
          <w:shd w:val="clear" w:color="auto" w:fill="FFFFFF"/>
        </w:rPr>
        <w:t>）：</w:t>
      </w:r>
      <w:r>
        <w:rPr>
          <w:rFonts w:ascii="Times New Roman" w:hAnsi="Times New Roman"/>
          <w:color w:val="000000" w:themeColor="text1"/>
          <w:sz w:val="20"/>
          <w:szCs w:val="20"/>
          <w:shd w:val="clear" w:color="auto" w:fill="FFFFFF"/>
        </w:rPr>
        <w:t>15-28.DOI:</w:t>
      </w:r>
      <w:r>
        <w:rPr>
          <w:rFonts w:ascii="Times New Roman" w:hAnsi="Times New Roman"/>
          <w:color w:val="000000" w:themeColor="text1"/>
          <w:sz w:val="20"/>
          <w:szCs w:val="20"/>
        </w:rPr>
        <w:t>10.3760/cma.j.cn115791-20210221-00095</w:t>
      </w:r>
    </w:p>
    <w:p w:rsidR="002E5476" w:rsidRDefault="00423E71">
      <w:pPr>
        <w:numPr>
          <w:ilvl w:val="255"/>
          <w:numId w:val="0"/>
        </w:numPr>
        <w:autoSpaceDE w:val="0"/>
        <w:autoSpaceDN w:val="0"/>
        <w:adjustRightInd w:val="0"/>
        <w:jc w:val="left"/>
        <w:rPr>
          <w:rFonts w:ascii="Times New Roman" w:eastAsia="宋体" w:hAnsi="Times New Roman" w:cs="Times New Roman"/>
          <w:color w:val="000000" w:themeColor="text1"/>
          <w:sz w:val="20"/>
          <w:szCs w:val="20"/>
        </w:rPr>
      </w:pPr>
      <w:r>
        <w:rPr>
          <w:rFonts w:ascii="Times New Roman" w:eastAsia="宋体" w:hAnsi="Times New Roman" w:cs="Times New Roman"/>
          <w:color w:val="000000" w:themeColor="text1"/>
          <w:sz w:val="20"/>
          <w:szCs w:val="20"/>
        </w:rPr>
        <w:t>[110]</w:t>
      </w:r>
      <w:r>
        <w:rPr>
          <w:rFonts w:ascii="Times New Roman" w:eastAsia="宋体" w:hAnsi="Times New Roman" w:cs="Times New Roman" w:hint="eastAsia"/>
          <w:color w:val="000000" w:themeColor="text1"/>
          <w:sz w:val="20"/>
          <w:szCs w:val="20"/>
        </w:rPr>
        <w:t xml:space="preserve"> </w:t>
      </w:r>
      <w:r>
        <w:rPr>
          <w:rFonts w:ascii="Times New Roman" w:eastAsia="宋体" w:hAnsi="Times New Roman" w:cs="Times New Roman"/>
          <w:color w:val="000000" w:themeColor="text1"/>
          <w:kern w:val="0"/>
          <w:sz w:val="20"/>
          <w:szCs w:val="20"/>
        </w:rPr>
        <w:t xml:space="preserve">Kidney Disease: Improving Global Outcomes (KDIGO) </w:t>
      </w:r>
      <w:r>
        <w:rPr>
          <w:rFonts w:ascii="Times New Roman" w:eastAsia="宋体" w:hAnsi="Times New Roman" w:cs="Times New Roman"/>
          <w:color w:val="000000" w:themeColor="text1"/>
          <w:sz w:val="20"/>
          <w:szCs w:val="20"/>
          <w:shd w:val="clear" w:color="auto" w:fill="FFFFFF"/>
        </w:rPr>
        <w:t xml:space="preserve">Diabetes </w:t>
      </w:r>
      <w:r>
        <w:rPr>
          <w:rFonts w:ascii="Times New Roman" w:eastAsia="宋体" w:hAnsi="Times New Roman" w:cs="Times New Roman"/>
          <w:color w:val="000000" w:themeColor="text1"/>
          <w:kern w:val="0"/>
          <w:sz w:val="20"/>
          <w:szCs w:val="20"/>
        </w:rPr>
        <w:t xml:space="preserve">Work Group. KDIGO 2020 Clinical Practice Guideline for </w:t>
      </w:r>
      <w:r>
        <w:rPr>
          <w:rFonts w:ascii="Times New Roman" w:eastAsia="宋体" w:hAnsi="Times New Roman" w:cs="Times New Roman"/>
          <w:color w:val="000000" w:themeColor="text1"/>
          <w:sz w:val="20"/>
          <w:szCs w:val="20"/>
          <w:shd w:val="clear" w:color="auto" w:fill="FFFFFF"/>
        </w:rPr>
        <w:t>Diabetes Management in Chronic Kidney Disease</w:t>
      </w:r>
      <w:r>
        <w:rPr>
          <w:rFonts w:ascii="Times New Roman" w:eastAsia="宋体" w:hAnsi="Times New Roman" w:cs="Times New Roman"/>
          <w:color w:val="000000" w:themeColor="text1"/>
          <w:kern w:val="0"/>
          <w:sz w:val="20"/>
          <w:szCs w:val="20"/>
        </w:rPr>
        <w:t xml:space="preserve">[J]. </w:t>
      </w:r>
      <w:r>
        <w:rPr>
          <w:rFonts w:ascii="Times New Roman" w:eastAsia="宋体" w:hAnsi="Times New Roman" w:cs="Times New Roman"/>
          <w:color w:val="000000" w:themeColor="text1"/>
          <w:sz w:val="20"/>
          <w:szCs w:val="20"/>
          <w:shd w:val="clear" w:color="auto" w:fill="FFFFFF"/>
        </w:rPr>
        <w:t>2020 Oct;98(4S):S1-S115.DOI:10.1016/j.kint.2020.06.</w:t>
      </w:r>
      <w:r>
        <w:rPr>
          <w:rFonts w:ascii="Times New Roman" w:eastAsia="宋体" w:hAnsi="Times New Roman" w:cs="Times New Roman"/>
          <w:color w:val="000000" w:themeColor="text1"/>
          <w:sz w:val="20"/>
          <w:szCs w:val="20"/>
        </w:rPr>
        <w:t>.019</w:t>
      </w:r>
      <w:r>
        <w:rPr>
          <w:rFonts w:ascii="Times New Roman" w:eastAsia="宋体" w:hAnsi="Times New Roman" w:cs="Times New Roman" w:hint="eastAsia"/>
          <w:color w:val="000000" w:themeColor="text1"/>
          <w:sz w:val="20"/>
          <w:szCs w:val="20"/>
        </w:rPr>
        <w:t>.</w:t>
      </w:r>
    </w:p>
    <w:p w:rsidR="002E5476" w:rsidRDefault="002E5476">
      <w:pPr>
        <w:numPr>
          <w:ilvl w:val="255"/>
          <w:numId w:val="0"/>
        </w:numPr>
        <w:autoSpaceDE w:val="0"/>
        <w:autoSpaceDN w:val="0"/>
        <w:adjustRightInd w:val="0"/>
        <w:jc w:val="left"/>
        <w:rPr>
          <w:rFonts w:ascii="Times New Roman" w:eastAsia="宋体" w:hAnsi="Times New Roman" w:cs="Times New Roman"/>
          <w:color w:val="000000" w:themeColor="text1"/>
          <w:sz w:val="20"/>
          <w:szCs w:val="20"/>
        </w:rPr>
      </w:pPr>
    </w:p>
    <w:p w:rsidR="002E5476" w:rsidRDefault="002E5476">
      <w:pPr>
        <w:numPr>
          <w:ilvl w:val="255"/>
          <w:numId w:val="0"/>
        </w:numPr>
        <w:autoSpaceDE w:val="0"/>
        <w:autoSpaceDN w:val="0"/>
        <w:adjustRightInd w:val="0"/>
        <w:jc w:val="left"/>
        <w:rPr>
          <w:rFonts w:ascii="Times New Roman" w:eastAsia="宋体" w:hAnsi="Times New Roman" w:cs="Times New Roman"/>
          <w:color w:val="000000" w:themeColor="text1"/>
          <w:sz w:val="20"/>
          <w:szCs w:val="20"/>
        </w:rPr>
      </w:pPr>
    </w:p>
    <w:p w:rsidR="002E5476" w:rsidRDefault="002E5476">
      <w:pPr>
        <w:numPr>
          <w:ilvl w:val="255"/>
          <w:numId w:val="0"/>
        </w:numPr>
        <w:autoSpaceDE w:val="0"/>
        <w:autoSpaceDN w:val="0"/>
        <w:adjustRightInd w:val="0"/>
        <w:jc w:val="left"/>
        <w:rPr>
          <w:rFonts w:ascii="Times New Roman" w:eastAsia="宋体" w:hAnsi="Times New Roman" w:cs="Times New Roman"/>
          <w:color w:val="000000" w:themeColor="text1"/>
          <w:sz w:val="20"/>
          <w:szCs w:val="20"/>
        </w:rPr>
      </w:pPr>
    </w:p>
    <w:p w:rsidR="002E5476" w:rsidRDefault="002E5476">
      <w:pPr>
        <w:numPr>
          <w:ilvl w:val="255"/>
          <w:numId w:val="0"/>
        </w:numPr>
        <w:autoSpaceDE w:val="0"/>
        <w:autoSpaceDN w:val="0"/>
        <w:adjustRightInd w:val="0"/>
        <w:jc w:val="left"/>
        <w:rPr>
          <w:rFonts w:ascii="Times New Roman" w:eastAsia="宋体" w:hAnsi="Times New Roman" w:cs="Times New Roman"/>
          <w:color w:val="000000" w:themeColor="text1"/>
          <w:sz w:val="20"/>
          <w:szCs w:val="20"/>
        </w:rPr>
      </w:pPr>
    </w:p>
    <w:p w:rsidR="002E5476" w:rsidRDefault="002E5476">
      <w:pPr>
        <w:numPr>
          <w:ilvl w:val="255"/>
          <w:numId w:val="0"/>
        </w:numPr>
        <w:autoSpaceDE w:val="0"/>
        <w:autoSpaceDN w:val="0"/>
        <w:adjustRightInd w:val="0"/>
        <w:jc w:val="left"/>
        <w:rPr>
          <w:rFonts w:ascii="Times New Roman" w:eastAsia="宋体" w:hAnsi="Times New Roman" w:cs="Times New Roman"/>
          <w:color w:val="000000" w:themeColor="text1"/>
          <w:sz w:val="20"/>
          <w:szCs w:val="20"/>
        </w:rPr>
      </w:pPr>
    </w:p>
    <w:p w:rsidR="002E5476" w:rsidRDefault="002E5476">
      <w:pPr>
        <w:numPr>
          <w:ilvl w:val="255"/>
          <w:numId w:val="0"/>
        </w:numPr>
        <w:autoSpaceDE w:val="0"/>
        <w:autoSpaceDN w:val="0"/>
        <w:adjustRightInd w:val="0"/>
        <w:jc w:val="left"/>
        <w:rPr>
          <w:rFonts w:ascii="Times New Roman" w:eastAsia="宋体" w:hAnsi="Times New Roman" w:cs="Times New Roman"/>
          <w:color w:val="000000" w:themeColor="text1"/>
          <w:sz w:val="20"/>
          <w:szCs w:val="20"/>
        </w:rPr>
      </w:pPr>
    </w:p>
    <w:p w:rsidR="002E5476" w:rsidRDefault="002E5476">
      <w:pPr>
        <w:numPr>
          <w:ilvl w:val="255"/>
          <w:numId w:val="0"/>
        </w:numPr>
        <w:autoSpaceDE w:val="0"/>
        <w:autoSpaceDN w:val="0"/>
        <w:adjustRightInd w:val="0"/>
        <w:jc w:val="left"/>
        <w:rPr>
          <w:rFonts w:ascii="Times New Roman" w:eastAsia="宋体" w:hAnsi="Times New Roman" w:cs="Times New Roman"/>
          <w:color w:val="000000" w:themeColor="text1"/>
          <w:sz w:val="20"/>
          <w:szCs w:val="20"/>
        </w:rPr>
      </w:pPr>
    </w:p>
    <w:p w:rsidR="002E5476" w:rsidRDefault="002E5476">
      <w:pPr>
        <w:numPr>
          <w:ilvl w:val="255"/>
          <w:numId w:val="0"/>
        </w:numPr>
        <w:autoSpaceDE w:val="0"/>
        <w:autoSpaceDN w:val="0"/>
        <w:adjustRightInd w:val="0"/>
        <w:jc w:val="left"/>
        <w:rPr>
          <w:rFonts w:ascii="Times New Roman" w:eastAsia="宋体" w:hAnsi="Times New Roman" w:cs="Times New Roman"/>
          <w:color w:val="000000" w:themeColor="text1"/>
          <w:sz w:val="20"/>
          <w:szCs w:val="20"/>
        </w:rPr>
      </w:pPr>
    </w:p>
    <w:p w:rsidR="002E5476" w:rsidRDefault="002E5476">
      <w:pPr>
        <w:spacing w:line="600" w:lineRule="exact"/>
        <w:jc w:val="left"/>
        <w:rPr>
          <w:rFonts w:eastAsia="仿宋" w:cs="Times New Roman"/>
          <w:b/>
          <w:sz w:val="36"/>
          <w:szCs w:val="36"/>
        </w:rPr>
      </w:pPr>
    </w:p>
    <w:p w:rsidR="002E5476" w:rsidRDefault="002E5476">
      <w:pPr>
        <w:spacing w:line="600" w:lineRule="exact"/>
        <w:jc w:val="left"/>
        <w:rPr>
          <w:rFonts w:eastAsia="仿宋" w:cs="Times New Roman"/>
          <w:b/>
          <w:sz w:val="36"/>
          <w:szCs w:val="36"/>
        </w:rPr>
      </w:pPr>
    </w:p>
    <w:p w:rsidR="002E5476" w:rsidRDefault="002E5476">
      <w:pPr>
        <w:spacing w:line="600" w:lineRule="exact"/>
        <w:jc w:val="left"/>
        <w:rPr>
          <w:rFonts w:eastAsia="仿宋" w:cs="Times New Roman"/>
          <w:b/>
          <w:sz w:val="36"/>
          <w:szCs w:val="36"/>
        </w:rPr>
      </w:pPr>
    </w:p>
    <w:p w:rsidR="002E5476" w:rsidRDefault="002E5476">
      <w:pPr>
        <w:spacing w:line="600" w:lineRule="exact"/>
        <w:jc w:val="left"/>
        <w:rPr>
          <w:rFonts w:eastAsia="仿宋" w:cs="Times New Roman"/>
          <w:b/>
          <w:sz w:val="36"/>
          <w:szCs w:val="36"/>
        </w:rPr>
      </w:pPr>
    </w:p>
    <w:p w:rsidR="002E5476" w:rsidRDefault="002E5476">
      <w:pPr>
        <w:spacing w:line="600" w:lineRule="exact"/>
        <w:jc w:val="left"/>
        <w:rPr>
          <w:rFonts w:eastAsia="仿宋" w:cs="Times New Roman"/>
          <w:b/>
          <w:sz w:val="36"/>
          <w:szCs w:val="36"/>
        </w:rPr>
      </w:pPr>
    </w:p>
    <w:p w:rsidR="002E5476" w:rsidRDefault="002E5476">
      <w:pPr>
        <w:spacing w:line="600" w:lineRule="exact"/>
        <w:jc w:val="left"/>
        <w:rPr>
          <w:rFonts w:eastAsia="仿宋" w:cs="Times New Roman"/>
          <w:b/>
          <w:sz w:val="36"/>
          <w:szCs w:val="36"/>
        </w:rPr>
      </w:pPr>
    </w:p>
    <w:p w:rsidR="0082524C" w:rsidRDefault="0082524C">
      <w:pPr>
        <w:spacing w:line="600" w:lineRule="exact"/>
        <w:jc w:val="left"/>
        <w:rPr>
          <w:rFonts w:eastAsia="仿宋" w:cs="Times New Roman"/>
          <w:b/>
          <w:sz w:val="36"/>
          <w:szCs w:val="36"/>
        </w:rPr>
      </w:pPr>
    </w:p>
    <w:p w:rsidR="0082524C" w:rsidRDefault="0082524C">
      <w:pPr>
        <w:spacing w:line="600" w:lineRule="exact"/>
        <w:jc w:val="left"/>
        <w:rPr>
          <w:rFonts w:eastAsia="仿宋" w:cs="Times New Roman"/>
          <w:b/>
          <w:sz w:val="36"/>
          <w:szCs w:val="36"/>
        </w:rPr>
      </w:pPr>
    </w:p>
    <w:p w:rsidR="0082524C" w:rsidRDefault="0082524C">
      <w:pPr>
        <w:spacing w:line="600" w:lineRule="exact"/>
        <w:jc w:val="left"/>
        <w:rPr>
          <w:rFonts w:eastAsia="仿宋" w:cs="Times New Roman"/>
          <w:b/>
          <w:sz w:val="36"/>
          <w:szCs w:val="36"/>
        </w:rPr>
      </w:pPr>
    </w:p>
    <w:p w:rsidR="0082524C" w:rsidRDefault="0082524C">
      <w:pPr>
        <w:spacing w:line="600" w:lineRule="exact"/>
        <w:jc w:val="left"/>
        <w:rPr>
          <w:rFonts w:eastAsia="仿宋" w:cs="Times New Roman"/>
          <w:b/>
          <w:sz w:val="36"/>
          <w:szCs w:val="36"/>
        </w:rPr>
      </w:pPr>
    </w:p>
    <w:p w:rsidR="002E5476" w:rsidRDefault="002E5476">
      <w:pPr>
        <w:spacing w:line="600" w:lineRule="exact"/>
        <w:jc w:val="left"/>
        <w:rPr>
          <w:rFonts w:eastAsia="仿宋" w:cs="Times New Roman"/>
          <w:b/>
          <w:sz w:val="36"/>
          <w:szCs w:val="36"/>
        </w:rPr>
      </w:pPr>
      <w:bookmarkStart w:id="41" w:name="_GoBack"/>
      <w:bookmarkEnd w:id="41"/>
    </w:p>
    <w:p w:rsidR="00026E52" w:rsidRPr="00026E52" w:rsidRDefault="00026E52">
      <w:pPr>
        <w:spacing w:line="600" w:lineRule="exact"/>
        <w:jc w:val="left"/>
        <w:rPr>
          <w:rFonts w:eastAsia="仿宋" w:cs="Times New Roman"/>
          <w:b/>
          <w:sz w:val="36"/>
          <w:szCs w:val="36"/>
        </w:rPr>
      </w:pPr>
    </w:p>
    <w:p w:rsidR="002E5476" w:rsidRDefault="00423E71">
      <w:pPr>
        <w:spacing w:line="600" w:lineRule="exact"/>
        <w:jc w:val="center"/>
        <w:rPr>
          <w:rFonts w:ascii="宋体" w:eastAsia="宋体" w:hAnsi="宋体" w:cs="宋体"/>
          <w:b/>
          <w:sz w:val="32"/>
          <w:szCs w:val="32"/>
        </w:rPr>
      </w:pPr>
      <w:r>
        <w:rPr>
          <w:rFonts w:ascii="宋体" w:eastAsia="宋体" w:hAnsi="宋体" w:cs="宋体" w:hint="eastAsia"/>
          <w:b/>
          <w:sz w:val="32"/>
          <w:szCs w:val="32"/>
        </w:rPr>
        <w:lastRenderedPageBreak/>
        <w:t>起草专家组</w:t>
      </w:r>
    </w:p>
    <w:p w:rsidR="0082524C" w:rsidRDefault="0082524C">
      <w:pPr>
        <w:spacing w:line="600" w:lineRule="exact"/>
        <w:jc w:val="center"/>
        <w:rPr>
          <w:rFonts w:ascii="宋体" w:eastAsia="宋体" w:hAnsi="宋体" w:cs="宋体"/>
          <w:b/>
          <w:sz w:val="32"/>
          <w:szCs w:val="32"/>
        </w:rPr>
      </w:pPr>
    </w:p>
    <w:tbl>
      <w:tblPr>
        <w:tblW w:w="9371" w:type="dxa"/>
        <w:tblInd w:w="93" w:type="dxa"/>
        <w:tblLayout w:type="fixed"/>
        <w:tblLook w:val="04A0"/>
      </w:tblPr>
      <w:tblGrid>
        <w:gridCol w:w="2114"/>
        <w:gridCol w:w="3997"/>
        <w:gridCol w:w="3260"/>
      </w:tblGrid>
      <w:tr w:rsidR="002E5476" w:rsidRPr="0082524C">
        <w:trPr>
          <w:trHeight w:val="425"/>
        </w:trPr>
        <w:tc>
          <w:tcPr>
            <w:tcW w:w="9371" w:type="dxa"/>
            <w:gridSpan w:val="3"/>
            <w:shd w:val="clear" w:color="auto" w:fill="auto"/>
            <w:noWrap/>
            <w:vAlign w:val="center"/>
          </w:tcPr>
          <w:p w:rsidR="002E5476" w:rsidRPr="00870C42" w:rsidRDefault="00423E71">
            <w:pPr>
              <w:textAlignment w:val="center"/>
              <w:rPr>
                <w:rFonts w:ascii="宋体" w:eastAsia="宋体" w:hAnsi="宋体" w:cs="宋体"/>
                <w:b/>
                <w:color w:val="000000" w:themeColor="text1"/>
                <w:sz w:val="24"/>
                <w:szCs w:val="24"/>
              </w:rPr>
            </w:pPr>
            <w:r w:rsidRPr="00870C42">
              <w:rPr>
                <w:rFonts w:ascii="宋体" w:eastAsia="宋体" w:hAnsi="宋体" w:cs="宋体" w:hint="eastAsia"/>
                <w:b/>
                <w:color w:val="000000" w:themeColor="text1"/>
                <w:sz w:val="24"/>
                <w:szCs w:val="24"/>
              </w:rPr>
              <w:t>顾问</w:t>
            </w:r>
            <w:r w:rsidR="00870C42" w:rsidRPr="00870C42">
              <w:rPr>
                <w:rFonts w:ascii="宋体" w:eastAsia="宋体" w:hAnsi="宋体" w:cs="宋体" w:hint="eastAsia"/>
                <w:b/>
                <w:bCs/>
                <w:color w:val="000000" w:themeColor="text1"/>
                <w:sz w:val="24"/>
                <w:szCs w:val="24"/>
              </w:rPr>
              <w:t>（以姓氏拼音为序）</w:t>
            </w:r>
            <w:r w:rsidRPr="00870C42">
              <w:rPr>
                <w:rFonts w:ascii="宋体" w:eastAsia="宋体" w:hAnsi="宋体" w:cs="宋体" w:hint="eastAsia"/>
                <w:b/>
                <w:color w:val="000000" w:themeColor="text1"/>
                <w:sz w:val="24"/>
                <w:szCs w:val="24"/>
              </w:rPr>
              <w:t>：</w:t>
            </w:r>
          </w:p>
        </w:tc>
      </w:tr>
      <w:tr w:rsidR="002E5476" w:rsidRPr="0082524C">
        <w:trPr>
          <w:trHeight w:val="425"/>
        </w:trPr>
        <w:tc>
          <w:tcPr>
            <w:tcW w:w="2114" w:type="dxa"/>
            <w:shd w:val="clear" w:color="auto" w:fill="auto"/>
            <w:noWrap/>
            <w:vAlign w:val="center"/>
          </w:tcPr>
          <w:p w:rsidR="002E5476" w:rsidRPr="0082524C" w:rsidRDefault="00423E71">
            <w:pPr>
              <w:textAlignment w:val="center"/>
              <w:rPr>
                <w:rFonts w:ascii="宋体" w:eastAsia="宋体" w:hAnsi="宋体" w:cs="宋体"/>
                <w:color w:val="000000" w:themeColor="text1"/>
                <w:sz w:val="24"/>
                <w:szCs w:val="24"/>
              </w:rPr>
            </w:pPr>
            <w:r w:rsidRPr="0082524C">
              <w:rPr>
                <w:rFonts w:ascii="宋体" w:eastAsia="宋体" w:hAnsi="宋体" w:cs="宋体" w:hint="eastAsia"/>
                <w:color w:val="000000" w:themeColor="text1"/>
                <w:sz w:val="24"/>
                <w:szCs w:val="24"/>
              </w:rPr>
              <w:t>娄探奇</w:t>
            </w:r>
          </w:p>
        </w:tc>
        <w:tc>
          <w:tcPr>
            <w:tcW w:w="3997" w:type="dxa"/>
            <w:shd w:val="clear" w:color="auto" w:fill="auto"/>
            <w:noWrap/>
            <w:vAlign w:val="center"/>
          </w:tcPr>
          <w:p w:rsidR="002E5476" w:rsidRPr="0082524C" w:rsidRDefault="00423E71">
            <w:pPr>
              <w:textAlignment w:val="center"/>
              <w:rPr>
                <w:rFonts w:ascii="宋体" w:eastAsia="宋体" w:hAnsi="宋体" w:cs="宋体"/>
                <w:color w:val="000000" w:themeColor="text1"/>
                <w:sz w:val="24"/>
                <w:szCs w:val="24"/>
              </w:rPr>
            </w:pPr>
            <w:r w:rsidRPr="0082524C">
              <w:rPr>
                <w:rFonts w:ascii="宋体" w:eastAsia="宋体" w:hAnsi="宋体" w:cs="宋体" w:hint="eastAsia"/>
                <w:color w:val="000000" w:themeColor="text1"/>
                <w:sz w:val="24"/>
                <w:szCs w:val="24"/>
              </w:rPr>
              <w:t>中山大学附属第三医院</w:t>
            </w:r>
          </w:p>
        </w:tc>
        <w:tc>
          <w:tcPr>
            <w:tcW w:w="3260" w:type="dxa"/>
            <w:shd w:val="clear" w:color="auto" w:fill="auto"/>
            <w:noWrap/>
            <w:vAlign w:val="center"/>
          </w:tcPr>
          <w:p w:rsidR="002E5476" w:rsidRPr="0082524C" w:rsidRDefault="00423E71">
            <w:pPr>
              <w:textAlignment w:val="center"/>
              <w:rPr>
                <w:rFonts w:ascii="宋体" w:eastAsia="宋体" w:hAnsi="宋体" w:cs="宋体"/>
                <w:color w:val="000000" w:themeColor="text1"/>
                <w:sz w:val="24"/>
                <w:szCs w:val="24"/>
              </w:rPr>
            </w:pPr>
            <w:r w:rsidRPr="0082524C">
              <w:rPr>
                <w:rFonts w:ascii="宋体" w:eastAsia="宋体" w:hAnsi="宋体" w:cs="宋体" w:hint="eastAsia"/>
                <w:color w:val="000000" w:themeColor="text1"/>
                <w:sz w:val="24"/>
                <w:szCs w:val="24"/>
              </w:rPr>
              <w:t>主任医师</w:t>
            </w:r>
          </w:p>
        </w:tc>
      </w:tr>
      <w:tr w:rsidR="002E5476" w:rsidRPr="0082524C">
        <w:trPr>
          <w:trHeight w:val="425"/>
        </w:trPr>
        <w:tc>
          <w:tcPr>
            <w:tcW w:w="2114" w:type="dxa"/>
            <w:shd w:val="clear" w:color="auto" w:fill="auto"/>
            <w:noWrap/>
            <w:vAlign w:val="center"/>
          </w:tcPr>
          <w:p w:rsidR="002E5476" w:rsidRPr="0082524C" w:rsidRDefault="00423E71">
            <w:pPr>
              <w:textAlignment w:val="center"/>
              <w:rPr>
                <w:rFonts w:ascii="宋体" w:eastAsia="宋体" w:hAnsi="宋体" w:cs="宋体"/>
                <w:color w:val="000000" w:themeColor="text1"/>
                <w:sz w:val="24"/>
                <w:szCs w:val="24"/>
              </w:rPr>
            </w:pPr>
            <w:r w:rsidRPr="0082524C">
              <w:rPr>
                <w:rFonts w:ascii="宋体" w:eastAsia="宋体" w:hAnsi="宋体" w:cs="宋体" w:hint="eastAsia"/>
                <w:color w:val="000000" w:themeColor="text1"/>
                <w:sz w:val="24"/>
                <w:szCs w:val="24"/>
              </w:rPr>
              <w:t>郑志华</w:t>
            </w:r>
          </w:p>
        </w:tc>
        <w:tc>
          <w:tcPr>
            <w:tcW w:w="3997" w:type="dxa"/>
            <w:shd w:val="clear" w:color="auto" w:fill="auto"/>
            <w:noWrap/>
            <w:vAlign w:val="center"/>
          </w:tcPr>
          <w:p w:rsidR="002E5476" w:rsidRPr="0082524C" w:rsidRDefault="00423E71">
            <w:pPr>
              <w:textAlignment w:val="center"/>
              <w:rPr>
                <w:rFonts w:ascii="宋体" w:eastAsia="宋体" w:hAnsi="宋体" w:cs="宋体"/>
                <w:color w:val="000000" w:themeColor="text1"/>
                <w:sz w:val="24"/>
                <w:szCs w:val="24"/>
              </w:rPr>
            </w:pPr>
            <w:r w:rsidRPr="0082524C">
              <w:rPr>
                <w:rFonts w:ascii="宋体" w:eastAsia="宋体" w:hAnsi="宋体" w:cs="宋体" w:hint="eastAsia"/>
                <w:color w:val="000000" w:themeColor="text1"/>
                <w:sz w:val="24"/>
                <w:szCs w:val="24"/>
              </w:rPr>
              <w:t>广东省药学会</w:t>
            </w:r>
          </w:p>
        </w:tc>
        <w:tc>
          <w:tcPr>
            <w:tcW w:w="3260" w:type="dxa"/>
            <w:shd w:val="clear" w:color="auto" w:fill="auto"/>
            <w:noWrap/>
            <w:vAlign w:val="center"/>
          </w:tcPr>
          <w:p w:rsidR="002E5476" w:rsidRPr="0082524C" w:rsidRDefault="0082524C" w:rsidP="0082524C">
            <w:pPr>
              <w:textAlignment w:val="center"/>
              <w:rPr>
                <w:rFonts w:ascii="宋体" w:eastAsia="宋体" w:hAnsi="宋体" w:cs="宋体"/>
                <w:color w:val="000000" w:themeColor="text1"/>
                <w:sz w:val="24"/>
                <w:szCs w:val="24"/>
              </w:rPr>
            </w:pPr>
            <w:r w:rsidRPr="0082524C">
              <w:rPr>
                <w:rFonts w:ascii="宋体" w:eastAsia="宋体" w:hAnsi="宋体" w:cs="宋体" w:hint="eastAsia"/>
                <w:color w:val="000000" w:themeColor="text1"/>
                <w:sz w:val="24"/>
                <w:szCs w:val="24"/>
              </w:rPr>
              <w:t>主任药师、</w:t>
            </w:r>
            <w:r w:rsidR="00423E71" w:rsidRPr="0082524C">
              <w:rPr>
                <w:rFonts w:ascii="宋体" w:eastAsia="宋体" w:hAnsi="宋体" w:cs="宋体" w:hint="eastAsia"/>
                <w:color w:val="000000" w:themeColor="text1"/>
                <w:sz w:val="24"/>
                <w:szCs w:val="24"/>
              </w:rPr>
              <w:t>副理事长兼秘书长</w:t>
            </w:r>
          </w:p>
        </w:tc>
      </w:tr>
      <w:tr w:rsidR="002E5476" w:rsidRPr="0082524C">
        <w:trPr>
          <w:trHeight w:val="425"/>
        </w:trPr>
        <w:tc>
          <w:tcPr>
            <w:tcW w:w="9371" w:type="dxa"/>
            <w:gridSpan w:val="3"/>
            <w:shd w:val="clear" w:color="auto" w:fill="auto"/>
            <w:noWrap/>
            <w:vAlign w:val="center"/>
          </w:tcPr>
          <w:p w:rsidR="002E5476" w:rsidRPr="0082524C" w:rsidRDefault="00423E71">
            <w:pPr>
              <w:rPr>
                <w:rFonts w:ascii="宋体" w:eastAsia="宋体" w:hAnsi="宋体" w:cs="宋体"/>
                <w:b/>
                <w:color w:val="000000" w:themeColor="text1"/>
                <w:sz w:val="24"/>
                <w:szCs w:val="24"/>
              </w:rPr>
            </w:pPr>
            <w:r w:rsidRPr="0082524C">
              <w:rPr>
                <w:rFonts w:ascii="宋体" w:eastAsia="宋体" w:hAnsi="宋体" w:cs="宋体" w:hint="eastAsia"/>
                <w:b/>
                <w:color w:val="000000" w:themeColor="text1"/>
                <w:sz w:val="24"/>
                <w:szCs w:val="24"/>
              </w:rPr>
              <w:t>执笔：</w:t>
            </w:r>
          </w:p>
        </w:tc>
      </w:tr>
      <w:tr w:rsidR="002E5476" w:rsidRPr="0082524C">
        <w:trPr>
          <w:trHeight w:val="425"/>
        </w:trPr>
        <w:tc>
          <w:tcPr>
            <w:tcW w:w="2114" w:type="dxa"/>
            <w:shd w:val="clear" w:color="auto" w:fill="auto"/>
            <w:noWrap/>
            <w:vAlign w:val="center"/>
          </w:tcPr>
          <w:p w:rsidR="002E5476" w:rsidRPr="0082524C" w:rsidRDefault="00423E71">
            <w:pPr>
              <w:textAlignment w:val="center"/>
              <w:rPr>
                <w:rFonts w:ascii="宋体" w:eastAsia="宋体" w:hAnsi="宋体" w:cs="宋体"/>
                <w:color w:val="000000" w:themeColor="text1"/>
                <w:sz w:val="24"/>
                <w:szCs w:val="24"/>
              </w:rPr>
            </w:pPr>
            <w:r w:rsidRPr="0082524C">
              <w:rPr>
                <w:rFonts w:ascii="宋体" w:eastAsia="宋体" w:hAnsi="宋体" w:cs="宋体" w:hint="eastAsia"/>
                <w:color w:val="000000" w:themeColor="text1"/>
                <w:sz w:val="24"/>
                <w:szCs w:val="24"/>
              </w:rPr>
              <w:t>彭晖</w:t>
            </w:r>
          </w:p>
        </w:tc>
        <w:tc>
          <w:tcPr>
            <w:tcW w:w="3997" w:type="dxa"/>
            <w:shd w:val="clear" w:color="auto" w:fill="auto"/>
            <w:noWrap/>
            <w:vAlign w:val="center"/>
          </w:tcPr>
          <w:p w:rsidR="002E5476" w:rsidRPr="0082524C" w:rsidRDefault="00423E71">
            <w:pPr>
              <w:textAlignment w:val="center"/>
              <w:rPr>
                <w:rFonts w:ascii="宋体" w:eastAsia="宋体" w:hAnsi="宋体" w:cs="宋体"/>
                <w:color w:val="000000" w:themeColor="text1"/>
                <w:sz w:val="24"/>
                <w:szCs w:val="24"/>
              </w:rPr>
            </w:pPr>
            <w:r w:rsidRPr="0082524C">
              <w:rPr>
                <w:rFonts w:ascii="宋体" w:eastAsia="宋体" w:hAnsi="宋体" w:cs="宋体" w:hint="eastAsia"/>
                <w:color w:val="000000" w:themeColor="text1"/>
                <w:sz w:val="24"/>
                <w:szCs w:val="24"/>
              </w:rPr>
              <w:t>中山大学附属第三医院</w:t>
            </w:r>
          </w:p>
        </w:tc>
        <w:tc>
          <w:tcPr>
            <w:tcW w:w="3260" w:type="dxa"/>
            <w:shd w:val="clear" w:color="auto" w:fill="auto"/>
            <w:noWrap/>
            <w:vAlign w:val="center"/>
          </w:tcPr>
          <w:p w:rsidR="002E5476" w:rsidRPr="0082524C" w:rsidRDefault="00423E71">
            <w:pPr>
              <w:textAlignment w:val="center"/>
              <w:rPr>
                <w:rFonts w:ascii="宋体" w:eastAsia="宋体" w:hAnsi="宋体" w:cs="宋体"/>
                <w:color w:val="000000" w:themeColor="text1"/>
                <w:sz w:val="24"/>
                <w:szCs w:val="24"/>
              </w:rPr>
            </w:pPr>
            <w:r w:rsidRPr="0082524C">
              <w:rPr>
                <w:rFonts w:ascii="宋体" w:eastAsia="宋体" w:hAnsi="宋体" w:cs="宋体" w:hint="eastAsia"/>
                <w:color w:val="000000" w:themeColor="text1"/>
                <w:sz w:val="24"/>
                <w:szCs w:val="24"/>
              </w:rPr>
              <w:t>主任医师</w:t>
            </w:r>
          </w:p>
        </w:tc>
      </w:tr>
      <w:tr w:rsidR="002E5476" w:rsidRPr="0082524C">
        <w:trPr>
          <w:trHeight w:val="425"/>
        </w:trPr>
        <w:tc>
          <w:tcPr>
            <w:tcW w:w="2114" w:type="dxa"/>
            <w:shd w:val="clear" w:color="auto" w:fill="auto"/>
            <w:noWrap/>
            <w:vAlign w:val="center"/>
          </w:tcPr>
          <w:p w:rsidR="002E5476" w:rsidRPr="0082524C" w:rsidRDefault="00423E71">
            <w:pPr>
              <w:textAlignment w:val="center"/>
              <w:rPr>
                <w:rFonts w:ascii="宋体" w:eastAsia="宋体" w:hAnsi="宋体" w:cs="宋体"/>
                <w:color w:val="000000" w:themeColor="text1"/>
                <w:sz w:val="24"/>
                <w:szCs w:val="24"/>
              </w:rPr>
            </w:pPr>
            <w:r w:rsidRPr="0082524C">
              <w:rPr>
                <w:rFonts w:ascii="宋体" w:eastAsia="宋体" w:hAnsi="宋体" w:cs="宋体" w:hint="eastAsia"/>
                <w:color w:val="000000" w:themeColor="text1"/>
                <w:sz w:val="24"/>
                <w:szCs w:val="24"/>
              </w:rPr>
              <w:t>张俊</w:t>
            </w:r>
          </w:p>
        </w:tc>
        <w:tc>
          <w:tcPr>
            <w:tcW w:w="3997" w:type="dxa"/>
            <w:shd w:val="clear" w:color="auto" w:fill="auto"/>
            <w:noWrap/>
            <w:vAlign w:val="center"/>
          </w:tcPr>
          <w:p w:rsidR="002E5476" w:rsidRPr="0082524C" w:rsidRDefault="00423E71">
            <w:pPr>
              <w:textAlignment w:val="center"/>
              <w:rPr>
                <w:rFonts w:ascii="宋体" w:eastAsia="宋体" w:hAnsi="宋体" w:cs="宋体"/>
                <w:color w:val="000000" w:themeColor="text1"/>
                <w:sz w:val="24"/>
                <w:szCs w:val="24"/>
              </w:rPr>
            </w:pPr>
            <w:r w:rsidRPr="0082524C">
              <w:rPr>
                <w:rFonts w:ascii="宋体" w:eastAsia="宋体" w:hAnsi="宋体" w:cs="宋体" w:hint="eastAsia"/>
                <w:color w:val="000000" w:themeColor="text1"/>
                <w:sz w:val="24"/>
                <w:szCs w:val="24"/>
              </w:rPr>
              <w:t>中山大学附属第三医院</w:t>
            </w:r>
          </w:p>
        </w:tc>
        <w:tc>
          <w:tcPr>
            <w:tcW w:w="3260" w:type="dxa"/>
            <w:shd w:val="clear" w:color="auto" w:fill="auto"/>
            <w:noWrap/>
            <w:vAlign w:val="center"/>
          </w:tcPr>
          <w:p w:rsidR="002E5476" w:rsidRPr="0082524C" w:rsidRDefault="00423E71">
            <w:pPr>
              <w:textAlignment w:val="center"/>
              <w:rPr>
                <w:rFonts w:ascii="宋体" w:eastAsia="宋体" w:hAnsi="宋体" w:cs="宋体"/>
                <w:color w:val="000000" w:themeColor="text1"/>
                <w:sz w:val="24"/>
                <w:szCs w:val="24"/>
              </w:rPr>
            </w:pPr>
            <w:r w:rsidRPr="0082524C">
              <w:rPr>
                <w:rFonts w:ascii="宋体" w:eastAsia="宋体" w:hAnsi="宋体" w:cs="宋体" w:hint="eastAsia"/>
                <w:color w:val="000000" w:themeColor="text1"/>
                <w:sz w:val="24"/>
                <w:szCs w:val="24"/>
              </w:rPr>
              <w:t>主任医师</w:t>
            </w:r>
          </w:p>
        </w:tc>
      </w:tr>
      <w:tr w:rsidR="002E5476" w:rsidRPr="0082524C">
        <w:trPr>
          <w:trHeight w:val="425"/>
        </w:trPr>
        <w:tc>
          <w:tcPr>
            <w:tcW w:w="2114" w:type="dxa"/>
            <w:shd w:val="clear" w:color="auto" w:fill="auto"/>
            <w:noWrap/>
            <w:vAlign w:val="center"/>
          </w:tcPr>
          <w:p w:rsidR="002E5476" w:rsidRPr="0082524C" w:rsidRDefault="00423E71">
            <w:pPr>
              <w:textAlignment w:val="center"/>
              <w:rPr>
                <w:rFonts w:ascii="宋体" w:eastAsia="宋体" w:hAnsi="宋体" w:cs="宋体"/>
                <w:color w:val="000000" w:themeColor="text1"/>
                <w:sz w:val="24"/>
                <w:szCs w:val="24"/>
              </w:rPr>
            </w:pPr>
            <w:r w:rsidRPr="0082524C">
              <w:rPr>
                <w:rFonts w:ascii="宋体" w:eastAsia="宋体" w:hAnsi="宋体" w:cs="宋体" w:hint="eastAsia"/>
                <w:color w:val="000000" w:themeColor="text1"/>
                <w:sz w:val="24"/>
                <w:szCs w:val="24"/>
              </w:rPr>
              <w:t>张悦阳</w:t>
            </w:r>
          </w:p>
        </w:tc>
        <w:tc>
          <w:tcPr>
            <w:tcW w:w="3997" w:type="dxa"/>
            <w:shd w:val="clear" w:color="auto" w:fill="auto"/>
            <w:noWrap/>
            <w:vAlign w:val="center"/>
          </w:tcPr>
          <w:p w:rsidR="002E5476" w:rsidRPr="0082524C" w:rsidRDefault="00423E71">
            <w:pPr>
              <w:textAlignment w:val="center"/>
              <w:rPr>
                <w:rFonts w:ascii="宋体" w:eastAsia="宋体" w:hAnsi="宋体" w:cs="宋体"/>
                <w:color w:val="000000" w:themeColor="text1"/>
                <w:sz w:val="24"/>
                <w:szCs w:val="24"/>
              </w:rPr>
            </w:pPr>
            <w:r w:rsidRPr="0082524C">
              <w:rPr>
                <w:rFonts w:ascii="宋体" w:eastAsia="宋体" w:hAnsi="宋体" w:cs="宋体" w:hint="eastAsia"/>
                <w:color w:val="000000" w:themeColor="text1"/>
                <w:sz w:val="24"/>
                <w:szCs w:val="24"/>
              </w:rPr>
              <w:t>中山大学附属第三医院</w:t>
            </w:r>
          </w:p>
        </w:tc>
        <w:tc>
          <w:tcPr>
            <w:tcW w:w="3260" w:type="dxa"/>
            <w:shd w:val="clear" w:color="auto" w:fill="auto"/>
            <w:noWrap/>
            <w:vAlign w:val="center"/>
          </w:tcPr>
          <w:p w:rsidR="002E5476" w:rsidRPr="0082524C" w:rsidRDefault="00423E71">
            <w:pPr>
              <w:textAlignment w:val="center"/>
              <w:rPr>
                <w:rFonts w:ascii="宋体" w:eastAsia="宋体" w:hAnsi="宋体" w:cs="宋体"/>
                <w:color w:val="000000" w:themeColor="text1"/>
                <w:sz w:val="24"/>
                <w:szCs w:val="24"/>
              </w:rPr>
            </w:pPr>
            <w:r w:rsidRPr="0082524C">
              <w:rPr>
                <w:rFonts w:ascii="宋体" w:eastAsia="宋体" w:hAnsi="宋体" w:cs="宋体" w:hint="eastAsia"/>
                <w:color w:val="000000" w:themeColor="text1"/>
                <w:sz w:val="24"/>
                <w:szCs w:val="24"/>
              </w:rPr>
              <w:t>主管药师</w:t>
            </w:r>
          </w:p>
        </w:tc>
      </w:tr>
      <w:tr w:rsidR="002E5476" w:rsidRPr="0082524C">
        <w:trPr>
          <w:trHeight w:val="425"/>
        </w:trPr>
        <w:tc>
          <w:tcPr>
            <w:tcW w:w="9371" w:type="dxa"/>
            <w:gridSpan w:val="3"/>
            <w:shd w:val="clear" w:color="auto" w:fill="auto"/>
            <w:noWrap/>
            <w:vAlign w:val="center"/>
          </w:tcPr>
          <w:p w:rsidR="002E5476" w:rsidRPr="0082524C" w:rsidRDefault="00423E71">
            <w:pPr>
              <w:textAlignment w:val="center"/>
              <w:rPr>
                <w:rFonts w:ascii="宋体" w:eastAsia="宋体" w:hAnsi="宋体" w:cs="宋体"/>
                <w:b/>
                <w:color w:val="000000" w:themeColor="text1"/>
                <w:sz w:val="24"/>
                <w:szCs w:val="24"/>
              </w:rPr>
            </w:pPr>
            <w:r w:rsidRPr="0082524C">
              <w:rPr>
                <w:rFonts w:ascii="宋体" w:eastAsia="宋体" w:hAnsi="宋体" w:cs="宋体" w:hint="eastAsia"/>
                <w:b/>
                <w:color w:val="000000" w:themeColor="text1"/>
                <w:sz w:val="24"/>
                <w:szCs w:val="24"/>
              </w:rPr>
              <w:t>成员（以姓氏</w:t>
            </w:r>
            <w:r w:rsidR="00870C42">
              <w:rPr>
                <w:rFonts w:ascii="宋体" w:eastAsia="宋体" w:hAnsi="宋体" w:cs="宋体" w:hint="eastAsia"/>
                <w:b/>
                <w:color w:val="000000" w:themeColor="text1"/>
                <w:sz w:val="24"/>
                <w:szCs w:val="24"/>
              </w:rPr>
              <w:t>拼音</w:t>
            </w:r>
            <w:r w:rsidRPr="0082524C">
              <w:rPr>
                <w:rFonts w:ascii="宋体" w:eastAsia="宋体" w:hAnsi="宋体" w:cs="宋体" w:hint="eastAsia"/>
                <w:b/>
                <w:color w:val="000000" w:themeColor="text1"/>
                <w:sz w:val="24"/>
                <w:szCs w:val="24"/>
              </w:rPr>
              <w:t>为序）：</w:t>
            </w:r>
          </w:p>
        </w:tc>
      </w:tr>
      <w:tr w:rsidR="002E5476" w:rsidRPr="0082524C">
        <w:trPr>
          <w:trHeight w:val="425"/>
        </w:trPr>
        <w:tc>
          <w:tcPr>
            <w:tcW w:w="2114" w:type="dxa"/>
            <w:shd w:val="clear" w:color="auto" w:fill="auto"/>
            <w:noWrap/>
            <w:vAlign w:val="center"/>
          </w:tcPr>
          <w:p w:rsidR="002E5476" w:rsidRPr="0082524C" w:rsidRDefault="00423E71">
            <w:pPr>
              <w:textAlignment w:val="center"/>
              <w:rPr>
                <w:rFonts w:asciiTheme="minorEastAsia" w:hAnsiTheme="minorEastAsia" w:cs="Times New Roman"/>
                <w:sz w:val="24"/>
                <w:szCs w:val="24"/>
              </w:rPr>
            </w:pPr>
            <w:r w:rsidRPr="0082524C">
              <w:rPr>
                <w:rFonts w:asciiTheme="minorEastAsia" w:hAnsiTheme="minorEastAsia" w:cs="Times New Roman" w:hint="eastAsia"/>
                <w:sz w:val="24"/>
                <w:szCs w:val="24"/>
              </w:rPr>
              <w:t>陈崴</w:t>
            </w:r>
          </w:p>
        </w:tc>
        <w:tc>
          <w:tcPr>
            <w:tcW w:w="3997" w:type="dxa"/>
            <w:shd w:val="clear" w:color="auto" w:fill="auto"/>
            <w:noWrap/>
            <w:vAlign w:val="center"/>
          </w:tcPr>
          <w:p w:rsidR="002E5476" w:rsidRPr="0082524C" w:rsidRDefault="00423E71">
            <w:pPr>
              <w:textAlignment w:val="center"/>
              <w:rPr>
                <w:rFonts w:asciiTheme="minorEastAsia" w:hAnsiTheme="minorEastAsia" w:cs="Times New Roman"/>
                <w:sz w:val="24"/>
                <w:szCs w:val="24"/>
              </w:rPr>
            </w:pPr>
            <w:r w:rsidRPr="0082524C">
              <w:rPr>
                <w:rFonts w:asciiTheme="minorEastAsia" w:hAnsiTheme="minorEastAsia" w:cs="Times New Roman" w:hint="eastAsia"/>
                <w:sz w:val="24"/>
                <w:szCs w:val="24"/>
              </w:rPr>
              <w:t>中山大学附属第一医院</w:t>
            </w:r>
          </w:p>
        </w:tc>
        <w:tc>
          <w:tcPr>
            <w:tcW w:w="3260" w:type="dxa"/>
            <w:shd w:val="clear" w:color="auto" w:fill="auto"/>
            <w:noWrap/>
            <w:vAlign w:val="center"/>
          </w:tcPr>
          <w:p w:rsidR="002E5476" w:rsidRPr="0082524C" w:rsidRDefault="00423E71">
            <w:pPr>
              <w:textAlignment w:val="center"/>
              <w:rPr>
                <w:rFonts w:asciiTheme="minorEastAsia" w:hAnsiTheme="minorEastAsia" w:cs="Times New Roman"/>
                <w:sz w:val="24"/>
                <w:szCs w:val="24"/>
              </w:rPr>
            </w:pPr>
            <w:r w:rsidRPr="0082524C">
              <w:rPr>
                <w:rFonts w:asciiTheme="minorEastAsia" w:hAnsiTheme="minorEastAsia" w:cs="Times New Roman" w:hint="eastAsia"/>
                <w:sz w:val="24"/>
                <w:szCs w:val="24"/>
              </w:rPr>
              <w:t>主任医师</w:t>
            </w:r>
          </w:p>
        </w:tc>
      </w:tr>
      <w:tr w:rsidR="002E5476" w:rsidRPr="0082524C">
        <w:trPr>
          <w:trHeight w:val="425"/>
        </w:trPr>
        <w:tc>
          <w:tcPr>
            <w:tcW w:w="2114" w:type="dxa"/>
            <w:shd w:val="clear" w:color="auto" w:fill="auto"/>
            <w:noWrap/>
            <w:vAlign w:val="center"/>
          </w:tcPr>
          <w:p w:rsidR="002E5476" w:rsidRPr="0082524C" w:rsidRDefault="00423E71">
            <w:pPr>
              <w:textAlignment w:val="center"/>
              <w:rPr>
                <w:rFonts w:asciiTheme="minorEastAsia" w:hAnsiTheme="minorEastAsia" w:cs="Times New Roman"/>
                <w:sz w:val="24"/>
                <w:szCs w:val="24"/>
              </w:rPr>
            </w:pPr>
            <w:r w:rsidRPr="0082524C">
              <w:rPr>
                <w:rFonts w:asciiTheme="minorEastAsia" w:hAnsiTheme="minorEastAsia" w:cs="Times New Roman" w:hint="eastAsia"/>
                <w:sz w:val="24"/>
                <w:szCs w:val="24"/>
              </w:rPr>
              <w:t>黄际薇</w:t>
            </w:r>
          </w:p>
        </w:tc>
        <w:tc>
          <w:tcPr>
            <w:tcW w:w="3997" w:type="dxa"/>
            <w:shd w:val="clear" w:color="auto" w:fill="auto"/>
            <w:noWrap/>
            <w:vAlign w:val="center"/>
          </w:tcPr>
          <w:p w:rsidR="002E5476" w:rsidRPr="0082524C" w:rsidRDefault="00423E71">
            <w:pPr>
              <w:textAlignment w:val="center"/>
              <w:rPr>
                <w:rFonts w:asciiTheme="minorEastAsia" w:hAnsiTheme="minorEastAsia" w:cs="Times New Roman"/>
                <w:sz w:val="24"/>
                <w:szCs w:val="24"/>
              </w:rPr>
            </w:pPr>
            <w:r w:rsidRPr="0082524C">
              <w:rPr>
                <w:rFonts w:asciiTheme="minorEastAsia" w:hAnsiTheme="minorEastAsia" w:cs="Times New Roman" w:hint="eastAsia"/>
                <w:sz w:val="24"/>
                <w:szCs w:val="24"/>
              </w:rPr>
              <w:t>中山大学附属第三医院</w:t>
            </w:r>
          </w:p>
        </w:tc>
        <w:tc>
          <w:tcPr>
            <w:tcW w:w="3260" w:type="dxa"/>
            <w:shd w:val="clear" w:color="auto" w:fill="auto"/>
            <w:noWrap/>
            <w:vAlign w:val="center"/>
          </w:tcPr>
          <w:p w:rsidR="002E5476" w:rsidRPr="0082524C" w:rsidRDefault="00423E71">
            <w:pPr>
              <w:textAlignment w:val="center"/>
              <w:rPr>
                <w:rFonts w:asciiTheme="minorEastAsia" w:hAnsiTheme="minorEastAsia" w:cs="Times New Roman"/>
                <w:sz w:val="24"/>
                <w:szCs w:val="24"/>
              </w:rPr>
            </w:pPr>
            <w:r w:rsidRPr="0082524C">
              <w:rPr>
                <w:rFonts w:asciiTheme="minorEastAsia" w:hAnsiTheme="minorEastAsia" w:cs="Times New Roman" w:hint="eastAsia"/>
                <w:sz w:val="24"/>
                <w:szCs w:val="24"/>
              </w:rPr>
              <w:t>副主任药师</w:t>
            </w:r>
          </w:p>
        </w:tc>
      </w:tr>
      <w:tr w:rsidR="002E5476" w:rsidRPr="0082524C">
        <w:trPr>
          <w:trHeight w:val="425"/>
        </w:trPr>
        <w:tc>
          <w:tcPr>
            <w:tcW w:w="2114" w:type="dxa"/>
            <w:shd w:val="clear" w:color="auto" w:fill="auto"/>
            <w:noWrap/>
            <w:vAlign w:val="center"/>
          </w:tcPr>
          <w:p w:rsidR="002E5476" w:rsidRPr="0082524C" w:rsidRDefault="00423E71">
            <w:pPr>
              <w:textAlignment w:val="center"/>
              <w:rPr>
                <w:rFonts w:asciiTheme="minorEastAsia" w:hAnsiTheme="minorEastAsia" w:cs="Times New Roman"/>
                <w:sz w:val="24"/>
                <w:szCs w:val="24"/>
              </w:rPr>
            </w:pPr>
            <w:r w:rsidRPr="0082524C">
              <w:rPr>
                <w:rFonts w:asciiTheme="minorEastAsia" w:hAnsiTheme="minorEastAsia" w:cs="Times New Roman" w:hint="eastAsia"/>
                <w:sz w:val="24"/>
                <w:szCs w:val="24"/>
              </w:rPr>
              <w:t>刘岩</w:t>
            </w:r>
          </w:p>
        </w:tc>
        <w:tc>
          <w:tcPr>
            <w:tcW w:w="3997" w:type="dxa"/>
            <w:shd w:val="clear" w:color="auto" w:fill="auto"/>
            <w:noWrap/>
            <w:vAlign w:val="center"/>
          </w:tcPr>
          <w:p w:rsidR="002E5476" w:rsidRPr="0082524C" w:rsidRDefault="00423E71">
            <w:pPr>
              <w:textAlignment w:val="center"/>
              <w:rPr>
                <w:rFonts w:asciiTheme="minorEastAsia" w:hAnsiTheme="minorEastAsia" w:cs="Times New Roman"/>
                <w:sz w:val="24"/>
                <w:szCs w:val="24"/>
              </w:rPr>
            </w:pPr>
            <w:r w:rsidRPr="0082524C">
              <w:rPr>
                <w:rFonts w:asciiTheme="minorEastAsia" w:hAnsiTheme="minorEastAsia" w:cs="Times New Roman" w:hint="eastAsia"/>
                <w:sz w:val="24"/>
                <w:szCs w:val="24"/>
              </w:rPr>
              <w:t>广州市红十字会医院</w:t>
            </w:r>
          </w:p>
        </w:tc>
        <w:tc>
          <w:tcPr>
            <w:tcW w:w="3260" w:type="dxa"/>
            <w:shd w:val="clear" w:color="auto" w:fill="auto"/>
            <w:noWrap/>
            <w:vAlign w:val="center"/>
          </w:tcPr>
          <w:p w:rsidR="002E5476" w:rsidRPr="0082524C" w:rsidRDefault="00423E71">
            <w:pPr>
              <w:textAlignment w:val="center"/>
              <w:rPr>
                <w:rFonts w:asciiTheme="minorEastAsia" w:hAnsiTheme="minorEastAsia" w:cs="Times New Roman"/>
                <w:sz w:val="24"/>
                <w:szCs w:val="24"/>
              </w:rPr>
            </w:pPr>
            <w:r w:rsidRPr="0082524C">
              <w:rPr>
                <w:rFonts w:asciiTheme="minorEastAsia" w:hAnsiTheme="minorEastAsia" w:cs="Times New Roman" w:hint="eastAsia"/>
                <w:sz w:val="24"/>
                <w:szCs w:val="24"/>
              </w:rPr>
              <w:t>主任医师</w:t>
            </w:r>
          </w:p>
        </w:tc>
      </w:tr>
      <w:tr w:rsidR="002E5476" w:rsidRPr="0082524C">
        <w:trPr>
          <w:trHeight w:val="425"/>
        </w:trPr>
        <w:tc>
          <w:tcPr>
            <w:tcW w:w="2114" w:type="dxa"/>
            <w:shd w:val="clear" w:color="auto" w:fill="auto"/>
            <w:noWrap/>
            <w:vAlign w:val="center"/>
          </w:tcPr>
          <w:p w:rsidR="002E5476" w:rsidRPr="0082524C" w:rsidRDefault="00423E71">
            <w:pPr>
              <w:textAlignment w:val="center"/>
              <w:rPr>
                <w:rFonts w:asciiTheme="minorEastAsia" w:hAnsiTheme="minorEastAsia" w:cs="Times New Roman"/>
                <w:sz w:val="24"/>
                <w:szCs w:val="24"/>
              </w:rPr>
            </w:pPr>
            <w:r w:rsidRPr="0082524C">
              <w:rPr>
                <w:rFonts w:asciiTheme="minorEastAsia" w:hAnsiTheme="minorEastAsia" w:cs="Times New Roman" w:hint="eastAsia"/>
                <w:sz w:val="24"/>
                <w:szCs w:val="24"/>
              </w:rPr>
              <w:t>刘郑荣</w:t>
            </w:r>
          </w:p>
        </w:tc>
        <w:tc>
          <w:tcPr>
            <w:tcW w:w="3997" w:type="dxa"/>
            <w:shd w:val="clear" w:color="auto" w:fill="auto"/>
            <w:noWrap/>
            <w:vAlign w:val="center"/>
          </w:tcPr>
          <w:p w:rsidR="002E5476" w:rsidRPr="0082524C" w:rsidRDefault="00423E71">
            <w:pPr>
              <w:textAlignment w:val="center"/>
              <w:rPr>
                <w:rFonts w:asciiTheme="minorEastAsia" w:hAnsiTheme="minorEastAsia" w:cs="Times New Roman"/>
                <w:sz w:val="24"/>
                <w:szCs w:val="24"/>
              </w:rPr>
            </w:pPr>
            <w:r w:rsidRPr="0082524C">
              <w:rPr>
                <w:rFonts w:asciiTheme="minorEastAsia" w:hAnsiTheme="minorEastAsia" w:cs="Times New Roman" w:hint="eastAsia"/>
                <w:sz w:val="24"/>
                <w:szCs w:val="24"/>
              </w:rPr>
              <w:t>南方医科大学南方医院</w:t>
            </w:r>
          </w:p>
        </w:tc>
        <w:tc>
          <w:tcPr>
            <w:tcW w:w="3260" w:type="dxa"/>
            <w:shd w:val="clear" w:color="auto" w:fill="auto"/>
            <w:noWrap/>
            <w:vAlign w:val="center"/>
          </w:tcPr>
          <w:p w:rsidR="002E5476" w:rsidRPr="0082524C" w:rsidRDefault="00423E71">
            <w:pPr>
              <w:textAlignment w:val="center"/>
              <w:rPr>
                <w:rFonts w:asciiTheme="minorEastAsia" w:hAnsiTheme="minorEastAsia" w:cs="Times New Roman"/>
                <w:sz w:val="24"/>
                <w:szCs w:val="24"/>
              </w:rPr>
            </w:pPr>
            <w:r w:rsidRPr="0082524C">
              <w:rPr>
                <w:rFonts w:asciiTheme="minorEastAsia" w:hAnsiTheme="minorEastAsia" w:cs="Times New Roman" w:hint="eastAsia"/>
                <w:sz w:val="24"/>
                <w:szCs w:val="24"/>
              </w:rPr>
              <w:t>主任医师</w:t>
            </w:r>
          </w:p>
        </w:tc>
      </w:tr>
      <w:tr w:rsidR="002E5476" w:rsidRPr="0082524C">
        <w:trPr>
          <w:trHeight w:val="425"/>
        </w:trPr>
        <w:tc>
          <w:tcPr>
            <w:tcW w:w="2114" w:type="dxa"/>
            <w:shd w:val="clear" w:color="auto" w:fill="auto"/>
            <w:noWrap/>
            <w:vAlign w:val="center"/>
          </w:tcPr>
          <w:p w:rsidR="002E5476" w:rsidRPr="0082524C" w:rsidRDefault="00423E71">
            <w:pPr>
              <w:textAlignment w:val="center"/>
              <w:rPr>
                <w:rFonts w:asciiTheme="minorEastAsia" w:hAnsiTheme="minorEastAsia" w:cs="Times New Roman"/>
                <w:sz w:val="24"/>
                <w:szCs w:val="24"/>
              </w:rPr>
            </w:pPr>
            <w:r w:rsidRPr="0082524C">
              <w:rPr>
                <w:rFonts w:asciiTheme="minorEastAsia" w:hAnsiTheme="minorEastAsia" w:cs="Times New Roman" w:hint="eastAsia"/>
                <w:sz w:val="24"/>
                <w:szCs w:val="24"/>
              </w:rPr>
              <w:t>龙海波</w:t>
            </w:r>
          </w:p>
        </w:tc>
        <w:tc>
          <w:tcPr>
            <w:tcW w:w="3997" w:type="dxa"/>
            <w:shd w:val="clear" w:color="auto" w:fill="auto"/>
            <w:noWrap/>
            <w:vAlign w:val="center"/>
          </w:tcPr>
          <w:p w:rsidR="002E5476" w:rsidRPr="0082524C" w:rsidRDefault="00423E71">
            <w:pPr>
              <w:textAlignment w:val="center"/>
              <w:rPr>
                <w:rFonts w:asciiTheme="minorEastAsia" w:hAnsiTheme="minorEastAsia" w:cs="Times New Roman"/>
                <w:sz w:val="24"/>
                <w:szCs w:val="24"/>
              </w:rPr>
            </w:pPr>
            <w:r w:rsidRPr="0082524C">
              <w:rPr>
                <w:rFonts w:asciiTheme="minorEastAsia" w:hAnsiTheme="minorEastAsia" w:cs="Times New Roman" w:hint="eastAsia"/>
                <w:sz w:val="24"/>
                <w:szCs w:val="24"/>
              </w:rPr>
              <w:t>南方医科大学珠江医院</w:t>
            </w:r>
          </w:p>
        </w:tc>
        <w:tc>
          <w:tcPr>
            <w:tcW w:w="3260" w:type="dxa"/>
            <w:shd w:val="clear" w:color="auto" w:fill="auto"/>
            <w:noWrap/>
            <w:vAlign w:val="center"/>
          </w:tcPr>
          <w:p w:rsidR="002E5476" w:rsidRPr="0082524C" w:rsidRDefault="00423E71">
            <w:pPr>
              <w:textAlignment w:val="center"/>
              <w:rPr>
                <w:rFonts w:asciiTheme="minorEastAsia" w:hAnsiTheme="minorEastAsia" w:cs="Times New Roman"/>
                <w:sz w:val="24"/>
                <w:szCs w:val="24"/>
                <w:highlight w:val="yellow"/>
              </w:rPr>
            </w:pPr>
            <w:r w:rsidRPr="0082524C">
              <w:rPr>
                <w:rFonts w:asciiTheme="minorEastAsia" w:hAnsiTheme="minorEastAsia" w:cs="Times New Roman" w:hint="eastAsia"/>
                <w:sz w:val="24"/>
                <w:szCs w:val="24"/>
              </w:rPr>
              <w:t>主任医师</w:t>
            </w:r>
          </w:p>
        </w:tc>
      </w:tr>
      <w:tr w:rsidR="002E5476" w:rsidRPr="0082524C">
        <w:trPr>
          <w:trHeight w:val="425"/>
        </w:trPr>
        <w:tc>
          <w:tcPr>
            <w:tcW w:w="2114" w:type="dxa"/>
            <w:shd w:val="clear" w:color="auto" w:fill="auto"/>
            <w:noWrap/>
            <w:vAlign w:val="center"/>
          </w:tcPr>
          <w:p w:rsidR="002E5476" w:rsidRPr="0082524C" w:rsidRDefault="00423E71">
            <w:pPr>
              <w:textAlignment w:val="center"/>
              <w:rPr>
                <w:rFonts w:asciiTheme="minorEastAsia" w:hAnsiTheme="minorEastAsia" w:cs="Times New Roman"/>
                <w:sz w:val="24"/>
                <w:szCs w:val="24"/>
              </w:rPr>
            </w:pPr>
            <w:r w:rsidRPr="0082524C">
              <w:rPr>
                <w:rFonts w:asciiTheme="minorEastAsia" w:hAnsiTheme="minorEastAsia" w:cs="Times New Roman" w:hint="eastAsia"/>
                <w:sz w:val="24"/>
                <w:szCs w:val="24"/>
              </w:rPr>
              <w:t>秦曙光</w:t>
            </w:r>
          </w:p>
        </w:tc>
        <w:tc>
          <w:tcPr>
            <w:tcW w:w="3997" w:type="dxa"/>
            <w:shd w:val="clear" w:color="auto" w:fill="auto"/>
            <w:noWrap/>
            <w:vAlign w:val="center"/>
          </w:tcPr>
          <w:p w:rsidR="002E5476" w:rsidRPr="0082524C" w:rsidRDefault="00423E71">
            <w:pPr>
              <w:textAlignment w:val="center"/>
              <w:rPr>
                <w:rFonts w:asciiTheme="minorEastAsia" w:hAnsiTheme="minorEastAsia" w:cs="Times New Roman"/>
                <w:sz w:val="24"/>
                <w:szCs w:val="24"/>
              </w:rPr>
            </w:pPr>
            <w:r w:rsidRPr="0082524C">
              <w:rPr>
                <w:rFonts w:asciiTheme="minorEastAsia" w:hAnsiTheme="minorEastAsia" w:cs="Times New Roman" w:hint="eastAsia"/>
                <w:sz w:val="24"/>
                <w:szCs w:val="24"/>
              </w:rPr>
              <w:t>广州市第一人民医院</w:t>
            </w:r>
          </w:p>
        </w:tc>
        <w:tc>
          <w:tcPr>
            <w:tcW w:w="3260" w:type="dxa"/>
            <w:shd w:val="clear" w:color="auto" w:fill="auto"/>
            <w:noWrap/>
            <w:vAlign w:val="center"/>
          </w:tcPr>
          <w:p w:rsidR="002E5476" w:rsidRPr="0082524C" w:rsidRDefault="00423E71">
            <w:pPr>
              <w:textAlignment w:val="center"/>
              <w:rPr>
                <w:rFonts w:asciiTheme="minorEastAsia" w:hAnsiTheme="minorEastAsia" w:cs="Times New Roman"/>
                <w:sz w:val="24"/>
                <w:szCs w:val="24"/>
              </w:rPr>
            </w:pPr>
            <w:r w:rsidRPr="0082524C">
              <w:rPr>
                <w:rFonts w:asciiTheme="minorEastAsia" w:hAnsiTheme="minorEastAsia" w:cs="Times New Roman" w:hint="eastAsia"/>
                <w:sz w:val="24"/>
                <w:szCs w:val="24"/>
              </w:rPr>
              <w:t>主任医师</w:t>
            </w:r>
          </w:p>
        </w:tc>
      </w:tr>
      <w:tr w:rsidR="002E5476" w:rsidRPr="0082524C">
        <w:trPr>
          <w:trHeight w:val="425"/>
        </w:trPr>
        <w:tc>
          <w:tcPr>
            <w:tcW w:w="2114" w:type="dxa"/>
            <w:shd w:val="clear" w:color="auto" w:fill="auto"/>
            <w:noWrap/>
            <w:vAlign w:val="center"/>
          </w:tcPr>
          <w:p w:rsidR="002E5476" w:rsidRPr="0082524C" w:rsidRDefault="00423E71">
            <w:pPr>
              <w:textAlignment w:val="center"/>
              <w:rPr>
                <w:rFonts w:asciiTheme="minorEastAsia" w:hAnsiTheme="minorEastAsia" w:cs="Times New Roman"/>
                <w:sz w:val="24"/>
                <w:szCs w:val="24"/>
              </w:rPr>
            </w:pPr>
            <w:r w:rsidRPr="0082524C">
              <w:rPr>
                <w:rFonts w:asciiTheme="minorEastAsia" w:hAnsiTheme="minorEastAsia" w:cs="Times New Roman" w:hint="eastAsia"/>
                <w:sz w:val="24"/>
                <w:szCs w:val="24"/>
              </w:rPr>
              <w:t>汤颖</w:t>
            </w:r>
          </w:p>
        </w:tc>
        <w:tc>
          <w:tcPr>
            <w:tcW w:w="3997" w:type="dxa"/>
            <w:shd w:val="clear" w:color="auto" w:fill="auto"/>
            <w:noWrap/>
            <w:vAlign w:val="center"/>
          </w:tcPr>
          <w:p w:rsidR="002E5476" w:rsidRPr="0082524C" w:rsidRDefault="00423E71">
            <w:pPr>
              <w:textAlignment w:val="center"/>
              <w:rPr>
                <w:rFonts w:asciiTheme="minorEastAsia" w:hAnsiTheme="minorEastAsia" w:cs="Times New Roman"/>
                <w:sz w:val="24"/>
                <w:szCs w:val="24"/>
              </w:rPr>
            </w:pPr>
            <w:r w:rsidRPr="0082524C">
              <w:rPr>
                <w:rFonts w:asciiTheme="minorEastAsia" w:hAnsiTheme="minorEastAsia" w:cs="Times New Roman" w:hint="eastAsia"/>
                <w:sz w:val="24"/>
                <w:szCs w:val="24"/>
              </w:rPr>
              <w:t>南方医科大学附属第三医院</w:t>
            </w:r>
          </w:p>
        </w:tc>
        <w:tc>
          <w:tcPr>
            <w:tcW w:w="3260" w:type="dxa"/>
            <w:shd w:val="clear" w:color="auto" w:fill="auto"/>
            <w:noWrap/>
            <w:vAlign w:val="center"/>
          </w:tcPr>
          <w:p w:rsidR="002E5476" w:rsidRPr="0082524C" w:rsidRDefault="00423E71">
            <w:pPr>
              <w:textAlignment w:val="center"/>
              <w:rPr>
                <w:rFonts w:asciiTheme="minorEastAsia" w:hAnsiTheme="minorEastAsia" w:cs="Times New Roman"/>
                <w:sz w:val="24"/>
                <w:szCs w:val="24"/>
              </w:rPr>
            </w:pPr>
            <w:r w:rsidRPr="0082524C">
              <w:rPr>
                <w:rFonts w:asciiTheme="minorEastAsia" w:hAnsiTheme="minorEastAsia" w:cs="Times New Roman" w:hint="eastAsia"/>
                <w:sz w:val="24"/>
                <w:szCs w:val="24"/>
              </w:rPr>
              <w:t>主任医师</w:t>
            </w:r>
          </w:p>
        </w:tc>
      </w:tr>
      <w:tr w:rsidR="002E5476" w:rsidRPr="0082524C">
        <w:trPr>
          <w:trHeight w:val="425"/>
        </w:trPr>
        <w:tc>
          <w:tcPr>
            <w:tcW w:w="2114" w:type="dxa"/>
            <w:shd w:val="clear" w:color="auto" w:fill="auto"/>
            <w:noWrap/>
            <w:vAlign w:val="center"/>
          </w:tcPr>
          <w:p w:rsidR="002E5476" w:rsidRPr="0082524C" w:rsidRDefault="00423E71">
            <w:pPr>
              <w:textAlignment w:val="center"/>
              <w:rPr>
                <w:rFonts w:asciiTheme="minorEastAsia" w:hAnsiTheme="minorEastAsia" w:cs="Times New Roman"/>
                <w:sz w:val="24"/>
                <w:szCs w:val="24"/>
              </w:rPr>
            </w:pPr>
            <w:r w:rsidRPr="0082524C">
              <w:rPr>
                <w:rFonts w:asciiTheme="minorEastAsia" w:hAnsiTheme="minorEastAsia" w:cs="Times New Roman" w:hint="eastAsia"/>
                <w:sz w:val="24"/>
                <w:szCs w:val="24"/>
              </w:rPr>
              <w:t>肖洁</w:t>
            </w:r>
          </w:p>
        </w:tc>
        <w:tc>
          <w:tcPr>
            <w:tcW w:w="3997" w:type="dxa"/>
            <w:shd w:val="clear" w:color="auto" w:fill="auto"/>
            <w:noWrap/>
            <w:vAlign w:val="center"/>
          </w:tcPr>
          <w:p w:rsidR="002E5476" w:rsidRPr="0082524C" w:rsidRDefault="00423E71">
            <w:pPr>
              <w:textAlignment w:val="center"/>
              <w:rPr>
                <w:rFonts w:asciiTheme="minorEastAsia" w:hAnsiTheme="minorEastAsia" w:cs="Times New Roman"/>
                <w:sz w:val="24"/>
                <w:szCs w:val="24"/>
              </w:rPr>
            </w:pPr>
            <w:r w:rsidRPr="0082524C">
              <w:rPr>
                <w:rFonts w:asciiTheme="minorEastAsia" w:hAnsiTheme="minorEastAsia" w:cs="Times New Roman" w:hint="eastAsia"/>
                <w:sz w:val="24"/>
                <w:szCs w:val="24"/>
              </w:rPr>
              <w:t>广州医科大学附属第一医院</w:t>
            </w:r>
          </w:p>
        </w:tc>
        <w:tc>
          <w:tcPr>
            <w:tcW w:w="3260" w:type="dxa"/>
            <w:shd w:val="clear" w:color="auto" w:fill="auto"/>
            <w:noWrap/>
            <w:vAlign w:val="center"/>
          </w:tcPr>
          <w:p w:rsidR="002E5476" w:rsidRPr="0082524C" w:rsidRDefault="00423E71">
            <w:pPr>
              <w:textAlignment w:val="center"/>
              <w:rPr>
                <w:rFonts w:asciiTheme="minorEastAsia" w:hAnsiTheme="minorEastAsia" w:cs="Times New Roman"/>
                <w:sz w:val="24"/>
                <w:szCs w:val="24"/>
              </w:rPr>
            </w:pPr>
            <w:r w:rsidRPr="0082524C">
              <w:rPr>
                <w:rFonts w:asciiTheme="minorEastAsia" w:hAnsiTheme="minorEastAsia" w:cs="Times New Roman" w:hint="eastAsia"/>
                <w:sz w:val="24"/>
                <w:szCs w:val="24"/>
              </w:rPr>
              <w:t>主任医师</w:t>
            </w:r>
          </w:p>
        </w:tc>
      </w:tr>
      <w:tr w:rsidR="002E5476" w:rsidRPr="0082524C">
        <w:trPr>
          <w:trHeight w:val="425"/>
        </w:trPr>
        <w:tc>
          <w:tcPr>
            <w:tcW w:w="2114" w:type="dxa"/>
            <w:shd w:val="clear" w:color="auto" w:fill="auto"/>
            <w:noWrap/>
            <w:vAlign w:val="center"/>
          </w:tcPr>
          <w:p w:rsidR="002E5476" w:rsidRPr="0082524C" w:rsidRDefault="00423E71">
            <w:pPr>
              <w:textAlignment w:val="center"/>
              <w:rPr>
                <w:rFonts w:asciiTheme="minorEastAsia" w:hAnsiTheme="minorEastAsia" w:cs="Times New Roman"/>
                <w:sz w:val="24"/>
                <w:szCs w:val="24"/>
              </w:rPr>
            </w:pPr>
            <w:r w:rsidRPr="0082524C">
              <w:rPr>
                <w:rFonts w:asciiTheme="minorEastAsia" w:hAnsiTheme="minorEastAsia" w:cs="Times New Roman" w:hint="eastAsia"/>
                <w:sz w:val="24"/>
                <w:szCs w:val="24"/>
              </w:rPr>
              <w:t>杨琼琼</w:t>
            </w:r>
          </w:p>
        </w:tc>
        <w:tc>
          <w:tcPr>
            <w:tcW w:w="3997" w:type="dxa"/>
            <w:shd w:val="clear" w:color="auto" w:fill="auto"/>
            <w:noWrap/>
            <w:vAlign w:val="center"/>
          </w:tcPr>
          <w:p w:rsidR="002E5476" w:rsidRPr="0082524C" w:rsidRDefault="00423E71">
            <w:pPr>
              <w:textAlignment w:val="center"/>
              <w:rPr>
                <w:rFonts w:asciiTheme="minorEastAsia" w:hAnsiTheme="minorEastAsia" w:cs="Times New Roman"/>
                <w:sz w:val="24"/>
                <w:szCs w:val="24"/>
              </w:rPr>
            </w:pPr>
            <w:r w:rsidRPr="0082524C">
              <w:rPr>
                <w:rFonts w:asciiTheme="minorEastAsia" w:hAnsiTheme="minorEastAsia" w:cs="Times New Roman" w:hint="eastAsia"/>
                <w:sz w:val="24"/>
                <w:szCs w:val="24"/>
              </w:rPr>
              <w:t>中山大学孙逸仙纪念医院</w:t>
            </w:r>
          </w:p>
        </w:tc>
        <w:tc>
          <w:tcPr>
            <w:tcW w:w="3260" w:type="dxa"/>
            <w:shd w:val="clear" w:color="auto" w:fill="auto"/>
            <w:noWrap/>
            <w:vAlign w:val="center"/>
          </w:tcPr>
          <w:p w:rsidR="002E5476" w:rsidRPr="0082524C" w:rsidRDefault="00423E71">
            <w:pPr>
              <w:textAlignment w:val="center"/>
              <w:rPr>
                <w:rFonts w:asciiTheme="minorEastAsia" w:hAnsiTheme="minorEastAsia" w:cs="Times New Roman"/>
                <w:sz w:val="24"/>
                <w:szCs w:val="24"/>
              </w:rPr>
            </w:pPr>
            <w:r w:rsidRPr="0082524C">
              <w:rPr>
                <w:rFonts w:asciiTheme="minorEastAsia" w:hAnsiTheme="minorEastAsia" w:cs="Times New Roman" w:hint="eastAsia"/>
                <w:sz w:val="24"/>
                <w:szCs w:val="24"/>
              </w:rPr>
              <w:t>主任医师</w:t>
            </w:r>
          </w:p>
        </w:tc>
      </w:tr>
      <w:tr w:rsidR="002E5476" w:rsidRPr="0082524C">
        <w:trPr>
          <w:trHeight w:val="425"/>
        </w:trPr>
        <w:tc>
          <w:tcPr>
            <w:tcW w:w="2114" w:type="dxa"/>
            <w:shd w:val="clear" w:color="auto" w:fill="auto"/>
            <w:noWrap/>
            <w:vAlign w:val="center"/>
          </w:tcPr>
          <w:p w:rsidR="002E5476" w:rsidRPr="0082524C" w:rsidRDefault="00423E71">
            <w:pPr>
              <w:textAlignment w:val="center"/>
              <w:rPr>
                <w:rFonts w:asciiTheme="minorEastAsia" w:hAnsiTheme="minorEastAsia" w:cs="Times New Roman"/>
                <w:sz w:val="24"/>
                <w:szCs w:val="24"/>
              </w:rPr>
            </w:pPr>
            <w:r w:rsidRPr="0082524C">
              <w:rPr>
                <w:rFonts w:asciiTheme="minorEastAsia" w:hAnsiTheme="minorEastAsia" w:cs="Times New Roman" w:hint="eastAsia"/>
                <w:sz w:val="24"/>
                <w:szCs w:val="24"/>
              </w:rPr>
              <w:t>叶增纯</w:t>
            </w:r>
          </w:p>
        </w:tc>
        <w:tc>
          <w:tcPr>
            <w:tcW w:w="3997" w:type="dxa"/>
            <w:shd w:val="clear" w:color="auto" w:fill="auto"/>
            <w:noWrap/>
            <w:vAlign w:val="center"/>
          </w:tcPr>
          <w:p w:rsidR="002E5476" w:rsidRPr="0082524C" w:rsidRDefault="00423E71">
            <w:pPr>
              <w:textAlignment w:val="center"/>
              <w:rPr>
                <w:rFonts w:asciiTheme="minorEastAsia" w:hAnsiTheme="minorEastAsia" w:cs="Times New Roman"/>
                <w:sz w:val="24"/>
                <w:szCs w:val="24"/>
              </w:rPr>
            </w:pPr>
            <w:r w:rsidRPr="0082524C">
              <w:rPr>
                <w:rFonts w:asciiTheme="minorEastAsia" w:hAnsiTheme="minorEastAsia" w:cs="Times New Roman" w:hint="eastAsia"/>
                <w:sz w:val="24"/>
                <w:szCs w:val="24"/>
              </w:rPr>
              <w:t>中山大学附属第三医院</w:t>
            </w:r>
          </w:p>
        </w:tc>
        <w:tc>
          <w:tcPr>
            <w:tcW w:w="3260" w:type="dxa"/>
            <w:shd w:val="clear" w:color="auto" w:fill="auto"/>
            <w:noWrap/>
            <w:vAlign w:val="center"/>
          </w:tcPr>
          <w:p w:rsidR="002E5476" w:rsidRPr="0082524C" w:rsidRDefault="00423E71">
            <w:pPr>
              <w:textAlignment w:val="center"/>
              <w:rPr>
                <w:rFonts w:asciiTheme="minorEastAsia" w:hAnsiTheme="minorEastAsia" w:cs="Times New Roman"/>
                <w:sz w:val="24"/>
                <w:szCs w:val="24"/>
              </w:rPr>
            </w:pPr>
            <w:r w:rsidRPr="0082524C">
              <w:rPr>
                <w:rFonts w:asciiTheme="minorEastAsia" w:hAnsiTheme="minorEastAsia" w:cs="Times New Roman" w:hint="eastAsia"/>
                <w:sz w:val="24"/>
                <w:szCs w:val="24"/>
              </w:rPr>
              <w:t>主任医师</w:t>
            </w:r>
          </w:p>
        </w:tc>
      </w:tr>
      <w:tr w:rsidR="002E5476" w:rsidRPr="0082524C">
        <w:trPr>
          <w:trHeight w:val="425"/>
        </w:trPr>
        <w:tc>
          <w:tcPr>
            <w:tcW w:w="2114" w:type="dxa"/>
            <w:shd w:val="clear" w:color="auto" w:fill="auto"/>
            <w:noWrap/>
            <w:vAlign w:val="center"/>
          </w:tcPr>
          <w:p w:rsidR="002E5476" w:rsidRPr="0082524C" w:rsidRDefault="00423E71">
            <w:pPr>
              <w:textAlignment w:val="center"/>
              <w:rPr>
                <w:rFonts w:asciiTheme="minorEastAsia" w:hAnsiTheme="minorEastAsia" w:cs="Times New Roman"/>
                <w:sz w:val="24"/>
                <w:szCs w:val="24"/>
              </w:rPr>
            </w:pPr>
            <w:r w:rsidRPr="0082524C">
              <w:rPr>
                <w:rFonts w:asciiTheme="minorEastAsia" w:hAnsiTheme="minorEastAsia" w:cs="Times New Roman" w:hint="eastAsia"/>
                <w:sz w:val="24"/>
                <w:szCs w:val="24"/>
              </w:rPr>
              <w:t>王成</w:t>
            </w:r>
          </w:p>
        </w:tc>
        <w:tc>
          <w:tcPr>
            <w:tcW w:w="3997" w:type="dxa"/>
            <w:shd w:val="clear" w:color="auto" w:fill="auto"/>
            <w:noWrap/>
            <w:vAlign w:val="center"/>
          </w:tcPr>
          <w:p w:rsidR="002E5476" w:rsidRPr="0082524C" w:rsidRDefault="00423E71">
            <w:pPr>
              <w:textAlignment w:val="center"/>
              <w:rPr>
                <w:rFonts w:asciiTheme="minorEastAsia" w:hAnsiTheme="minorEastAsia" w:cs="Times New Roman"/>
                <w:sz w:val="24"/>
                <w:szCs w:val="24"/>
              </w:rPr>
            </w:pPr>
            <w:r w:rsidRPr="0082524C">
              <w:rPr>
                <w:rFonts w:asciiTheme="minorEastAsia" w:hAnsiTheme="minorEastAsia" w:cs="Times New Roman" w:hint="eastAsia"/>
                <w:sz w:val="24"/>
                <w:szCs w:val="24"/>
              </w:rPr>
              <w:t>中山大学附属第五医院</w:t>
            </w:r>
          </w:p>
        </w:tc>
        <w:tc>
          <w:tcPr>
            <w:tcW w:w="3260" w:type="dxa"/>
            <w:shd w:val="clear" w:color="auto" w:fill="auto"/>
            <w:noWrap/>
            <w:vAlign w:val="center"/>
          </w:tcPr>
          <w:p w:rsidR="002E5476" w:rsidRPr="0082524C" w:rsidRDefault="00423E71">
            <w:pPr>
              <w:textAlignment w:val="center"/>
              <w:rPr>
                <w:rFonts w:asciiTheme="minorEastAsia" w:hAnsiTheme="minorEastAsia" w:cs="Times New Roman"/>
                <w:sz w:val="24"/>
                <w:szCs w:val="24"/>
              </w:rPr>
            </w:pPr>
            <w:r w:rsidRPr="0082524C">
              <w:rPr>
                <w:rFonts w:asciiTheme="minorEastAsia" w:hAnsiTheme="minorEastAsia" w:cs="Times New Roman" w:hint="eastAsia"/>
                <w:sz w:val="24"/>
                <w:szCs w:val="24"/>
              </w:rPr>
              <w:t>主任医师</w:t>
            </w:r>
          </w:p>
        </w:tc>
      </w:tr>
      <w:tr w:rsidR="002E5476" w:rsidRPr="0082524C">
        <w:trPr>
          <w:trHeight w:val="425"/>
        </w:trPr>
        <w:tc>
          <w:tcPr>
            <w:tcW w:w="2114" w:type="dxa"/>
            <w:shd w:val="clear" w:color="auto" w:fill="auto"/>
            <w:noWrap/>
            <w:vAlign w:val="center"/>
          </w:tcPr>
          <w:p w:rsidR="002E5476" w:rsidRPr="0082524C" w:rsidRDefault="00423E71">
            <w:pPr>
              <w:textAlignment w:val="center"/>
              <w:rPr>
                <w:rFonts w:asciiTheme="minorEastAsia" w:hAnsiTheme="minorEastAsia" w:cs="Times New Roman"/>
                <w:sz w:val="24"/>
                <w:szCs w:val="24"/>
              </w:rPr>
            </w:pPr>
            <w:r w:rsidRPr="0082524C">
              <w:rPr>
                <w:rFonts w:asciiTheme="minorEastAsia" w:hAnsiTheme="minorEastAsia" w:cs="Times New Roman" w:hint="eastAsia"/>
                <w:sz w:val="24"/>
                <w:szCs w:val="24"/>
              </w:rPr>
              <w:t>王国保</w:t>
            </w:r>
          </w:p>
        </w:tc>
        <w:tc>
          <w:tcPr>
            <w:tcW w:w="3997" w:type="dxa"/>
            <w:shd w:val="clear" w:color="auto" w:fill="auto"/>
            <w:noWrap/>
            <w:vAlign w:val="center"/>
          </w:tcPr>
          <w:p w:rsidR="002E5476" w:rsidRPr="0082524C" w:rsidRDefault="00423E71">
            <w:pPr>
              <w:textAlignment w:val="center"/>
              <w:rPr>
                <w:rFonts w:asciiTheme="minorEastAsia" w:hAnsiTheme="minorEastAsia" w:cs="Times New Roman"/>
                <w:sz w:val="24"/>
                <w:szCs w:val="24"/>
              </w:rPr>
            </w:pPr>
            <w:r w:rsidRPr="0082524C">
              <w:rPr>
                <w:rFonts w:asciiTheme="minorEastAsia" w:hAnsiTheme="minorEastAsia" w:cs="Times New Roman" w:hint="eastAsia"/>
                <w:sz w:val="24"/>
                <w:szCs w:val="24"/>
              </w:rPr>
              <w:t>南方医科大学南方医院</w:t>
            </w:r>
          </w:p>
        </w:tc>
        <w:tc>
          <w:tcPr>
            <w:tcW w:w="3260" w:type="dxa"/>
            <w:shd w:val="clear" w:color="auto" w:fill="auto"/>
            <w:noWrap/>
            <w:vAlign w:val="center"/>
          </w:tcPr>
          <w:p w:rsidR="002E5476" w:rsidRPr="0082524C" w:rsidRDefault="00423E71">
            <w:pPr>
              <w:textAlignment w:val="center"/>
              <w:rPr>
                <w:rFonts w:asciiTheme="minorEastAsia" w:hAnsiTheme="minorEastAsia" w:cs="Times New Roman"/>
                <w:sz w:val="24"/>
                <w:szCs w:val="24"/>
              </w:rPr>
            </w:pPr>
            <w:r w:rsidRPr="0082524C">
              <w:rPr>
                <w:rFonts w:asciiTheme="minorEastAsia" w:hAnsiTheme="minorEastAsia" w:cs="Times New Roman" w:hint="eastAsia"/>
                <w:sz w:val="24"/>
                <w:szCs w:val="24"/>
              </w:rPr>
              <w:t>主任医师</w:t>
            </w:r>
          </w:p>
        </w:tc>
      </w:tr>
      <w:tr w:rsidR="002E5476" w:rsidRPr="0082524C">
        <w:trPr>
          <w:trHeight w:val="425"/>
        </w:trPr>
        <w:tc>
          <w:tcPr>
            <w:tcW w:w="2114" w:type="dxa"/>
            <w:shd w:val="clear" w:color="auto" w:fill="auto"/>
            <w:noWrap/>
            <w:vAlign w:val="center"/>
          </w:tcPr>
          <w:p w:rsidR="002E5476" w:rsidRPr="0082524C" w:rsidRDefault="00423E71">
            <w:pPr>
              <w:textAlignment w:val="center"/>
              <w:rPr>
                <w:rFonts w:asciiTheme="minorEastAsia" w:hAnsiTheme="minorEastAsia" w:cs="Times New Roman"/>
                <w:sz w:val="24"/>
                <w:szCs w:val="24"/>
              </w:rPr>
            </w:pPr>
            <w:r w:rsidRPr="0082524C">
              <w:rPr>
                <w:rFonts w:asciiTheme="minorEastAsia" w:hAnsiTheme="minorEastAsia" w:cs="Times New Roman" w:hint="eastAsia"/>
                <w:sz w:val="24"/>
                <w:szCs w:val="24"/>
              </w:rPr>
              <w:t>郑智华</w:t>
            </w:r>
          </w:p>
        </w:tc>
        <w:tc>
          <w:tcPr>
            <w:tcW w:w="3997" w:type="dxa"/>
            <w:shd w:val="clear" w:color="auto" w:fill="auto"/>
            <w:noWrap/>
            <w:vAlign w:val="center"/>
          </w:tcPr>
          <w:p w:rsidR="002E5476" w:rsidRPr="0082524C" w:rsidRDefault="00423E71">
            <w:pPr>
              <w:textAlignment w:val="center"/>
              <w:rPr>
                <w:rFonts w:asciiTheme="minorEastAsia" w:hAnsiTheme="minorEastAsia" w:cs="Times New Roman"/>
                <w:sz w:val="24"/>
                <w:szCs w:val="24"/>
              </w:rPr>
            </w:pPr>
            <w:r w:rsidRPr="0082524C">
              <w:rPr>
                <w:rFonts w:asciiTheme="minorEastAsia" w:hAnsiTheme="minorEastAsia" w:cs="Times New Roman" w:hint="eastAsia"/>
                <w:sz w:val="24"/>
                <w:szCs w:val="24"/>
              </w:rPr>
              <w:t>中山大学附属第七医院</w:t>
            </w:r>
          </w:p>
        </w:tc>
        <w:tc>
          <w:tcPr>
            <w:tcW w:w="3260" w:type="dxa"/>
            <w:shd w:val="clear" w:color="auto" w:fill="auto"/>
            <w:noWrap/>
            <w:vAlign w:val="center"/>
          </w:tcPr>
          <w:p w:rsidR="002E5476" w:rsidRPr="0082524C" w:rsidRDefault="00423E71">
            <w:pPr>
              <w:textAlignment w:val="center"/>
              <w:rPr>
                <w:rFonts w:asciiTheme="minorEastAsia" w:hAnsiTheme="minorEastAsia" w:cs="Times New Roman"/>
                <w:sz w:val="24"/>
                <w:szCs w:val="24"/>
              </w:rPr>
            </w:pPr>
            <w:r w:rsidRPr="0082524C">
              <w:rPr>
                <w:rFonts w:asciiTheme="minorEastAsia" w:hAnsiTheme="minorEastAsia" w:cs="Times New Roman" w:hint="eastAsia"/>
                <w:sz w:val="24"/>
                <w:szCs w:val="24"/>
              </w:rPr>
              <w:t>主任医师</w:t>
            </w:r>
          </w:p>
        </w:tc>
      </w:tr>
    </w:tbl>
    <w:p w:rsidR="002E5476" w:rsidRPr="0082524C" w:rsidRDefault="002E5476">
      <w:pPr>
        <w:rPr>
          <w:rFonts w:eastAsia="仿宋" w:cs="Times New Roman"/>
          <w:sz w:val="24"/>
          <w:szCs w:val="24"/>
        </w:rPr>
      </w:pPr>
    </w:p>
    <w:p w:rsidR="002E5476" w:rsidRDefault="002E5476">
      <w:pPr>
        <w:numPr>
          <w:ilvl w:val="255"/>
          <w:numId w:val="0"/>
        </w:numPr>
        <w:autoSpaceDE w:val="0"/>
        <w:autoSpaceDN w:val="0"/>
        <w:adjustRightInd w:val="0"/>
        <w:jc w:val="left"/>
        <w:rPr>
          <w:rFonts w:ascii="Times New Roman" w:eastAsia="宋体" w:hAnsi="Times New Roman" w:cs="Times New Roman"/>
          <w:color w:val="000000" w:themeColor="text1"/>
          <w:sz w:val="20"/>
          <w:szCs w:val="20"/>
        </w:rPr>
      </w:pPr>
    </w:p>
    <w:sectPr w:rsidR="002E5476" w:rsidSect="002E5476">
      <w:headerReference w:type="default" r:id="rId11"/>
      <w:footerReference w:type="default" r:id="rId12"/>
      <w:type w:val="continuous"/>
      <w:pgSz w:w="11907" w:h="16840"/>
      <w:pgMar w:top="720" w:right="720" w:bottom="720" w:left="72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812B7" w:rsidRDefault="004812B7" w:rsidP="002E5476">
      <w:r>
        <w:separator/>
      </w:r>
    </w:p>
  </w:endnote>
  <w:endnote w:type="continuationSeparator" w:id="1">
    <w:p w:rsidR="004812B7" w:rsidRDefault="004812B7" w:rsidP="002E547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DejaVu Sans">
    <w:altName w:val="Times New Roman"/>
    <w:charset w:val="00"/>
    <w:family w:val="roman"/>
    <w:pitch w:val="default"/>
    <w:sig w:usb0="00000000" w:usb1="00000000" w:usb2="00000008" w:usb3="00000000" w:csb0="000001FF" w:csb1="00000000"/>
  </w:font>
  <w:font w:name="方正黑体_GBK">
    <w:altName w:val="微软雅黑"/>
    <w:charset w:val="00"/>
    <w:family w:val="auto"/>
    <w:pitch w:val="default"/>
    <w:sig w:usb0="00000000" w:usb1="00000000" w:usb2="00000000" w:usb3="00000000" w:csb0="00040000"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notTrueType/>
    <w:pitch w:val="fixed"/>
    <w:sig w:usb0="00000001" w:usb1="080E0000" w:usb2="00000010" w:usb3="00000000" w:csb0="00040000" w:csb1="00000000"/>
  </w:font>
  <w:font w:name="Cambria Math">
    <w:panose1 w:val="02040503050406030204"/>
    <w:charset w:val="00"/>
    <w:family w:val="roman"/>
    <w:pitch w:val="variable"/>
    <w:sig w:usb0="E00002FF" w:usb1="420024FF" w:usb2="00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60834177"/>
      <w:docPartObj>
        <w:docPartGallery w:val="AutoText"/>
      </w:docPartObj>
    </w:sdtPr>
    <w:sdtContent>
      <w:p w:rsidR="00F47729" w:rsidRDefault="00B411DC">
        <w:pPr>
          <w:pStyle w:val="a7"/>
          <w:jc w:val="center"/>
        </w:pPr>
        <w:r w:rsidRPr="00B411DC">
          <w:fldChar w:fldCharType="begin"/>
        </w:r>
        <w:r w:rsidR="00F47729">
          <w:instrText>PAGE   \* MERGEFORMAT</w:instrText>
        </w:r>
        <w:r w:rsidRPr="00B411DC">
          <w:fldChar w:fldCharType="separate"/>
        </w:r>
        <w:r w:rsidR="00870C42" w:rsidRPr="00870C42">
          <w:rPr>
            <w:noProof/>
            <w:lang w:val="zh-CN"/>
          </w:rPr>
          <w:t>42</w:t>
        </w:r>
        <w:r>
          <w:rPr>
            <w:lang w:val="zh-CN"/>
          </w:rPr>
          <w:fldChar w:fldCharType="end"/>
        </w:r>
      </w:p>
    </w:sdtContent>
  </w:sdt>
  <w:p w:rsidR="00F47729" w:rsidRDefault="00F47729">
    <w:pPr>
      <w:pStyle w:val="a7"/>
      <w:tabs>
        <w:tab w:val="clear" w:pos="4153"/>
        <w:tab w:val="clear" w:pos="8306"/>
        <w:tab w:val="center" w:pos="5205"/>
      </w:tabs>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812B7" w:rsidRDefault="004812B7" w:rsidP="002E5476">
      <w:r>
        <w:separator/>
      </w:r>
    </w:p>
  </w:footnote>
  <w:footnote w:type="continuationSeparator" w:id="1">
    <w:p w:rsidR="004812B7" w:rsidRDefault="004812B7" w:rsidP="002E547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7729" w:rsidRDefault="00F47729" w:rsidP="00423E71">
    <w:r>
      <w:rPr>
        <w:noProof/>
      </w:rPr>
      <w:drawing>
        <wp:anchor distT="0" distB="0" distL="114300" distR="114300" simplePos="0" relativeHeight="251660288" behindDoc="1" locked="0" layoutInCell="1" allowOverlap="1">
          <wp:simplePos x="0" y="0"/>
          <wp:positionH relativeFrom="margin">
            <wp:align>center</wp:align>
          </wp:positionH>
          <wp:positionV relativeFrom="margin">
            <wp:align>center</wp:align>
          </wp:positionV>
          <wp:extent cx="5274310" cy="5274310"/>
          <wp:effectExtent l="0" t="0" r="13970" b="13970"/>
          <wp:wrapNone/>
          <wp:docPr id="1" name="WordPictureWatermark23413" descr="学会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PictureWatermark23413" descr="学会Logo"/>
                  <pic:cNvPicPr>
                    <a:picLocks noChangeAspect="1"/>
                  </pic:cNvPicPr>
                </pic:nvPicPr>
                <pic:blipFill>
                  <a:blip r:embed="rId1">
                    <a:lum bright="69998" contrast="-70001"/>
                  </a:blip>
                  <a:stretch>
                    <a:fillRect/>
                  </a:stretch>
                </pic:blipFill>
                <pic:spPr>
                  <a:xfrm>
                    <a:off x="0" y="0"/>
                    <a:ext cx="5274310" cy="5274310"/>
                  </a:xfrm>
                  <a:prstGeom prst="rect">
                    <a:avLst/>
                  </a:prstGeom>
                  <a:noFill/>
                  <a:ln>
                    <a:noFill/>
                  </a:ln>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6412367"/>
    <w:multiLevelType w:val="singleLevel"/>
    <w:tmpl w:val="D6412367"/>
    <w:lvl w:ilvl="0">
      <w:start w:val="5"/>
      <w:numFmt w:val="decimal"/>
      <w:suff w:val="space"/>
      <w:lvlText w:val="%1."/>
      <w:lvlJc w:val="left"/>
    </w:lvl>
  </w:abstractNum>
  <w:abstractNum w:abstractNumId="1">
    <w:nsid w:val="2366BE82"/>
    <w:multiLevelType w:val="singleLevel"/>
    <w:tmpl w:val="2366BE82"/>
    <w:lvl w:ilvl="0">
      <w:start w:val="1"/>
      <w:numFmt w:val="decimal"/>
      <w:suff w:val="space"/>
      <w:lvlText w:val="%1."/>
      <w:lvlJc w:val="left"/>
    </w:lvl>
  </w:abstractNum>
  <w:abstractNum w:abstractNumId="2">
    <w:nsid w:val="2A5E927B"/>
    <w:multiLevelType w:val="singleLevel"/>
    <w:tmpl w:val="2A5E927B"/>
    <w:lvl w:ilvl="0">
      <w:start w:val="4"/>
      <w:numFmt w:val="decimal"/>
      <w:suff w:val="space"/>
      <w:lvlText w:val="%1."/>
      <w:lvlJc w:val="left"/>
    </w:lvl>
  </w:abstractNum>
  <w:abstractNum w:abstractNumId="3">
    <w:nsid w:val="39B3CB11"/>
    <w:multiLevelType w:val="singleLevel"/>
    <w:tmpl w:val="39B3CB11"/>
    <w:lvl w:ilvl="0">
      <w:start w:val="1"/>
      <w:numFmt w:val="decimal"/>
      <w:suff w:val="space"/>
      <w:lvlText w:val="%1."/>
      <w:lvlJc w:val="left"/>
    </w:lvl>
  </w:abstractNum>
  <w:num w:numId="1">
    <w:abstractNumId w:val="3"/>
  </w:num>
  <w:num w:numId="2">
    <w:abstractNumId w:val="0"/>
  </w:num>
  <w:num w:numId="3">
    <w:abstractNumId w:val="1"/>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bordersDoNotSurroundHeader/>
  <w:bordersDoNotSurroundFooter/>
  <w:hideSpellingErrors/>
  <w:defaultTabStop w:val="420"/>
  <w:drawingGridHorizontalSpacing w:val="105"/>
  <w:drawingGridVerticalSpacing w:val="156"/>
  <w:noPunctuationKerning/>
  <w:characterSpacingControl w:val="compressPunctuation"/>
  <w:hdrShapeDefaults>
    <o:shapedefaults v:ext="edit" spidmax="12290" fillcolor="white">
      <v:fill color="white"/>
    </o:shapedefaults>
  </w:hdrShapeDefaults>
  <w:footnotePr>
    <w:footnote w:id="0"/>
    <w:footnote w:id="1"/>
  </w:footnotePr>
  <w:endnotePr>
    <w:endnote w:id="0"/>
    <w:endnote w:id="1"/>
  </w:endnotePr>
  <w:compat>
    <w:spaceForUL/>
    <w:balanceSingleByteDoubleByteWidth/>
    <w:doNotLeaveBackslashAlone/>
    <w:doNotExpandShiftReturn/>
    <w:adjustLineHeightInTable/>
    <w:useFELayout/>
  </w:compat>
  <w:docVars>
    <w:docVar w:name="commondata" w:val="eyJoZGlkIjoiMDlmOGM3NWRkMGJiYjJiNDljZDVlNmU5YjdiYTdhYzIifQ=="/>
    <w:docVar w:name="EN.InstantFormat" w:val="&lt;ENInstantFormat&gt;&lt;Enabled&gt;1&lt;/Enabled&gt;&lt;ScanUnformatted&gt;1&lt;/ScanUnformatted&gt;&lt;ScanChanges&gt;1&lt;/ScanChanges&gt;&lt;Suspended&gt;1&lt;/Suspended&gt;&lt;/ENInstantFormat&gt;"/>
    <w:docVar w:name="EN.Layout" w:val="&lt;ENLayout&gt;&lt;Style&gt;Ann Rev Pharmacology Toxico&lt;/Style&gt;&lt;LeftDelim&gt;{&lt;/LeftDelim&gt;&lt;RightDelim&gt;}&lt;/RightDelim&gt;&lt;FontName&gt;&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vwx2szar52txne5xpfxetr009drwsde2epp&quot;&gt;我的EndNote库&lt;record-ids&gt;&lt;item&gt;4&lt;/item&gt;&lt;item&gt;5&lt;/item&gt;&lt;item&gt;7&lt;/item&gt;&lt;item&gt;8&lt;/item&gt;&lt;item&gt;9&lt;/item&gt;&lt;item&gt;10&lt;/item&gt;&lt;item&gt;11&lt;/item&gt;&lt;item&gt;12&lt;/item&gt;&lt;item&gt;13&lt;/item&gt;&lt;item&gt;14&lt;/item&gt;&lt;item&gt;15&lt;/item&gt;&lt;item&gt;16&lt;/item&gt;&lt;item&gt;17&lt;/item&gt;&lt;item&gt;18&lt;/item&gt;&lt;item&gt;19&lt;/item&gt;&lt;item&gt;20&lt;/item&gt;&lt;item&gt;23&lt;/item&gt;&lt;/record-ids&gt;&lt;/item&gt;&lt;/Libraries&gt;"/>
    <w:docVar w:name="KY_MEDREF_DOCUID" w:val="{584A8F99-5A21-43D9-9B07-2E5D630CF730}"/>
    <w:docVar w:name="KY_MEDREF_VERSION" w:val="3"/>
    <w:docVar w:name="NE.Ref{0254D85A-9368-4165-AF29-48678BFE0CFF}" w:val=" ADDIN NE.Ref.{0254D85A-9368-4165-AF29-48678BFE0CFF}&lt;Citation&gt;&lt;Group&gt;&lt;References&gt;&lt;Item&gt;&lt;ID&gt;126&lt;/ID&gt;&lt;UID&gt;{13B901D5-28EE-4DD7-A758-117993F7D1AA}&lt;/UID&gt;&lt;Title&gt;Pre- and Postdialysis Blood Pressures Are Imprecise Estimates of Interdialytic Ambulatory Blood Pressure&lt;/Title&gt;&lt;Template&gt;Journal Article&lt;/Template&gt;&lt;Star&gt;0&lt;/Star&gt;&lt;Tag&gt;0&lt;/Tag&gt;&lt;Author&gt;Agarwal; R.&lt;/Author&gt;&lt;Year&gt;2006&lt;/Year&gt;&lt;Details&gt;&lt;_created&gt;63468687&lt;/_created&gt;&lt;_issue&gt;3&lt;/_issue&gt;&lt;_journal&gt;Clin J Am Soc Nephrol&lt;/_journal&gt;&lt;_modified&gt;63468687&lt;/_modified&gt;&lt;_pages&gt;389-398&lt;/_pages&gt;&lt;_volume&gt;1&lt;/_volume&gt;&lt;/Details&gt;&lt;Extra&gt;&lt;DBUID&gt;{749A27AD-B5E1-4ED6-ABD8-A7B8F16E1CAE}&lt;/DBUID&gt;&lt;/Extra&gt;&lt;/Item&gt;&lt;/References&gt;&lt;/Group&gt;&lt;/Citation&gt;_x000a_"/>
    <w:docVar w:name="NE.Ref{0460723E-7096-4077-878B-CA6886C8D291}" w:val=" ADDIN NE.Ref.{0460723E-7096-4077-878B-CA6886C8D291}&lt;Citation&gt;&lt;Group&gt;&lt;References&gt;&lt;Item&gt;&lt;ID&gt;143&lt;/ID&gt;&lt;UID&gt;{442B9431-8F18-4AD0-9B35-4827E9ABBED2}&lt;/UID&gt;&lt;Title&gt;2018 ESC/ESH Guidelines for the management of arterial hypertension: The Task Force for the management of arterial hypertension of the European Society of Cardiology and the European Society of Hypertension&lt;/Title&gt;&lt;Template&gt;Journal Article&lt;/Template&gt;&lt;Star&gt;0&lt;/Star&gt;&lt;Tag&gt;0&lt;/Tag&gt;&lt;Author&gt;Williams, Bryan; Mancia, Giuseppe; Spiering, Wilko; Agabiti Rosei, Enrico; Azizi, Michel; Burnier, Michel; Clement, Denis L; Coca, Antonio; De Simone, Giovanni; Dominiczak, Anna&lt;/Author&gt;&lt;Year&gt;2018&lt;/Year&gt;&lt;Details&gt;&lt;_collection_scope&gt;SCI;SCIE&lt;/_collection_scope&gt;&lt;_created&gt;63468958&lt;/_created&gt;&lt;_impact_factor&gt;   4.171&lt;/_impact_factor&gt;&lt;_issue&gt;10&lt;/_issue&gt;&lt;_journal&gt;Journal of Hypertension&lt;/_journal&gt;&lt;_modified&gt;63468958&lt;/_modified&gt;&lt;_pages&gt;1953-2041&lt;/_pages&gt;&lt;_volume&gt;36&lt;/_volume&gt;&lt;/Details&gt;&lt;Extra&gt;&lt;DBUID&gt;{749A27AD-B5E1-4ED6-ABD8-A7B8F16E1CAE}&lt;/DBUID&gt;&lt;/Extra&gt;&lt;/Item&gt;&lt;/References&gt;&lt;/Group&gt;&lt;/Citation&gt;_x000a_"/>
    <w:docVar w:name="NE.Ref{05D0E461-D9BF-4399-B37A-35846D5A6A42}" w:val=" ADDIN NE.Ref.{05D0E461-D9BF-4399-B37A-35846D5A6A42}&lt;Citation&gt;&lt;Group&gt;&lt;References&gt;&lt;Item&gt;&lt;ID&gt;175&lt;/ID&gt;&lt;UID&gt;{A8F4141C-C88F-4D4E-B77C-6B483D23EB1C}&lt;/UID&gt;&lt;Title&gt;Efficacy and safety of sacubitril/valsartan compared with olmesartan in Asian patients with essential hypertension: A randomized, double-blind, 8-week study.&lt;/Title&gt;&lt;Template&gt;Journal Article&lt;/Template&gt;&lt;Star&gt;0&lt;/Star&gt;&lt;Tag&gt;0&lt;/Tag&gt;&lt;Author&gt;Yong; Huo; Weimin; Randy; Webb; Zhao; Qian; Wang; Weinong; Guo&lt;/Author&gt;&lt;Year&gt;2018&lt;/Year&gt;&lt;Details&gt;&lt;_created&gt;63805559&lt;/_created&gt;&lt;_journal&gt;Journal of clinical hypertension (Greenwich, Conn.)&lt;/_journal&gt;&lt;_modified&gt;63805559&lt;/_modified&gt;&lt;/Details&gt;&lt;Extra&gt;&lt;DBUID&gt;{749A27AD-B5E1-4ED6-ABD8-A7B8F16E1CAE}&lt;/DBUID&gt;&lt;/Extra&gt;&lt;/Item&gt;&lt;/References&gt;&lt;/Group&gt;&lt;/Citation&gt;_x000a_"/>
    <w:docVar w:name="NE.Ref{0AA84AAA-FE17-4E25-8155-E09CD0D69F52}" w:val=" ADDIN NE.Ref.{0AA84AAA-FE17-4E25-8155-E09CD0D69F52}&lt;Citation&gt;&lt;Group&gt;&lt;References&gt;&lt;Item&gt;&lt;ID&gt;41&lt;/ID&gt;&lt;UID&gt;{9D06A697-8F76-4615-8936-08D6D11D6B65}&lt;/UID&gt;&lt;Title&gt;Role of diuretics in the preservation of residual renal function in patients on continuous ambulatory peritoneal dialysis&lt;/Title&gt;&lt;Template&gt;Journal Article&lt;/Template&gt;&lt;Star&gt;0&lt;/Star&gt;&lt;Tag&gt;0&lt;/Tag&gt;&lt;Author&gt;Medcalf, James F; Harris, Kevin P G; Walls, John&lt;/Author&gt;&lt;Year&gt;2001&lt;/Year&gt;&lt;Details&gt;&lt;_accessed&gt;63405282&lt;/_accessed&gt;&lt;_accession_num&gt;11231370&lt;/_accession_num&gt;&lt;_author_adr&gt;Department of Nephrology, Leicester General Hospital, Leicester, England, United  Kingdom.&lt;/_author_adr&gt;&lt;_collection_scope&gt;SCI;SCIE&lt;/_collection_scope&gt;&lt;_created&gt;63405199&lt;/_created&gt;&lt;_date&gt;2001-03-01&lt;/_date&gt;&lt;_date_display&gt;2001 Mar&lt;/_date_display&gt;&lt;_db_updated&gt;CrossRef&lt;/_db_updated&gt;&lt;_doi&gt;10.1046/j.1523-1755.2001.0590031128.x&lt;/_doi&gt;&lt;_impact_factor&gt;   8.945&lt;/_impact_factor&gt;&lt;_isbn&gt;00852538&lt;/_isbn&gt;&lt;_issue&gt;3&lt;/_issue&gt;&lt;_journal&gt;Kidney International&lt;/_journal&gt;&lt;_language&gt;eng&lt;/_language&gt;&lt;_modified&gt;63405282&lt;/_modified&gt;&lt;_pages&gt;1128-1133&lt;/_pages&gt;&lt;_subject_headings&gt;Adult; Aged; Aged, 80 and over; Body Weight/drug effects; Diuresis/drug effects; Diuretics/*therapeutic use; Female; Furosemide/*therapeutic use; Humans; Kidney/*drug effects/*physiopathology; Male; Middle Aged; Natriuresis/drug effects; *Peritoneal Dialysis, Continuous Ambulatory&lt;/_subject_headings&gt;&lt;_tertiary_title&gt;Kidney International&lt;/_tertiary_title&gt;&lt;_type_work&gt;Clinical Trial; Journal Article; Randomized Controlled Trial&lt;/_type_work&gt;&lt;_url&gt;https://linkinghub.elsevier.com/retrieve/pii/S0085253815475775_x000d__x000a_https://api.elsevier.com/content/article/PII:S0085253815475775?httpAccept=text/xml&lt;/_url&gt;&lt;_volume&gt;59&lt;/_volume&gt;&lt;/Details&gt;&lt;Extra&gt;&lt;DBUID&gt;{749A27AD-B5E1-4ED6-ABD8-A7B8F16E1CAE}&lt;/DBUID&gt;&lt;/Extra&gt;&lt;/Item&gt;&lt;/References&gt;&lt;/Group&gt;&lt;/Citation&gt;_x000a_"/>
    <w:docVar w:name="NE.Ref{0B5FE3DC-C5A5-4CF8-B0FF-E8D350C98BE5}" w:val=" ADDIN NE.Ref.{0B5FE3DC-C5A5-4CF8-B0FF-E8D350C98BE5}&lt;Citation&gt;&lt;Group&gt;&lt;References&gt;&lt;Item&gt;&lt;ID&gt;75&lt;/ID&gt;&lt;UID&gt;{092FD3DA-02D3-44D6-9364-47B93C0A38A3}&lt;/UID&gt;&lt;Title&gt;中国肾性高血压管理指南2016(简版)&lt;/Title&gt;&lt;Template&gt;Journal Article&lt;/Template&gt;&lt;Star&gt;0&lt;/Star&gt;&lt;Tag&gt;0&lt;/Tag&gt;&lt;Author&gt;中国医师协会肾脏内科医师分会; 中国中西医结合学会肾脏疾病专业委员会&lt;/Author&gt;&lt;Year&gt;2017&lt;/Year&gt;&lt;Details&gt;&lt;_issue&gt;20&lt;/_issue&gt;&lt;_journal&gt;中华医学杂志&lt;/_journal&gt;&lt;_created&gt;63405729&lt;/_created&gt;&lt;_modified&gt;63405729&lt;/_modified&gt;&lt;_collection_scope&gt;CSCD;PKU&lt;/_collection_scope&gt;&lt;_translated_author&gt;Zhong, Guoyishixiehuishenzangneikeyishifenhui;Zhong, Guozhongxiyijiehexuehuishenzangjibingzhuanyeweiyuanhui&lt;/_translated_author&gt;&lt;/Details&gt;&lt;Extra&gt;&lt;DBUID&gt;{749A27AD-B5E1-4ED6-ABD8-A7B8F16E1CAE}&lt;/DBUID&gt;&lt;/Extra&gt;&lt;/Item&gt;&lt;/References&gt;&lt;/Group&gt;&lt;/Citation&gt;_x000a_"/>
    <w:docVar w:name="NE.Ref{0C113713-6E40-4641-8EF7-D2EDE6C444CF}" w:val=" ADDIN NE.Ref.{0C113713-6E40-4641-8EF7-D2EDE6C444CF}&lt;Citation&gt;&lt;Group&gt;&lt;References&gt;&lt;Item&gt;&lt;ID&gt;137&lt;/ID&gt;&lt;UID&gt;{6FFD3115-42C9-4DCE-BE78-B50FAEB64416}&lt;/UID&gt;&lt;Title&gt;Home blood pressure measurements for managing hypertension in hemodialysis patients&lt;/Title&gt;&lt;Template&gt;Journal Article&lt;/Template&gt;&lt;Star&gt;0&lt;/Star&gt;&lt;Tag&gt;0&lt;/Tag&gt;&lt;Author&gt;Agarwal, R; Satyan, S; Alborzi, P; Light, R P; Tegegne, G G; Mazengia, H S; Yigazu, P M&lt;/Author&gt;&lt;Year&gt;2009&lt;/Year&gt;&lt;Details&gt;&lt;_accession_num&gt;19246891&lt;/_accession_num&gt;&lt;_author_adr&gt;Division of Nephrology, Indiana University School of Medicine, Indianapolis, Ind.,  USA. ragarwal@iupui.edu&lt;/_author_adr&gt;&lt;_date_display&gt;2009&lt;/_date_display&gt;&lt;_date&gt;2009-01-20&lt;/_date&gt;&lt;_doi&gt;10.1159/000206698&lt;/_doi&gt;&lt;_isbn&gt;1421-9670 (Electronic); 0250-8095 (Print); 0250-8095 (Linking)&lt;/_isbn&gt;&lt;_issue&gt;2&lt;/_issue&gt;&lt;_journal&gt;Am J Nephrol&lt;/_journal&gt;&lt;_language&gt;eng&lt;/_language&gt;&lt;_ori_publication&gt;Copyright 2009 S. Karger AG, Basel.&lt;/_ori_publication&gt;&lt;_pages&gt;126-34&lt;/_pages&gt;&lt;_subject_headings&gt;Adult; Aged; Blood Pressure; Blood Pressure Monitoring, Ambulatory/*methods; Female; Home Care Services; Humans; Hypertension/diagnosis/*physiopathology; Kidney Failure, Chronic/physiopathology/therapy; Male; Middle Aged; Randomized Controlled Trials as Topic; Renal Dialysis/*methods; Systole&lt;/_subject_headings&gt;&lt;_tertiary_title&gt;American journal of nephrology&lt;/_tertiary_title&gt;&lt;_type_work&gt;Journal Article; Research Support, N.I.H., Extramural&lt;/_type_work&gt;&lt;_url&gt;http://www.ncbi.nlm.nih.gov/entrez/query.fcgi?cmd=Retrieve&amp;amp;db=pubmed&amp;amp;dopt=Abstract&amp;amp;list_uids=19246891&amp;amp;query_hl=1&lt;/_url&gt;&lt;_volume&gt;30&lt;/_volume&gt;&lt;_created&gt;63468917&lt;/_created&gt;&lt;_modified&gt;63468917&lt;/_modified&gt;&lt;_impact_factor&gt;   3.411&lt;/_impact_factor&gt;&lt;_collection_scope&gt;SCI;SCIE&lt;/_collection_scope&gt;&lt;/Details&gt;&lt;Extra&gt;&lt;DBUID&gt;{749A27AD-B5E1-4ED6-ABD8-A7B8F16E1CAE}&lt;/DBUID&gt;&lt;/Extra&gt;&lt;/Item&gt;&lt;/References&gt;&lt;/Group&gt;&lt;/Citation&gt;_x000a_"/>
    <w:docVar w:name="NE.Ref{0C4FF648-4830-4B6B-95C0-70B070D088D0}" w:val=" ADDIN NE.Ref.{0C4FF648-4830-4B6B-95C0-70B070D088D0}&lt;Citation&gt;&lt;Group&gt;&lt;References&gt;&lt;Item&gt;&lt;ID&gt;2&lt;/ID&gt;&lt;UID&gt;{F4AD8BBE-65F9-4BC1-A07D-E2BC78CB27A5}&lt;/UID&gt;&lt;Title&gt;A nationwide cross-sectional survey on prevalence, management and pharmacoepidemiology patterns on hypertension in Chinese patients with chronic kidney disease&lt;/Title&gt;&lt;Template&gt;Journal Article&lt;/Template&gt;&lt;Star&gt;0&lt;/Star&gt;&lt;Tag&gt;0&lt;/Tag&gt;&lt;Author&gt;Zhang, W; Shi, W; Liu, Z; Gu, Y; Chen, Q; Yuan, W; Zhang, Y; Gong, L; Zhou, R; Li, M; Cheng, H; Liu, J; Cen, J; Huang, C; Ren, Y; Mao, P; Xing, C; Hong, F; Jiang, D; Wang, L; Xu, G; Liu, J; Chen, N&lt;/Author&gt;&lt;Year&gt;2016&lt;/Year&gt;&lt;Details&gt;&lt;_accession_num&gt;27995959&lt;/_accession_num&gt;&lt;_author_adr&gt;Department of Nephrology, Ruijin Hospital Shanghai Jiao Tong University School of Medicine, Shanghai, 200025, China.; Department of Nephrology, Guangdong General Hospital, Guangzhou, 510030, China.; Department of Nephrology, The First Affiliated Hospital of Zhengzhou University,  Zhengzhou, 450052 China.; Department of Nephrology, The Fifth Affiliated Hospital of Fudan University, Shanghai, 200240, China.; Department of Nephrology, The First Affiliated Hospital of Nanchang University, Nanchang, 330006, China.; Department of Nephrology, The First Affiliated Hospital of Shanghai Jiao Tong University, Shanghai, 200080, China.; Department of Nephrology, The First Affiliated Hospital of Xiamen University, Xiamen, 361003, China.; Department of Nephrology, Department of Nephrology, Inner Mongolia People&amp;apos;s Hospital, Inner Mongolia, China.; Department of Nephrology, Shanghai Yangpu Hospital, Tongji University, Shanghai,  200090, China.; Department of Nephrology, PLA Navy General Hospital, Beijing, 100048, China.; Department of Nephrology, Beijing Anzhen Hospital Capital Medical University, Beijing, 100029, China.; Department of Nephrology, The First Affiliated Hospital of Xinjiang Medical University, Xinjiang, China.; Department of Nephrology, Shanghai Construction Group Hospital, Shanghai, 200083, China.; Department of Nephrology, The First Affiliated Hospital of Wenzhou Medical University, Wenzhou, 325000, China.; Department of Nephrology, The Second Affiliated Hospital of Harbin Medical University, Harbin, China.; Department of Nephrology, Tongren Hospital, Shanghai Jiao Tong University School  of Medicine, Shanghai, 200336, China.; Department of Nephrology, Jiangsu Province Hospital, Nanjing, 210029, China.; Department of Nephrology, Fujian Provincial Hospital, Fuzhou, 350001, China.; Department of Nephrology, Jiangsu Taizhou People&amp;apos;s Hospital, Taizhou, 225300, China.; Department of Nephrology, Sichuan Provincial People&amp;apos;s Hospital, Sichuan, 610072,  China.; Department of Nephrology, Tongji Hospital, Tongji Medical College, Huazhong University of Science and Technology, Wuhan, 430030, China.; Department of Nephrology, Union Hospital, Huazhong University of Science and Technology, Wuhan, 430022, China.; Department of Nephrology, Ruijin Hospital Shanghai Jiao Tong University School of Medicine, Shanghai, 200025, China.&lt;/_author_adr&gt;&lt;_date_display&gt;2016 Dec 20&lt;/_date_display&gt;&lt;_date&gt;2016-12-20&lt;/_date&gt;&lt;_doi&gt;10.1038/srep38768&lt;/_doi&gt;&lt;_isbn&gt;2045-2322 (Electronic); 2045-2322 (Linking)&lt;/_isbn&gt;&lt;_journal&gt;Sci Rep&lt;/_journal&gt;&lt;_language&gt;eng&lt;/_language&gt;&lt;_pages&gt;38768&lt;/_pages&gt;&lt;_subject_headings&gt;Adolescent; Adult; Aged; Aged, 80 and over; Antihypertensive Agents/*administration &amp;amp; dosage; Asian Continental Ancestry Group; China/epidemiology; Cross-Sectional Studies; Female; Humans; *Hypertension, Renal/drug therapy/epidemiology; Male; Middle Aged; Prevalence; *Renal Insufficiency, Chronic/drug therapy/epidemiology&lt;/_subject_headings&gt;&lt;_tertiary_title&gt;Scientific reports&lt;/_tertiary_title&gt;&lt;_type_work&gt;Clinical Trial; Journal Article; Multicenter Study; Research Support, Non-U.S. Gov&amp;apos;t&lt;/_type_work&gt;&lt;_url&gt;http://www.ncbi.nlm.nih.gov/entrez/query.fcgi?cmd=Retrieve&amp;amp;db=pubmed&amp;amp;dopt=Abstract&amp;amp;list_uids=27995959&amp;amp;query_hl=1&lt;/_url&gt;&lt;_volume&gt;6&lt;/_volume&gt;&lt;_created&gt;63405158&lt;/_created&gt;&lt;_modified&gt;63405158&lt;/_modified&gt;&lt;_db_updated&gt;PubMed&lt;/_db_updated&gt;&lt;_impact_factor&gt;   3.998&lt;/_impact_factor&gt;&lt;/Details&gt;&lt;Extra&gt;&lt;DBUID&gt;{749A27AD-B5E1-4ED6-ABD8-A7B8F16E1CAE}&lt;/DBUID&gt;&lt;/Extra&gt;&lt;/Item&gt;&lt;/References&gt;&lt;/Group&gt;&lt;Group&gt;&lt;References&gt;&lt;Item&gt;&lt;ID&gt;1&lt;/ID&gt;&lt;UID&gt;{1C0589D4-1FC2-4564-AF49-530FF78ED5D4}&lt;/UID&gt;&lt;Title&gt;Prevalence, awareness, treatment, and control of hypertension in the non-dialysis chronic kidney disease patients&lt;/Title&gt;&lt;Template&gt;Journal Article&lt;/Template&gt;&lt;Star&gt;0&lt;/Star&gt;&lt;Tag&gt;0&lt;/Tag&gt;&lt;Author&gt;Zheng, Y; Cai, G Y; Chen, X M; Fu, P; Chen, J H; Ding, X Q; Yu, X Q; Lin, H L; Liu, J; Xie, R J; Wang, L N; Ni, Z H; Liu, F Y; Yin, A P; Xing, C Y; Wang, L; Shi, W; Liu, J S; He, Y N; Ding, G H; Li, W G; Wu, G L; Miao, L N; Chen, N; Su, Z; Mei, C L; Zhao, J Y; Gu, Y; Bai, Y K; Luo, H M; Lin, S; Chen, M H; Gong, L; Yang, Y B; Yang, X P; Li, Y; Wan, J X; Wang, N S; Li, H Y; Xi, C S; Hao, L; Xu, Y; Fang, J A; Liu, B C; Li, R S; Wang, R; Zhang, J H; Wang, J Q; Lou, T Q; Shao, F M; Mei, F; Liu, Z H; Yuan, W J; Sun, S R; Zhang, L; Zhou, C H; Chen, Q K; Jia, S L; Gong, Z F; Guan, G J; Xia, T; Zhong, L B&lt;/Author&gt;&lt;Year&gt;2013&lt;/Year&gt;&lt;Details&gt;&lt;_accession_num&gt;23786938&lt;/_accession_num&gt;&lt;_author_adr&gt;Department of Nephrology, State key Laboratory of Kidney Disease, Chinese PLA General Hospital, Beijing 100853, China.&lt;/_author_adr&gt;&lt;_date_display&gt;2013 Jun&lt;/_date_display&gt;&lt;_date&gt;2013-06-01&lt;/_date&gt;&lt;_isbn&gt;2542-5641 (Electronic); 0366-6999 (Linking)&lt;/_isbn&gt;&lt;_issue&gt;12&lt;/_issue&gt;&lt;_journal&gt;Chin Med J (Engl)&lt;/_journal&gt;&lt;_language&gt;eng&lt;/_language&gt;&lt;_pages&gt;2276-80&lt;/_pages&gt;&lt;_subject_headings&gt;Adult; Aged; Awareness; Female; Humans; Hypertension/complications/*epidemiology/therapy; Male; Middle Aged; Prevalence; Renal Insufficiency, Chronic/*complications&lt;/_subject_headings&gt;&lt;_tertiary_title&gt;Chinese medical journal&lt;/_tertiary_title&gt;&lt;_type_work&gt;Journal Article; Multicenter Study; Research Support, Non-U.S. Gov&amp;apos;t&lt;/_type_work&gt;&lt;_url&gt;http://www.ncbi.nlm.nih.gov/entrez/query.fcgi?cmd=Retrieve&amp;amp;db=pubmed&amp;amp;dopt=Abstract&amp;amp;list_uids=23786938&amp;amp;query_hl=1&lt;/_url&gt;&lt;_volume&gt;126&lt;/_volume&gt;&lt;_created&gt;63405157&lt;/_created&gt;&lt;_modified&gt;63405157&lt;/_modified&gt;&lt;_db_updated&gt;PubMed&lt;/_db_updated&gt;&lt;_impact_factor&gt;   1.585&lt;/_impact_factor&gt;&lt;/Details&gt;&lt;Extra&gt;&lt;DBUID&gt;{749A27AD-B5E1-4ED6-ABD8-A7B8F16E1CAE}&lt;/DBUID&gt;&lt;/Extra&gt;&lt;/Item&gt;&lt;/References&gt;&lt;/Group&gt;&lt;/Citation&gt;_x000a_"/>
    <w:docVar w:name="NE.Ref{0EA1F3C4-D0E3-44C2-ABA2-099DE071C5A3}" w:val=" ADDIN NE.Ref.{0EA1F3C4-D0E3-44C2-ABA2-099DE071C5A3}&lt;Citation&gt;&lt;Group&gt;&lt;References&gt;&lt;Item&gt;&lt;ID&gt;84&lt;/ID&gt;&lt;UID&gt;{410F0EA6-698D-481B-82C2-241C3F0E09C9}&lt;/UID&gt;&lt;Title&gt;Blood Pressure Goals in Patients with Chronic Kidney Disease: A Review of Evidence and Guidelines.&lt;/Title&gt;&lt;Template&gt;Journal Article&lt;/Template&gt;&lt;Star&gt;0&lt;/Star&gt;&lt;Tag&gt;0&lt;/Tag&gt;&lt;Author&gt;Alex, R; Chang; Meghan; Lóser; Rakesh; Malhotra; Lawrence, J; Appel&lt;/Author&gt;&lt;Year&gt;2018&lt;/Year&gt;&lt;Details&gt;&lt;_created&gt;63426795&lt;/_created&gt;&lt;_journal&gt;Clinical Journal of the American Society of Nephrology Cjasn&lt;/_journal&gt;&lt;_modified&gt;63426795&lt;/_modified&gt;&lt;/Details&gt;&lt;Extra&gt;&lt;DBUID&gt;{749A27AD-B5E1-4ED6-ABD8-A7B8F16E1CAE}&lt;/DBUID&gt;&lt;/Extra&gt;&lt;/Item&gt;&lt;/References&gt;&lt;/Group&gt;&lt;/Citation&gt;_x000a_"/>
    <w:docVar w:name="NE.Ref{0FF7EE28-CEE9-4B1E-AC48-8C617E31381A}" w:val=" ADDIN NE.Ref.{0FF7EE28-CEE9-4B1E-AC48-8C617E31381A}&lt;Citation&gt;&lt;Group&gt;&lt;References&gt;&lt;Item&gt;&lt;ID&gt;117&lt;/ID&gt;&lt;UID&gt;{8F83AEA3-C7CC-43CA-B9E9-0C27D5AB05F2}&lt;/UID&gt;&lt;Title&gt;Practical Strategy for Treating Chronic Kidney Disease (CKD)-Associated with  Hypertension&lt;/Title&gt;&lt;Template&gt;Journal Article&lt;/Template&gt;&lt;Star&gt;0&lt;/Star&gt;&lt;Tag&gt;0&lt;/Tag&gt;&lt;Author&gt;Nagata, D; Hishida, E; Masuda, T&lt;/Author&gt;&lt;Year&gt;2020&lt;/Year&gt;&lt;Details&gt;&lt;_accession_num&gt;32753932&lt;/_accession_num&gt;&lt;_author_adr&gt;Division of Nephrology, Department of Internal Medicine, Jichi Medical University,  Tochigi, Japan.; Division of Nephrology, Department of Internal Medicine, Jichi Medical University,  Tochigi, Japan.; Division of Nephrology, Department of Internal Medicine, Jichi Medical University,  Tochigi, Japan.&lt;/_author_adr&gt;&lt;_date_display&gt;2020&lt;/_date_display&gt;&lt;_date&gt;2020-01-20&lt;/_date&gt;&lt;_doi&gt;10.2147/IJNRD.S259931&lt;/_doi&gt;&lt;_isbn&gt;1178-7058 (Print); 1178-7058 (Electronic); 1178-7058 (Linking)&lt;/_isbn&gt;&lt;_journal&gt;Int J Nephrol Renovasc Dis&lt;/_journal&gt;&lt;_keywords&gt;CKD; RAS inhibitors; SGLT2 inhibitors; atherosclerosis; chronic kidney disease; hypertension; intensive blood pressure control; renin-angiotensin system inhibitors; sodium-glucose cotransporter 2 inhibitors&lt;/_keywords&gt;&lt;_language&gt;eng&lt;/_language&gt;&lt;_ori_publication&gt;© 2020 Nagata et al.&lt;/_ori_publication&gt;&lt;_pages&gt;171-178&lt;/_pages&gt;&lt;_tertiary_title&gt;International journal of nephrology and renovascular disease&lt;/_tertiary_title&gt;&lt;_type_work&gt;Journal Article; Review&lt;/_type_work&gt;&lt;_url&gt;http://www.ncbi.nlm.nih.gov/entrez/query.fcgi?cmd=Retrieve&amp;amp;db=pubmed&amp;amp;dopt=Abstract&amp;amp;list_uids=32753932&amp;amp;query_hl=1&lt;/_url&gt;&lt;_volume&gt;13&lt;/_volume&gt;&lt;_created&gt;63467623&lt;/_created&gt;&lt;_modified&gt;63467623&lt;/_modified&gt;&lt;/Details&gt;&lt;Extra&gt;&lt;DBUID&gt;{749A27AD-B5E1-4ED6-ABD8-A7B8F16E1CAE}&lt;/DBUID&gt;&lt;/Extra&gt;&lt;/Item&gt;&lt;/References&gt;&lt;/Group&gt;&lt;/Citation&gt;_x000a_"/>
    <w:docVar w:name="NE.Ref{11F3FEB7-3617-4095-87B9-D9446AEC852B}" w:val=" ADDIN NE.Ref.{11F3FEB7-3617-4095-87B9-D9446AEC852B}&lt;Citation&gt;&lt;Group&gt;&lt;References&gt;&lt;Item&gt;&lt;ID&gt;125&lt;/ID&gt;&lt;UID&gt;{FF0C285F-35AA-46E5-A480-4E0829379853}&lt;/UID&gt;&lt;Title&gt;Blood pressure and volume management in dialysis: conclusions from a Kidney Disease:  Improving Global Outcomes (KDIGO) Controversies Conference&lt;/Title&gt;&lt;Template&gt;Journal Article&lt;/Template&gt;&lt;Star&gt;0&lt;/Star&gt;&lt;Tag&gt;0&lt;/Tag&gt;&lt;Author&gt;Flythe, J E; Chang, T I; Gallagher, M P; Lindley, E; Madero, M; Sarafidis, P A; Unruh, M L; Wang, A Y; Weiner, D E; Cheung, M; Jadoul, M; Winkelmayer, W C; Polkinghorne, K R&lt;/Author&gt;&lt;Year&gt;2020&lt;/Year&gt;&lt;Details&gt;&lt;_accessed&gt;63791433&lt;/_accessed&gt;&lt;_accession_num&gt;32278617&lt;/_accession_num&gt;&lt;_author_adr&gt;University of North Carolina Kidney Center, Division of Nephrology and Hypertension,  Department of Medicine, UNC School of Medicine, Chapel Hill, North Carolina, USA;  Cecil G. Sheps Center for Health Services Research, University of North Carolina,  Chapel Hill, North Carolina, USA. Electronic address: jflythe@med.unc.edu.; Division of Nephrology, Stanford University School of Medicine, Palo Alto,  California, USA.; George Institute for Global Health, Renal and Metabolic Division, Camperdown,  Australia; Concord Repatriation General Hospital, Department of Renal Medicine,  Sydney, Australia.; Department of Renal Medicine, Leeds Teaching Hospitals NHS Trust, Leeds, UK.; Department of Medicine, Division of Nephrology, National Institute of Cardiology  &amp;quot;Ignacio Chávez&amp;quot;, Mexico City, Mexico.; Department of Nephrology, Hippokration Hospital, Aristotle University of  Thessaloniki, Thessaloniki, Greece.; Department of Internal Medicine, University of New Mexico School of Medicine,  Albuquerque, New Mexico, USA.; Department of Medicine, Queen Mary Hospital, University of Hong Kong, Hong Kong,  China.; William B. Schwartz Division of Nephrology, Tufts Medical Center, Boston,  Massachusetts, USA.; KDIGO, Brussels, Belgium.; Department of Nephrology, Cliniques universitaires Saint-Luc, Université catholique  de Louvain, Brussels, Belgium.; Selzman Institute for Kidney Health, Section of Nephrology, Department of Medicine,  Baylor College of Medicine, Houston, Texas, USA.; Department of Nephrology, Monash Health, Clayton, Melbourne, Australia; Department  of Medicine, Monash University, Clayton, Melbourne, Australia; Department of  Epidemiology and Preventive Medicine, Monash University, Prahan, Melbourne,  Australia. Electronic address: kevan.polkinghorne@monash.edu.&lt;/_author_adr&gt;&lt;_collection_scope&gt;SCI;SCIE&lt;/_collection_scope&gt;&lt;_created&gt;63468683&lt;/_created&gt;&lt;_date&gt;2020-05-01&lt;/_date&gt;&lt;_date_display&gt;2020 May&lt;/_date_display&gt;&lt;_doi&gt;10.1016/j.kint.2020.01.046&lt;/_doi&gt;&lt;_impact_factor&gt;   8.945&lt;/_impact_factor&gt;&lt;_isbn&gt;1523-1755 (Electronic); 0085-2538 (Print); 0085-2538 (Linking)&lt;/_isbn&gt;&lt;_issue&gt;5&lt;/_issue&gt;&lt;_journal&gt;Kidney Int&lt;/_journal&gt;&lt;_keywords&gt;hemodialysis; patient-reported outcome measures; peritoneal dialysis; quality of life; residual kidney function&lt;/_keywords&gt;&lt;_language&gt;eng&lt;/_language&gt;&lt;_modified&gt;63791433&lt;/_modified&gt;&lt;_ori_publication&gt;Copyright © 2020 International Society of Nephrology. Published by Elsevier Inc. All _x000d__x000a_      rights reserved.&lt;/_ori_publication&gt;&lt;_pages&gt;861-876&lt;/_pages&gt;&lt;_tertiary_title&gt;Kidney international&lt;/_tertiary_title&gt;&lt;_type_work&gt;Practice Guideline&lt;/_type_work&gt;&lt;_url&gt;http://www.ncbi.nlm.nih.gov/entrez/query.fcgi?cmd=Retrieve&amp;amp;db=pubmed&amp;amp;dopt=Abstract&amp;amp;list_uids=32278617&amp;amp;query_hl=1&lt;/_url&gt;&lt;_volume&gt;97&lt;/_volume&gt;&lt;/Details&gt;&lt;Extra&gt;&lt;DBUID&gt;{749A27AD-B5E1-4ED6-ABD8-A7B8F16E1CAE}&lt;/DBUID&gt;&lt;/Extra&gt;&lt;/Item&gt;&lt;/References&gt;&lt;/Group&gt;&lt;/Citation&gt;_x000a_"/>
    <w:docVar w:name="NE.Ref{120ED79E-F3BF-40ED-9CA3-814DAB4DFC91}" w:val=" ADDIN NE.Ref.{120ED79E-F3BF-40ED-9CA3-814DAB4DFC91}&lt;Citation&gt;&lt;Group&gt;&lt;References&gt;&lt;Item&gt;&lt;ID&gt;183&lt;/ID&gt;&lt;UID&gt;{F75D6599-A342-488A-A1C1-550B2545D823}&lt;/UID&gt;&lt;Title&gt;?-Blocker Dialyzability and Mortality in Older Patients Receiving Hemodialysis&lt;/Title&gt;&lt;Template&gt;Journal Article&lt;/Template&gt;&lt;Star&gt;0&lt;/Star&gt;&lt;Tag&gt;0&lt;/Tag&gt;&lt;Author&gt;Weir, M A; Dixon, S N; Fleet, J L; Roberts, M A; Hackam, D G; Oliver, M J; Suri, R S; Quinn, R R; Ozair, S; Beyea, M M&lt;/Author&gt;&lt;Year&gt;2015&lt;/Year&gt;&lt;Details&gt;&lt;_collection_scope&gt;SCI;SCIE&lt;/_collection_scope&gt;&lt;_created&gt;63806038&lt;/_created&gt;&lt;_impact_factor&gt;   9.274&lt;/_impact_factor&gt;&lt;_issue&gt;4&lt;/_issue&gt;&lt;_journal&gt;Journal of the American Society of Nephrology&lt;/_journal&gt;&lt;_modified&gt;63806038&lt;/_modified&gt;&lt;_pages&gt;987-996&lt;/_pages&gt;&lt;_volume&gt;26&lt;/_volume&gt;&lt;/Details&gt;&lt;Extra&gt;&lt;DBUID&gt;{749A27AD-B5E1-4ED6-ABD8-A7B8F16E1CAE}&lt;/DBUID&gt;&lt;/Extra&gt;&lt;/Item&gt;&lt;/References&gt;&lt;/Group&gt;&lt;/Citation&gt;_x000a_"/>
    <w:docVar w:name="NE.Ref{1569BBF3-B427-4D10-8A33-082FFD6B08BA}" w:val=" ADDIN NE.Ref.{1569BBF3-B427-4D10-8A33-082FFD6B08BA}&lt;Citation&gt;&lt;Group&gt;&lt;References&gt;&lt;Item&gt;&lt;ID&gt;46&lt;/ID&gt;&lt;UID&gt;{4144EA78-37FA-45A2-9179-9A05C20CF2E5}&lt;/UID&gt;&lt;Title&gt;Use of ACE inhibitors or angiotensin receptor blockers and survival in patients on peritoneal dialysis*&lt;/Title&gt;&lt;Template&gt;Journal Article&lt;/Template&gt;&lt;Star&gt;0&lt;/Star&gt;&lt;Tag&gt;0&lt;/Tag&gt;&lt;Author&gt;Wei, Fang; Oreopoulos, Dimitrios G; Bargman, Joanne M&lt;/Author&gt;&lt;Year&gt;2008&lt;/Year&gt;&lt;Details&gt;&lt;_issue&gt;11&lt;/_issue&gt;&lt;_journal&gt;Nephrology Dialysis Transplantation&lt;/_journal&gt;&lt;_pages&gt;11&lt;/_pages&gt;&lt;_created&gt;63405238&lt;/_created&gt;&lt;_modified&gt;63405238&lt;/_modified&gt;&lt;_impact_factor&gt;   4.531&lt;/_impact_factor&gt;&lt;_collection_scope&gt;SCI;SCIE&lt;/_collection_scope&gt;&lt;/Details&gt;&lt;Extra&gt;&lt;DBUID&gt;{749A27AD-B5E1-4ED6-ABD8-A7B8F16E1CAE}&lt;/DBUID&gt;&lt;/Extra&gt;&lt;/Item&gt;&lt;/References&gt;&lt;/Group&gt;&lt;Group&gt;&lt;References&gt;&lt;Item&gt;&lt;ID&gt;47&lt;/ID&gt;&lt;UID&gt;{CF8A9397-DFCE-4192-8D11-FA7BD259F0CA}&lt;/UID&gt;&lt;Title&gt;Effects of angiotensin-converting enzyme inhibitors and angiotensin receptor blockers on cardiovascular events and residual renal function in dialysis patients: a meta-analysis of randomised controlled trials&lt;/Title&gt;&lt;Template&gt;Journal Article&lt;/Template&gt;&lt;Star&gt;0&lt;/Star&gt;&lt;Tag&gt;0&lt;/Tag&gt;&lt;Author&gt;Liu, Youxia; Ma, Xinxin; Zheng, Jie; Jia, Junya; Yan, Tiekun&lt;/Author&gt;&lt;Year&gt;2017&lt;/Year&gt;&lt;Details&gt;&lt;_accession_num&gt;28666408&lt;/_accession_num&gt;&lt;_author_adr&gt;Department of Nephrology, General Hospital of Tianjin Medical University, NO. 154, Anshan road, Heping District, Tianjin, China.; Division of Nephrology, Department of Medicine, The Third Affiliated Hospital of  Sun Yat-sen University, Guangzhou, People&amp;apos;s Republic of China.; Radiology Department, General Hospital of Tianjin Medical University, Tianjin, People&amp;apos;s Republic of China.; Department of Nephrology, General Hospital of Tianjin Medical University, NO. 154, Anshan road, Heping District, Tianjin, China.; Department of Nephrology, General Hospital of Tianjin Medical University, NO. 154, Anshan road, Heping District, Tianjin, China. tiekunyan@163.com.&lt;/_author_adr&gt;&lt;_date_display&gt;2017 Jun 30&lt;/_date_display&gt;&lt;_date&gt;2017-06-30&lt;/_date&gt;&lt;_doi&gt;10.1186/s12882-017-0605-7&lt;/_doi&gt;&lt;_isbn&gt;1471-2369&lt;/_isbn&gt;&lt;_issue&gt;1&lt;/_issue&gt;&lt;_journal&gt;BMC Nephrology&lt;/_journal&gt;&lt;_keywords&gt;Angiotensin receptor blockers; Angiotensin-converting enzyme inhibitors; Cardiovascular events; Dialysis; Meta-analysis; Residual renal function&lt;/_keywords&gt;&lt;_language&gt;eng&lt;/_language&gt;&lt;_pages&gt;206&lt;/_pages&gt;&lt;_subject_headings&gt;Angiotensin Receptor Antagonists/*therapeutic use; Angiotensin-Converting Enzyme Inhibitors/*therapeutic use; Cardiovascular Diseases/*drug therapy/epidemiology/physiopathology; Humans; Kidney/drug effects/physiology; Randomized Controlled Trials as Topic/*methods; Renal Dialysis/adverse effects/*trends; Renal Insufficiency, Chronic/epidemiology/physiopathology/*therapy; Treatment Outcome&lt;/_subject_headings&gt;&lt;_tertiary_title&gt;BMC Nephrol&lt;/_tertiary_title&gt;&lt;_type_work&gt;Journal Article; Meta-Analysis; Review&lt;/_type_work&gt;&lt;_url&gt;http://bmcnephrol.biomedcentral.com/articles/10.1186/s12882-017-0605-7_x000d__x000a_http://link.springer.com/content/pdf/10.1186/s12882-017-0605-7.pdf&lt;/_url&gt;&lt;_volume&gt;18&lt;/_volume&gt;&lt;_created&gt;63405250&lt;/_created&gt;&lt;_modified&gt;63405279&lt;/_modified&gt;&lt;_db_updated&gt;CrossRef&lt;/_db_updated&gt;&lt;_impact_factor&gt;   1.913&lt;/_impact_factor&gt;&lt;_collection_scope&gt;SCIE&lt;/_collection_scope&gt;&lt;_accessed&gt;63405279&lt;/_accessed&gt;&lt;/Details&gt;&lt;Extra&gt;&lt;DBUID&gt;{749A27AD-B5E1-4ED6-ABD8-A7B8F16E1CAE}&lt;/DBUID&gt;&lt;/Extra&gt;&lt;/Item&gt;&lt;/References&gt;&lt;/Group&gt;&lt;/Citation&gt;_x000a_"/>
    <w:docVar w:name="NE.Ref{1642B2EB-E443-4CD3-979F-B66306D1C15F}" w:val=" ADDIN NE.Ref.{1642B2EB-E443-4CD3-979F-B66306D1C15F}&lt;Citation&gt;&lt;Group&gt;&lt;References&gt;&lt;Item&gt;&lt;ID&gt;130&lt;/ID&gt;&lt;UID&gt;{7783F8B0-16D9-49F0-B2D7-7CD8F16F2E21}&lt;/UID&gt;&lt;Title&gt;Pre- and postdialysis blood pressures are imprecise estimates of interdialytic  ambulatory blood pressure&lt;/Title&gt;&lt;Template&gt;Journal Article&lt;/Template&gt;&lt;Star&gt;0&lt;/Star&gt;&lt;Tag&gt;0&lt;/Tag&gt;&lt;Author&gt;Agarwal, R; Peixoto, A J; Santos, S F; Zoccali, C&lt;/Author&gt;&lt;Year&gt;2006&lt;/Year&gt;&lt;Details&gt;&lt;_accession_num&gt;17699236&lt;/_accession_num&gt;&lt;_author_adr&gt;Division of Nephrology, Department of Medicine, Indiana University School of  Medicine, and Richard L. Roudebush Veterans Affairs Medical Center, Indianapolis,  Indiana 46202, USA. ragarwal@iupui.edu&lt;/_author_adr&gt;&lt;_date_display&gt;2006 May&lt;/_date_display&gt;&lt;_date&gt;2006-05-01&lt;/_date&gt;&lt;_doi&gt;10.2215/CJN.01891105&lt;/_doi&gt;&lt;_isbn&gt;1555-905X (Electronic); 1555-9041 (Linking)&lt;/_isbn&gt;&lt;_issue&gt;3&lt;/_issue&gt;&lt;_journal&gt;Clin J Am Soc Nephrol&lt;/_journal&gt;&lt;_language&gt;eng&lt;/_language&gt;&lt;_pages&gt;389-98&lt;/_pages&gt;&lt;_subject_headings&gt;*Blood Pressure; *Blood Pressure Monitoring, Ambulatory; Humans; *Renal Dialysis; Reproducibility of Results&lt;/_subject_headings&gt;&lt;_tertiary_title&gt;Clinical journal of the American Society of Nephrology : CJASN&lt;/_tertiary_title&gt;&lt;_type_work&gt;Journal Article; Research Support, N.I.H., Extramural; Review&lt;/_type_work&gt;&lt;_url&gt;http://www.ncbi.nlm.nih.gov/entrez/query.fcgi?cmd=Retrieve&amp;amp;db=pubmed&amp;amp;dopt=Abstract&amp;amp;list_uids=17699236&amp;amp;query_hl=1&lt;/_url&gt;&lt;_volume&gt;1&lt;/_volume&gt;&lt;_created&gt;63468706&lt;/_created&gt;&lt;_modified&gt;63468706&lt;/_modified&gt;&lt;_impact_factor&gt;   6.628&lt;/_impact_factor&gt;&lt;/Details&gt;&lt;Extra&gt;&lt;DBUID&gt;{749A27AD-B5E1-4ED6-ABD8-A7B8F16E1CAE}&lt;/DBUID&gt;&lt;/Extra&gt;&lt;/Item&gt;&lt;/References&gt;&lt;/Group&gt;&lt;/Citation&gt;_x000a_"/>
    <w:docVar w:name="NE.Ref{1697675B-50F4-47B1-A2BF-6F43E0AF6397}" w:val=" ADDIN NE.Ref.{1697675B-50F4-47B1-A2BF-6F43E0AF6397}&lt;Citation&gt;&lt;Group&gt;&lt;References&gt;&lt;Item&gt;&lt;ID&gt;87&lt;/ID&gt;&lt;UID&gt;{D58FC1A4-6F5E-4705-9FE0-4A0E7837F25F}&lt;/UID&gt;&lt;Title&gt;[2018 ESC/ESH Guidelines for the management of arterial hypertension]&lt;/Title&gt;&lt;Template&gt;Journal Article&lt;/Template&gt;&lt;Star&gt;0&lt;/Star&gt;&lt;Tag&gt;0&lt;/Tag&gt;&lt;Author/&gt;&lt;Year&gt;2019&lt;/Year&gt;&lt;Details&gt;&lt;_journal&gt;European Heart Journal&lt;/_journal&gt;&lt;_pages&gt;71&lt;/_pages&gt;&lt;_volume&gt;77&lt;/_volume&gt;&lt;_created&gt;63426845&lt;/_created&gt;&lt;_modified&gt;63426845&lt;/_modified&gt;&lt;_impact_factor&gt;  22.673&lt;/_impact_factor&gt;&lt;_collection_scope&gt;SCI;SCIE&lt;/_collection_scope&gt;&lt;/Details&gt;&lt;Extra&gt;&lt;DBUID&gt;{749A27AD-B5E1-4ED6-ABD8-A7B8F16E1CAE}&lt;/DBUID&gt;&lt;/Extra&gt;&lt;/Item&gt;&lt;/References&gt;&lt;/Group&gt;&lt;/Citation&gt;_x000a_"/>
    <w:docVar w:name="NE.Ref{178ACBE8-A1B3-47A3-912F-39127D6B36B9}" w:val=" ADDIN NE.Ref.{178ACBE8-A1B3-47A3-912F-39127D6B36B9}&lt;Citation&gt;&lt;Group&gt;&lt;References&gt;&lt;Item&gt;&lt;ID&gt;85&lt;/ID&gt;&lt;UID&gt;{95089CA7-4BA3-4A66-AE88-83F734FFC6A2}&lt;/UID&gt;&lt;Title&gt;2014 evidence-based guideline for the management of high blood pressure in adults: Report from the panel members appointed to the eighth joint national committee (JNC 8)&lt;/Title&gt;&lt;Template&gt;Journal Article&lt;/Template&gt;&lt;Star&gt;0&lt;/Star&gt;&lt;Tag&gt;0&lt;/Tag&gt;&lt;Author&gt;James; P., A; Oparil; Carter; B., L&lt;/Author&gt;&lt;Year&gt;2014&lt;/Year&gt;&lt;Details&gt;&lt;_created&gt;63426834&lt;/_created&gt;&lt;_journal&gt;Journal of Cardiopulmonary Rehabilitation &amp;amp; Prevention&lt;/_journal&gt;&lt;_modified&gt;63426834&lt;/_modified&gt;&lt;/Details&gt;&lt;Extra&gt;&lt;DBUID&gt;{749A27AD-B5E1-4ED6-ABD8-A7B8F16E1CAE}&lt;/DBUID&gt;&lt;/Extra&gt;&lt;/Item&gt;&lt;/References&gt;&lt;/Group&gt;&lt;/Citation&gt;_x000a_"/>
    <w:docVar w:name="NE.Ref{17A9039A-9E8D-4FD5-80D1-1BAF0143F35B}" w:val=" ADDIN NE.Ref.{17A9039A-9E8D-4FD5-80D1-1BAF0143F35B}&lt;Citation&gt;&lt;Group&gt;&lt;References&gt;&lt;Item&gt;&lt;ID&gt;108&lt;/ID&gt;&lt;UID&gt;{E40D461A-9CFD-4C8E-85C8-1C6450C76C09}&lt;/UID&gt;&lt;Title&gt;Hypertension in dialysis patients: a consensus document by the European Renal and Cardiovascular Medicine (EURECA-m) working group of the European Renal Association - European Dialysis and Transplant Association (ERA-EDTA) and the Hypertension and the Kidn&lt;/Title&gt;&lt;Template&gt;Journal Article&lt;/Template&gt;&lt;Star&gt;0&lt;/Star&gt;&lt;Tag&gt;0&lt;/Tag&gt;&lt;Author&gt;Sarafidis, Pantelis A; Alexandre, Persu; Rajiv, Agarwal; Michel, Burnier; Peter, De Leeuw; Ferro, Charles J; Jean-Michel, Halimi; Heine, Gunnar H; Michel, Jadoul; Faical, Jarraya&lt;/Author&gt;&lt;Year&gt;2017&lt;/Year&gt;&lt;Details&gt;&lt;_created&gt;63434387&lt;/_created&gt;&lt;_issue&gt;4&lt;/_issue&gt;&lt;_journal&gt;Nephrol Dial Transplant&lt;/_journal&gt;&lt;_modified&gt;63434387&lt;/_modified&gt;&lt;_pages&gt;620-640&lt;/_pages&gt;&lt;/Details&gt;&lt;Extra&gt;&lt;DBUID&gt;{749A27AD-B5E1-4ED6-ABD8-A7B8F16E1CAE}&lt;/DBUID&gt;&lt;/Extra&gt;&lt;/Item&gt;&lt;/References&gt;&lt;/Group&gt;&lt;Group&gt;&lt;References&gt;&lt;Item&gt;&lt;ID&gt;135&lt;/ID&gt;&lt;UID&gt;{7B5F6439-DF05-477B-BF3F-14FABD14B4F5}&lt;/UID&gt;&lt;Title&gt;Chronobiology of arterial hypertension in hemodialysis patients: implications for  home blood pressure monitoring&lt;/Title&gt;&lt;Template&gt;Journal Article&lt;/Template&gt;&lt;Star&gt;0&lt;/Star&gt;&lt;Tag&gt;0&lt;/Tag&gt;&lt;Author&gt;Agarwal, R; Light, R P&lt;/Author&gt;&lt;Year&gt;2009&lt;/Year&gt;&lt;Details&gt;&lt;_accession_num&gt;19515473&lt;/_accession_num&gt;&lt;_author_adr&gt;Division of Nephrology, Richard L. Roudebush VA Medical Center, Indianapolis, IN,  USA. ragarwal@iupui.edu&lt;/_author_adr&gt;&lt;_collection_scope&gt;SCI;SCIE&lt;/_collection_scope&gt;&lt;_created&gt;63468907&lt;/_created&gt;&lt;_date&gt;2009-10-01&lt;/_date&gt;&lt;_date_display&gt;2009 Oct&lt;/_date_display&gt;&lt;_doi&gt;10.1053/j.ajkd.2009.03.018&lt;/_doi&gt;&lt;_impact_factor&gt;   6.618&lt;/_impact_factor&gt;&lt;_isbn&gt;1523-6838 (Electronic); 0272-6386 (Print); 0272-6386 (Linking)&lt;/_isbn&gt;&lt;_issue&gt;4&lt;/_issue&gt;&lt;_journal&gt;Am J Kidney Dis&lt;/_journal&gt;&lt;_language&gt;eng&lt;/_language&gt;&lt;_modified&gt;63468907&lt;/_modified&gt;&lt;_pages&gt;693-701&lt;/_pages&gt;&lt;_subject_headings&gt;Adult; African Americans/statistics &amp;amp; numerical data; Aged; Antihypertensive Agents/therapeutic use; *Blood Pressure; *Blood Pressure Monitoring, Ambulatory; *Circadian Rhythm; Female; Humans; Hypertension/ethnology/*physiopathology; Male; Middle Aged; Randomized Controlled Trials as Topic; *Renal Dialysis&lt;/_subject_headings&gt;&lt;_tertiary_title&gt;American journal of kidney diseases : the official journal of the National Kidney _x000d__x000a_      Foundation&lt;/_tertiary_title&gt;&lt;_type_work&gt;Comparative Study; Journal Article; Research Support, N.I.H., Extramural&lt;/_type_work&gt;&lt;_url&gt;http://www.ncbi.nlm.nih.gov/entrez/query.fcgi?cmd=Retrieve&amp;amp;db=pubmed&amp;amp;dopt=Abstract&amp;amp;list_uids=19515473&amp;amp;query_hl=1&lt;/_url&gt;&lt;_volume&gt;54&lt;/_volume&gt;&lt;/Details&gt;&lt;Extra&gt;&lt;DBUID&gt;{749A27AD-B5E1-4ED6-ABD8-A7B8F16E1CAE}&lt;/DBUID&gt;&lt;/Extra&gt;&lt;/Item&gt;&lt;/References&gt;&lt;/Group&gt;&lt;/Citation&gt;_x000a_"/>
    <w:docVar w:name="NE.Ref{17B7B87A-B41A-44BD-8BBF-91ADB166DB79}" w:val=" ADDIN NE.Ref.{17B7B87A-B41A-44BD-8BBF-91ADB166DB79}&lt;Citation&gt;&lt;Group&gt;&lt;References&gt;&lt;Item&gt;&lt;ID&gt;152&lt;/ID&gt;&lt;UID&gt;{FE53CFA6-B2F8-4DAB-B267-9C0A1E01F302}&lt;/UID&gt;&lt;Title&gt;Essential points from Evidence-based Clinical Practice Guidelines for Chronic Kidney Disease 2018&lt;/Title&gt;&lt;Template&gt;Journal Article&lt;/Template&gt;&lt;Star&gt;0&lt;/Star&gt;&lt;Tag&gt;0&lt;/Tag&gt;&lt;Author&gt;Nephrology, Japanese Society Of&lt;/Author&gt;&lt;Year&gt;2019&lt;/Year&gt;&lt;Details&gt;&lt;_journal&gt;Clinical and Experimental Nephrology&lt;/_journal&gt;&lt;_created&gt;63469083&lt;/_created&gt;&lt;_modified&gt;63469083&lt;/_modified&gt;&lt;_impact_factor&gt;   1.770&lt;/_impact_factor&gt;&lt;_collection_scope&gt;SCIE&lt;/_collection_scope&gt;&lt;/Details&gt;&lt;Extra&gt;&lt;DBUID&gt;{749A27AD-B5E1-4ED6-ABD8-A7B8F16E1CAE}&lt;/DBUID&gt;&lt;/Extra&gt;&lt;/Item&gt;&lt;/References&gt;&lt;/Group&gt;&lt;/Citation&gt;_x000a_"/>
    <w:docVar w:name="NE.Ref{1CF31B33-B36E-4FC6-8449-CF21C63DFEC8}" w:val=" ADDIN NE.Ref.{1CF31B33-B36E-4FC6-8449-CF21C63DFEC8}&lt;Citation&gt;&lt;Group&gt;&lt;References&gt;&lt;Item&gt;&lt;ID&gt;169&lt;/ID&gt;&lt;UID&gt;{D5211BDA-8778-4317-8816-980759FAD7E8}&lt;/UID&gt;&lt;Title&gt;Spironolactone Reduces Cardiovascular and Cerebrovascular Morbidity and Mortality in Hemodialysis Patients&lt;/Title&gt;&lt;Template&gt;Journal Article&lt;/Template&gt;&lt;Star&gt;0&lt;/Star&gt;&lt;Tag&gt;0&lt;/Tag&gt;&lt;Author&gt;Matsumoto, Yoshihiro; Mori, Yasuo; Kageyama, Shinji; Arihara, Kazuo; Shio, Nobuo&lt;/Author&gt;&lt;Year&gt;2013&lt;/Year&gt;&lt;Details&gt;&lt;_collection_scope&gt;SCI;SCIE&lt;/_collection_scope&gt;&lt;_created&gt;63659042&lt;/_created&gt;&lt;_impact_factor&gt;  20.589&lt;/_impact_factor&gt;&lt;_issue&gt;6&lt;/_issue&gt;&lt;_journal&gt;Journal of the American College of Cardiology&lt;/_journal&gt;&lt;_modified&gt;63659042&lt;/_modified&gt;&lt;_volume&gt;63&lt;/_volume&gt;&lt;/Details&gt;&lt;Extra&gt;&lt;DBUID&gt;{749A27AD-B5E1-4ED6-ABD8-A7B8F16E1CAE}&lt;/DBUID&gt;&lt;/Extra&gt;&lt;/Item&gt;&lt;/References&gt;&lt;/Group&gt;&lt;/Citation&gt;_x000a_"/>
    <w:docVar w:name="NE.Ref{1EEAEEBD-AE42-4A92-8BDA-2E5E4FE2EA4C}" w:val=" ADDIN NE.Ref.{1EEAEEBD-AE42-4A92-8BDA-2E5E4FE2EA4C}&lt;Citation&gt;&lt;Group&gt;&lt;References&gt;&lt;Item&gt;&lt;ID&gt;164&lt;/ID&gt;&lt;UID&gt;{5326AD5E-440E-4BCA-A486-36DB5A0FD7A5}&lt;/UID&gt;&lt;Title&gt;Safety evaluation and cardiovascular effect of additional use of spironolactone in hemodialysis patients: a meta-analysis&lt;/Title&gt;&lt;Template&gt;Journal Article&lt;/Template&gt;&lt;Star&gt;0&lt;/Star&gt;&lt;Tag&gt;0&lt;/Tag&gt;&lt;Author&gt;Zeng, Qing; Zhou, Xiao Duo; Xu, Ge&lt;/Author&gt;&lt;Year&gt;2019&lt;/Year&gt;&lt;Details&gt;&lt;_created&gt;63659011&lt;/_created&gt;&lt;_journal&gt;Drug Design, Development and Therapy&lt;/_journal&gt;&lt;_modified&gt;63659011&lt;/_modified&gt;&lt;_pages&gt;1487-1499&lt;/_pages&gt;&lt;_volume&gt;Volume 13&lt;/_volume&gt;&lt;/Details&gt;&lt;Extra&gt;&lt;DBUID&gt;{749A27AD-B5E1-4ED6-ABD8-A7B8F16E1CAE}&lt;/DBUID&gt;&lt;/Extra&gt;&lt;/Item&gt;&lt;/References&gt;&lt;/Group&gt;&lt;Group&gt;&lt;References&gt;&lt;Item&gt;&lt;ID&gt;166&lt;/ID&gt;&lt;UID&gt;{21E55782-5075-4412-9F8E-4952D89D0257}&lt;/UID&gt;&lt;Title&gt;Long-term effects of spironolactone in peritoneal dialysis patients.&lt;/Title&gt;&lt;Template&gt;Journal Article&lt;/Template&gt;&lt;Star&gt;0&lt;/Star&gt;&lt;Tag&gt;0&lt;/Tag&gt;&lt;Author&gt;Ito, Y; Mizuno, M; Suzuki, Y; Tamai, H; Hiramatsu, T; Ohashi, H; Ito, I; Kasuga, H; Horie, M; Maruyama, S&lt;/Author&gt;&lt;Year&gt;2014&lt;/Year&gt;&lt;Details&gt;&lt;_created&gt;63659020&lt;/_created&gt;&lt;_issue&gt;5&lt;/_issue&gt;&lt;_journal&gt;Journal of the American Society of Nephrology Jasn&lt;/_journal&gt;&lt;_modified&gt;63659020&lt;/_modified&gt;&lt;_pages&gt;1094-102&lt;/_pages&gt;&lt;_volume&gt;25&lt;/_volume&gt;&lt;/Details&gt;&lt;Extra&gt;&lt;DBUID&gt;{749A27AD-B5E1-4ED6-ABD8-A7B8F16E1CAE}&lt;/DBUID&gt;&lt;/Extra&gt;&lt;/Item&gt;&lt;/References&gt;&lt;/Group&gt;&lt;/Citation&gt;_x000a_"/>
    <w:docVar w:name="NE.Ref{1F0933FB-D366-41E7-8E5C-3506DB954BEC}" w:val=" ADDIN NE.Ref.{1F0933FB-D366-41E7-8E5C-3506DB954BEC}&lt;Citation&gt;&lt;Group&gt;&lt;References&gt;&lt;Item&gt;&lt;ID&gt;152&lt;/ID&gt;&lt;UID&gt;{FE53CFA6-B2F8-4DAB-B267-9C0A1E01F302}&lt;/UID&gt;&lt;Title&gt;Essential points from Evidence-based Clinical Practice Guidelines for Chronic Kidney Disease 2018&lt;/Title&gt;&lt;Template&gt;Journal Article&lt;/Template&gt;&lt;Star&gt;0&lt;/Star&gt;&lt;Tag&gt;0&lt;/Tag&gt;&lt;Author&gt;Nephrology, Japanese Society Of&lt;/Author&gt;&lt;Year&gt;2019&lt;/Year&gt;&lt;Details&gt;&lt;_accessed&gt;63791275&lt;/_accessed&gt;&lt;_collection_scope&gt;SCIE&lt;/_collection_scope&gt;&lt;_created&gt;63469083&lt;/_created&gt;&lt;_impact_factor&gt;   1.770&lt;/_impact_factor&gt;&lt;_journal&gt;Clinical and Experimental Nephrology&lt;/_journal&gt;&lt;_modified&gt;63469083&lt;/_modified&gt;&lt;/Details&gt;&lt;Extra&gt;&lt;DBUID&gt;{749A27AD-B5E1-4ED6-ABD8-A7B8F16E1CAE}&lt;/DBUID&gt;&lt;/Extra&gt;&lt;/Item&gt;&lt;/References&gt;&lt;/Group&gt;&lt;/Citation&gt;_x000a_"/>
    <w:docVar w:name="NE.Ref{212816F9-213F-4B15-8174-E5CF41044DD7}" w:val=" ADDIN NE.Ref.{212816F9-213F-4B15-8174-E5CF41044DD7}&lt;Citation&gt;&lt;Group&gt;&lt;References&gt;&lt;Item&gt;&lt;ID&gt;75&lt;/ID&gt;&lt;UID&gt;{092FD3DA-02D3-44D6-9364-47B93C0A38A3}&lt;/UID&gt;&lt;Title&gt;中国肾性高血压管理指南2016(简版)&lt;/Title&gt;&lt;Template&gt;Journal Article&lt;/Template&gt;&lt;Star&gt;0&lt;/Star&gt;&lt;Tag&gt;5&lt;/Tag&gt;&lt;Author&gt;中国医师协会肾脏内科医师分会; 中国中西医结合学会肾脏疾病专业委员会&lt;/Author&gt;&lt;Year&gt;2017&lt;/Year&gt;&lt;Details&gt;&lt;_collection_scope&gt;CSCD;PKU&lt;/_collection_scope&gt;&lt;_created&gt;63405729&lt;/_created&gt;&lt;_issue&gt;20&lt;/_issue&gt;&lt;_journal&gt;中华医学杂志&lt;/_journal&gt;&lt;_modified&gt;63428639&lt;/_modified&gt;&lt;_translated_author&gt;Zhong, Guoyishixiehuishenzangneikeyishifenhui;Zhong, Guozhongxiyijiehexuehuishenzangjibingzhuanyeweiyuanhui&lt;/_translated_author&gt;&lt;/Details&gt;&lt;Extra&gt;&lt;DBUID&gt;{749A27AD-B5E1-4ED6-ABD8-A7B8F16E1CAE}&lt;/DBUID&gt;&lt;/Extra&gt;&lt;/Item&gt;&lt;/References&gt;&lt;/Group&gt;&lt;/Citation&gt;_x000a_"/>
    <w:docVar w:name="NE.Ref{23E15A1C-C630-47F3-89AA-D2F046FEA7D9}" w:val=" ADDIN NE.Ref.{23E15A1C-C630-47F3-89AA-D2F046FEA7D9}&lt;Citation&gt;&lt;Group&gt;&lt;References&gt;&lt;Item&gt;&lt;ID&gt;179&lt;/ID&gt;&lt;UID&gt;{B004ED32-DBE1-48BC-A8EB-DB4E09EF6EA7}&lt;/UID&gt;&lt;Title&gt;Effect of neprilysin inhibition on renal function in patients with type 2 diabetes and chronic heart failure who are receiving target doses of inhibitors of the renin-angiotensin system: a secondary analysis of the PARADIGM-HF trial&lt;/Title&gt;&lt;Template&gt;Journal Article&lt;/Template&gt;&lt;Star&gt;0&lt;/Star&gt;&lt;Tag&gt;0&lt;/Tag&gt;&lt;Author&gt;Packer, M; Claggett, B; Lefkowitz, M P; Mcmurray, Jjv; Rouleau, J L; Solomon, S D; Zile, M R&lt;/Author&gt;&lt;Year&gt;2018&lt;/Year&gt;&lt;Details&gt;&lt;_created&gt;63805572&lt;/_created&gt;&lt;_journal&gt;Lancet Diabetes Endocrinol&lt;/_journal&gt;&lt;_modified&gt;63805572&lt;/_modified&gt;&lt;_pages&gt;S2213858718301001&lt;/_pages&gt;&lt;/Details&gt;&lt;Extra&gt;&lt;DBUID&gt;{749A27AD-B5E1-4ED6-ABD8-A7B8F16E1CAE}&lt;/DBUID&gt;&lt;/Extra&gt;&lt;/Item&gt;&lt;/References&gt;&lt;/Group&gt;&lt;/Citation&gt;_x000a_"/>
    <w:docVar w:name="NE.Ref{24337222-3E85-4C41-8827-A1C85E59A050}" w:val=" ADDIN NE.Ref.{24337222-3E85-4C41-8827-A1C85E59A050}&lt;Citation&gt;&lt;Group&gt;&lt;References&gt;&lt;Item&gt;&lt;ID&gt;127&lt;/ID&gt;&lt;UID&gt;{0DACF191-A23B-4940-82A8-9BD29ABB792B}&lt;/UID&gt;&lt;Title&gt;Blood pressure and long-term mortality in United States hemodialysis patients: USRDS Waves 3 and 4 Study.&lt;/Title&gt;&lt;Template&gt;Journal Article&lt;/Template&gt;&lt;Star&gt;0&lt;/Star&gt;&lt;Tag&gt;0&lt;/Tag&gt;&lt;Author&gt;Foley, Robert N; Herzog, Charles A; Collins, Allan J&lt;/Author&gt;&lt;Year&gt;2002&lt;/Year&gt;&lt;Details&gt;&lt;_collection_scope&gt;SCI;SCIE&lt;/_collection_scope&gt;&lt;_created&gt;63468692&lt;/_created&gt;&lt;_impact_factor&gt;   8.945&lt;/_impact_factor&gt;&lt;_issue&gt;5&lt;/_issue&gt;&lt;_journal&gt;Kidney International&lt;/_journal&gt;&lt;_modified&gt;63468692&lt;/_modified&gt;&lt;_pages&gt;1784-1790&lt;/_pages&gt;&lt;_volume&gt;62&lt;/_volume&gt;&lt;/Details&gt;&lt;Extra&gt;&lt;DBUID&gt;{749A27AD-B5E1-4ED6-ABD8-A7B8F16E1CAE}&lt;/DBUID&gt;&lt;/Extra&gt;&lt;/Item&gt;&lt;/References&gt;&lt;/Group&gt;&lt;Group&gt;&lt;References&gt;&lt;Item&gt;&lt;ID&gt;64&lt;/ID&gt;&lt;UID&gt;{87F378FE-2CE5-43C4-BF7D-1692CBFC2517}&lt;/UID&gt;&lt;Title&gt;Blood pressure levels and mortality risk among hemodialysis patients in the Dialysis Outcomes and Practice Patterns Study&lt;/Title&gt;&lt;Template&gt;Journal Article&lt;/Template&gt;&lt;Star&gt;0&lt;/Star&gt;&lt;Tag&gt;0&lt;/Tag&gt;&lt;Author&gt;Robinson, B M; Tong, L; Zhang, J; Wolfe, R A; Goodkin, D A; Greenwood, R N; Kerr, P G; Morgenstern, H; Li, Y; Pisoni, R L; Saran, R; Tentori, F; Akizawa, T; Fukuhara, S; Port, F K&lt;/Author&gt;&lt;Year&gt;2012&lt;/Year&gt;&lt;Details&gt;&lt;_accession_num&gt;22718187&lt;/_accession_num&gt;&lt;_author_adr&gt;Arbor Research Collaborative for Health, Ann Arbor, MI, USA. bruce.robinson@arborresearch.org&lt;/_author_adr&gt;&lt;_collection_scope&gt;SCI;SCIE&lt;/_collection_scope&gt;&lt;_created&gt;63405725&lt;/_created&gt;&lt;_date&gt;2012-09-01&lt;/_date&gt;&lt;_date_display&gt;2012 Sep&lt;/_date_display&gt;&lt;_db_updated&gt;PubMed&lt;/_db_updated&gt;&lt;_doi&gt;10.1038/ki.2012.136&lt;/_doi&gt;&lt;_impact_factor&gt;   8.945&lt;/_impact_factor&gt;&lt;_isbn&gt;1523-1755 (Electronic); 0085-2538 (Linking)&lt;/_isbn&gt;&lt;_issue&gt;5&lt;/_issue&gt;&lt;_journal&gt;Kidney Int&lt;/_journal&gt;&lt;_language&gt;eng&lt;/_language&gt;&lt;_modified&gt;63405726&lt;/_modified&gt;&lt;_pages&gt;570-80&lt;/_pages&gt;&lt;_subject_headings&gt;Australia; *Blood Pressure; Comorbidity; Cross-Sectional Studies; Europe; Female; Humans; Hypertension/*mortality/physiopathology; Japan; Kidney Failure, Chronic/mortality/*therapy; Linear Models; Male; Middle Aged; New Zealand; Practice Guidelines as Topic; Practice Patterns, Physicians&amp;apos;/standards/*statistics &amp;amp; numerical data; Proportional Hazards Models; Prospective Studies; Renal Dialysis/adverse effects/*mortality/standards; Risk Assessment; Risk Factors; Treatment Outcome; United States&lt;/_subject_headings&gt;&lt;_tertiary_title&gt;Kidney international&lt;/_tertiary_title&gt;&lt;_type_work&gt;Journal Article; Multicenter Study; Research Support, Non-U.S. Gov&amp;apos;t&lt;/_type_work&gt;&lt;_url&gt;http://www.ncbi.nlm.nih.gov/entrez/query.fcgi?cmd=Retrieve&amp;amp;db=pubmed&amp;amp;dopt=Abstract&amp;amp;list_uids=22718187&amp;amp;query_hl=1&lt;/_url&gt;&lt;_volume&gt;82&lt;/_volume&gt;&lt;/Details&gt;&lt;Extra&gt;&lt;DBUID&gt;{749A27AD-B5E1-4ED6-ABD8-A7B8F16E1CAE}&lt;/DBUID&gt;&lt;/Extra&gt;&lt;/Item&gt;&lt;/References&gt;&lt;/Group&gt;&lt;Group&gt;&lt;References&gt;&lt;Item&gt;&lt;ID&gt;128&lt;/ID&gt;&lt;UID&gt;{506AAAEF-8580-4FD1-BF6E-E54F30570A4A}&lt;/UID&gt;&lt;Title&gt;The Optimal Blood Pressure Target in Different Dialysis Populations&lt;/Title&gt;&lt;Template&gt;Journal Article&lt;/Template&gt;&lt;Star&gt;0&lt;/Star&gt;&lt;Tag&gt;0&lt;/Tag&gt;&lt;Author&gt;Jhee, J H; Park, J; Kim, H; Kee, Y K; Park, J T; Han, S H; Yang, C W; Kim, N H; Kim, Y S; Kang, S W; Kim, Y L; Yoo, T H&lt;/Author&gt;&lt;Year&gt;2018&lt;/Year&gt;&lt;Details&gt;&lt;_accession_num&gt;30237432&lt;/_accession_num&gt;&lt;_author_adr&gt;Division of Nephrology and Hypertension, Department of Internal Medicine, Inha  University College of Medicine, Incheon, Korea.; Department of Internal Medicine, College of Medicine, Severance Biomedical Science  Institute, Brain Korea 21 PLUS, Institute of Kidney Disease Research, Yonsei  University, Seoul, Korea.; Department of Internal Medicine, College of Medicine, Institute of Kidney Disease  Research, Yonsei University, Seoul, Korea.; Department of Internal Medicine, College of Medicine, Institute of Kidney Disease  Research, Yonsei University, Seoul, Korea.; Department of Internal Medicine, College of Medicine, Institute of Kidney Disease  Research, Yonsei University, Seoul, Korea.; Department of Internal Medicine, College of Medicine, Institute of Kidney Disease  Research, Yonsei University, Seoul, Korea.; Department of Internal Medicine, The Catholic University of Korea College of  Medicine, Seoul, Korea.; Department of Internal Medicine, Chonnam National University Medical School,  Gwangju, Korea.; Department of Internal Medicine, Seoul National University College of Medicine,  Seoul, Korea.; Department of Internal Medicine, College of Medicine, Institute of Kidney Disease  Research, Yonsei University, Seoul, Korea.; Department of Internal Medicine, College of Medicine, Severance Biomedical Science  Institute, Brain Korea 21 PLUS, Institute of Kidney Disease Research, Yonsei  University, Seoul, Korea.; Department of Internal Medicine, Kyungpook National University School of Medicine,  Daegu, Korea.; Department of Internal Medicine, College of Medicine, Institute of Kidney Disease  Research, Yonsei University, Seoul, Korea. yoosy0316@yuhs.ac.&lt;/_author_adr&gt;&lt;_created&gt;63468697&lt;/_created&gt;&lt;_date&gt;2018-09-20&lt;/_date&gt;&lt;_date_display&gt;2018 Sep 20&lt;/_date_display&gt;&lt;_doi&gt;10.1038/s41598-018-32281-w&lt;/_doi&gt;&lt;_impact_factor&gt;   3.998&lt;/_impact_factor&gt;&lt;_isbn&gt;2045-2322 (Electronic); 2045-2322 (Linking)&lt;/_isbn&gt;&lt;_issue&gt;1&lt;/_issue&gt;&lt;_journal&gt;Sci Rep&lt;/_journal&gt;&lt;_language&gt;eng&lt;/_language&gt;&lt;_modified&gt;63468697&lt;/_modified&gt;&lt;_pages&gt;14123&lt;/_pages&gt;&lt;_subject_headings&gt;Aged; Antihypertensive Agents/pharmacology/*therapeutic use; Blood Pressure/drug effects/*physiology; Blood Pressure Determination; Female; Humans; Hypertension/complications/drug therapy/*physiopathology; Kidney Failure, Chronic/complications/physiopathology/*therapy; Male; Middle Aged; *Renal Dialysis&lt;/_subject_headings&gt;&lt;_tertiary_title&gt;Scientific reports&lt;/_tertiary_title&gt;&lt;_type_work&gt;Journal Article; Research Support, Non-U.S. Gov&amp;apos;t&lt;/_type_work&gt;&lt;_url&gt;http://www.ncbi.nlm.nih.gov/entrez/query.fcgi?cmd=Retrieve&amp;amp;db=pubmed&amp;amp;dopt=Abstract&amp;amp;list_uids=30237432&amp;amp;query_hl=1&lt;/_url&gt;&lt;_volume&gt;8&lt;/_volume&gt;&lt;/Details&gt;&lt;Extra&gt;&lt;DBUID&gt;{749A27AD-B5E1-4ED6-ABD8-A7B8F16E1CAE}&lt;/DBUID&gt;&lt;/Extra&gt;&lt;/Item&gt;&lt;/References&gt;&lt;/Group&gt;&lt;Group&gt;&lt;References&gt;&lt;Item&gt;&lt;ID&gt;142&lt;/ID&gt;&lt;UID&gt;{9D3276F2-5FF4-44B6-A130-16C1F6EE4FC9}&lt;/UID&gt;&lt;Title&gt;BP in Dialysis: Results of a Pilot Study&lt;/Title&gt;&lt;Template&gt;Journal Article&lt;/Template&gt;&lt;Star&gt;0&lt;/Star&gt;&lt;Tag&gt;0&lt;/Tag&gt;&lt;Author&gt;Miskulin, Dana C; Gassman, Jennifer; Schrader, Ronald; Gul, Ambreen; Jhamb, Manisha; Ploth, David W; Negrea, Lavinia; Kwong, Raymond Y; Levey, Andrew S; Singh, Ajay K&lt;/Author&gt;&lt;Year&gt;2018&lt;/Year&gt;&lt;Details&gt;&lt;_created&gt;63468952&lt;/_created&gt;&lt;_journal&gt;Journal of the American Society of Nephrology Jasn&lt;/_journal&gt;&lt;_modified&gt;63468952&lt;/_modified&gt;&lt;_pages&gt;ASN.2017020135&lt;/_pages&gt;&lt;/Details&gt;&lt;Extra&gt;&lt;DBUID&gt;{749A27AD-B5E1-4ED6-ABD8-A7B8F16E1CAE}&lt;/DBUID&gt;&lt;/Extra&gt;&lt;/Item&gt;&lt;/References&gt;&lt;/Group&gt;&lt;/Citation&gt;_x000a_"/>
    <w:docVar w:name="NE.Ref{2503F385-BA12-42AF-BD47-8CF1CB98D01D}" w:val=" ADDIN NE.Ref.{2503F385-BA12-42AF-BD47-8CF1CB98D01D}&lt;Citation&gt;&lt;Group&gt;&lt;References&gt;&lt;Item&gt;&lt;ID&gt;91&lt;/ID&gt;&lt;UID&gt;{AA8BD707-6A41-4A3F-908E-47EFA050D903}&lt;/UID&gt;&lt;Title&gt;Which targets in clinical practice guidelines are associated with improved survival  in a large dialysis organization?&lt;/Title&gt;&lt;Template&gt;Journal Article&lt;/Template&gt;&lt;Star&gt;0&lt;/Star&gt;&lt;Tag&gt;0&lt;/Tag&gt;&lt;Author&gt;Tentori, F; Hunt, W C; Rohrscheib, M; Zhu, M; Stidley, C A; Servilla, K; Miskulin, D; Meyer, K B; Bedrick, E J; Johnson, H K; Zager, P G&lt;/Author&gt;&lt;Year&gt;2007&lt;/Year&gt;&lt;Details&gt;&lt;_accession_num&gt;17634440&lt;/_accession_num&gt;&lt;_author_adr&gt;Dialysis Clinic Inc., Health Sciences Center, University of New Mexico, Albuquerque,  NM 87131, USA.&lt;/_author_adr&gt;&lt;_date_display&gt;2007 Aug&lt;/_date_display&gt;&lt;_date&gt;2007-08-01&lt;/_date&gt;&lt;_doi&gt;10.1681/ASN.2006111250&lt;/_doi&gt;&lt;_isbn&gt;1046-6673 (Print); 1046-6673 (Linking)&lt;/_isbn&gt;&lt;_issue&gt;8&lt;/_issue&gt;&lt;_journal&gt;J Am Soc Nephrol&lt;/_journal&gt;&lt;_language&gt;eng&lt;/_language&gt;&lt;_pages&gt;2377-84&lt;/_pages&gt;&lt;_subject_headings&gt;Adult; Aged; Ambulatory Care Facilities/statistics &amp;amp; numerical data; Biomarkers/blood; Female; Follow-Up Studies; Guideline Adherence; Hematocrit; Humans; Incidence; Kidney Failure, Chronic/blood/*mortality/*therapy; Male; Middle Aged; Nephrology/*standards; Practice Guidelines as Topic/*standards; Proportional Hazards Models; Renal Dialysis/*mortality; Retrospective Studies; Treatment Outcome&lt;/_subject_headings&gt;&lt;_tertiary_title&gt;Journal of the American Society of Nephrology : JASN&lt;/_tertiary_title&gt;&lt;_type_work&gt;Journal Article; Research Support, Non-U.S. Gov&amp;apos;t; Validation Study&lt;/_type_work&gt;&lt;_url&gt;http://www.ncbi.nlm.nih.gov/entrez/query.fcgi?cmd=Retrieve&amp;amp;db=pubmed&amp;amp;dopt=Abstract&amp;amp;list_uids=17634440&amp;amp;query_hl=1&lt;/_url&gt;&lt;_volume&gt;18&lt;/_volume&gt;&lt;_created&gt;63426950&lt;/_created&gt;&lt;_modified&gt;63426950&lt;/_modified&gt;&lt;_impact_factor&gt;   9.274&lt;/_impact_factor&gt;&lt;_collection_scope&gt;SCI;SCIE&lt;/_collection_scope&gt;&lt;/Details&gt;&lt;Extra&gt;&lt;DBUID&gt;{749A27AD-B5E1-4ED6-ABD8-A7B8F16E1CAE}&lt;/DBUID&gt;&lt;/Extra&gt;&lt;/Item&gt;&lt;/References&gt;&lt;/Group&gt;&lt;/Citation&gt;_x000a_"/>
    <w:docVar w:name="NE.Ref{261C06AF-03E2-4B07-9C46-4F4DD409B5CA}" w:val=" ADDIN NE.Ref.{261C06AF-03E2-4B07-9C46-4F4DD409B5CA}&lt;Citation&gt;&lt;Group&gt;&lt;References&gt;&lt;Item&gt;&lt;ID&gt;147&lt;/ID&gt;&lt;UID&gt;{57B7B57A-FE01-4078-905D-CE261A9332BF}&lt;/UID&gt;&lt;Title&gt;Report of the American College of Obstetricians and Gynecologists&amp;apos; Task Force on Hypertension in Pregnancy&lt;/Title&gt;&lt;Template&gt;Journal Article&lt;/Template&gt;&lt;Star&gt;0&lt;/Star&gt;&lt;Tag&gt;0&lt;/Tag&gt;&lt;Author&gt;Obstetriciansgynecologists, American College Of; Pregnancy, Task Force On Hypertension&lt;/Author&gt;&lt;Year&gt;2013&lt;/Year&gt;&lt;Details&gt;&lt;_collection_scope&gt;SCI;SCIE&lt;/_collection_scope&gt;&lt;_created&gt;63469014&lt;/_created&gt;&lt;_impact_factor&gt;   5.524&lt;/_impact_factor&gt;&lt;_issue&gt;5&lt;/_issue&gt;&lt;_journal&gt;Obstetrics and Gynecology&lt;/_journal&gt;&lt;_modified&gt;63469014&lt;/_modified&gt;&lt;_pages&gt;1122-1131&lt;/_pages&gt;&lt;_volume&gt;122&lt;/_volume&gt;&lt;/Details&gt;&lt;Extra&gt;&lt;DBUID&gt;{749A27AD-B5E1-4ED6-ABD8-A7B8F16E1CAE}&lt;/DBUID&gt;&lt;/Extra&gt;&lt;/Item&gt;&lt;/References&gt;&lt;/Group&gt;&lt;/Citation&gt;_x000a_"/>
    <w:docVar w:name="NE.Ref{26487410-495D-4EE0-A6CE-1BC246868683}" w:val=" ADDIN NE.Ref.{26487410-495D-4EE0-A6CE-1BC246868683}&lt;Citation&gt;&lt;Group&gt;&lt;References&gt;&lt;Item&gt;&lt;ID&gt;92&lt;/ID&gt;&lt;UID&gt;{E8EE7877-8D7B-4750-A15C-FA010C0AAB65}&lt;/UID&gt;&lt;Title&gt;Blood pressure levels and mortality risk among hemodialysis patients in the Dialysis  Outcomes and Practice Patterns Study&lt;/Title&gt;&lt;Template&gt;Journal Article&lt;/Template&gt;&lt;Star&gt;0&lt;/Star&gt;&lt;Tag&gt;0&lt;/Tag&gt;&lt;Author&gt;Robinson, B M; Tong, L; Zhang, J; Wolfe, R A; Goodkin, D A; Greenwood, R N; Kerr, P G; Morgenstern, H; Li, Y; Pisoni, R L; Saran, R; Tentori, F; Akizawa, T; Fukuhara, S; Port, F K&lt;/Author&gt;&lt;Year&gt;2012&lt;/Year&gt;&lt;Details&gt;&lt;_accession_num&gt;22718187&lt;/_accession_num&gt;&lt;_author_adr&gt;Arbor Research Collaborative for Health, Ann Arbor, MI, USA.  bruce.robinson@arborresearch.org&lt;/_author_adr&gt;&lt;_date_display&gt;2012 Sep&lt;/_date_display&gt;&lt;_date&gt;2012-09-01&lt;/_date&gt;&lt;_doi&gt;10.1038/ki.2012.136&lt;/_doi&gt;&lt;_isbn&gt;1523-1755 (Electronic); 0085-2538 (Print); 0085-2538 (Linking)&lt;/_isbn&gt;&lt;_issue&gt;5&lt;/_issue&gt;&lt;_journal&gt;Kidney Int&lt;/_journal&gt;&lt;_language&gt;eng&lt;/_language&gt;&lt;_pages&gt;570-80&lt;/_pages&gt;&lt;_subject_headings&gt;Australia; *Blood Pressure; Comorbidity; Cross-Sectional Studies; Europe; Female; Humans; Hypertension/*mortality/physiopathology; Japan; Kidney Failure, Chronic/mortality/*therapy; Linear Models; Male; Middle Aged; New Zealand; Practice Guidelines as Topic; Practice Patterns, Physicians&amp;apos;/standards/*statistics &amp;amp; numerical data; Proportional Hazards Models; Prospective Studies; Renal Dialysis/adverse effects/*mortality/standards; Risk Assessment; Risk Factors; Treatment Outcome; United States&lt;/_subject_headings&gt;&lt;_tertiary_title&gt;Kidney international&lt;/_tertiary_title&gt;&lt;_type_work&gt;Journal Article; Multicenter Study; Research Support, Non-U.S. Gov&amp;apos;t&lt;/_type_work&gt;&lt;_url&gt;http://www.ncbi.nlm.nih.gov/entrez/query.fcgi?cmd=Retrieve&amp;amp;db=pubmed&amp;amp;dopt=Abstract&amp;amp;list_uids=22718187&amp;amp;query_hl=1&lt;/_url&gt;&lt;_volume&gt;82&lt;/_volume&gt;&lt;_created&gt;63426955&lt;/_created&gt;&lt;_modified&gt;63426955&lt;/_modified&gt;&lt;_impact_factor&gt;   8.945&lt;/_impact_factor&gt;&lt;_collection_scope&gt;SCI;SCIE&lt;/_collection_scope&gt;&lt;/Details&gt;&lt;Extra&gt;&lt;DBUID&gt;{749A27AD-B5E1-4ED6-ABD8-A7B8F16E1CAE}&lt;/DBUID&gt;&lt;/Extra&gt;&lt;/Item&gt;&lt;/References&gt;&lt;/Group&gt;&lt;/Citation&gt;_x000a_"/>
    <w:docVar w:name="NE.Ref{29322E82-6B65-4F2F-B66C-912579B87650}" w:val=" ADDIN NE.Ref.{29322E82-6B65-4F2F-B66C-912579B87650}&lt;Citation&gt;&lt;Group&gt;&lt;References&gt;&lt;Item&gt;&lt;ID&gt;129&lt;/ID&gt;&lt;UID&gt;{57165DC2-9D9B-4FDA-BB3C-DA7455A426A0}&lt;/UID&gt;&lt;Title&gt;Prevalence and control of hypertension by 48-h ambulatory blood pressure monitoring  in haemodialysis patients: a study by the European Cardiovascular and Renal Medicine  (EURECA-m) working group of the ERA-EDTA&lt;/Title&gt;&lt;Template&gt;Journal Article&lt;/Template&gt;&lt;Star&gt;0&lt;/Star&gt;&lt;Tag&gt;0&lt;/Tag&gt;&lt;Author&gt;Sarafidis, P A; Mallamaci, F; Loutradis, C; Ekart, R; Torino, C; Karpetas, A; Raptis, V; Bikos, A; Papagianni, A; Balafa, O; Siamopoulos, K; Pisani, G; Morosetti, M; Del, Giudice A; Aucella, F; Di Lullo, L; Tripepi, R; Tripepi, G; Jager, K; Dekker, F; London, G; Zoccali, C&lt;/Author&gt;&lt;Year&gt;2019&lt;/Year&gt;&lt;Details&gt;&lt;_accession_num&gt;30007295&lt;/_accession_num&gt;&lt;_author_adr&gt;Department of Nephrology, Hippokration Hospital, Aristotle University of  Thessaloniki, Thessaloniki, Greece.; CNR-IFC Clinical Epidemiology of Renal Diseases and Hypertension, Reggio Calabria,  Italy.; Department of Nephrology, Hippokration Hospital, Aristotle University of  Thessaloniki, Thessaloniki, Greece.; Department of Dialysis, University Clinical Centre Maribor, Clinic for Internal  Medicine, Maribor, Slovenia.; CNR-IFC Clinical Epidemiology of Renal Diseases and Hypertension, Reggio Calabria,  Italy.; Therapeutiki Hemodialysis Unit, Thessaloniki, Greece.; Pieria Hemodialysis Unit, Katerini, Greece.; Protypo Hemodialysis Unit, Thessaloniki, Greece.; Department of Nephrology, Hippokration Hospital, Aristotle University of  Thessaloniki, Thessaloniki, Greece.; Department of Nephrology, University of Ioannina, Ioannina, Greece.; Department of Nephrology, University of Ioannina, Ioannina, Greece.; Nephrology Unit, Giovambattista Grassi Hospital, Rome, Italy.; Nephrology Unit, Giovambattista Grassi Hospital, Rome, Italy.; Nephrology Unit, Casa del Sollievo della Sofferenza Hospital, San Giovanni Rotondo,  Italy.; Nephrology Unit, Casa del Sollievo della Sofferenza Hospital, San Giovanni Rotondo,  Italy.; Nephrology Unit, Ospedale di Colleferro, Rome, Italy.; CNR-IFC Clinical Epidemiology of Renal Diseases and Hypertension, Reggio Calabria,  Italy.; CNR-IFC Clinical Epidemiology of Renal Diseases and Hypertension, Reggio Calabria,  Italy.; Department of Medical Informatics, Academic Medical Center, Amsterdam Public Health  Research Institute, University of Amsterdam, Amsterdam, The Netherlands.; Department of Clinical Epidemiology, Leiden University Medical Center, Leiden, The  Netherlands.; INSERM U970, Hopital Européen Georges Pompidou, Paris, France.; CNR-IFC Clinical Epidemiology of Renal Diseases and Hypertension, Reggio Calabria,  Italy.&lt;/_author_adr&gt;&lt;_created&gt;63468699&lt;/_created&gt;&lt;_date&gt;2019-09-01&lt;/_date&gt;&lt;_date_display&gt;2019 Sep 1&lt;/_date_display&gt;&lt;_doi&gt;10.1093/ndt/gfy147&lt;/_doi&gt;&lt;_impact_factor&gt;   4.531&lt;/_impact_factor&gt;&lt;_isbn&gt;1460-2385 (Electronic); 0931-0509 (Linking)&lt;/_isbn&gt;&lt;_issue&gt;9&lt;/_issue&gt;&lt;_journal&gt;Nephrol Dial Transplant&lt;/_journal&gt;&lt;_keywords&gt;*ambulatory blood pressure monitoring; *control; *haemodialysis; *hypertension; *prevalence&lt;/_keywords&gt;&lt;_language&gt;eng&lt;/_language&gt;&lt;_modified&gt;63468699&lt;/_modified&gt;&lt;_ori_publication&gt;© The Author(s) 2018. Published by Oxford University Press on behalf of ERA-EDTA. _x000d__x000a_      All rights reserved.&lt;/_ori_publication&gt;&lt;_pages&gt;1542-1548&lt;/_pages&gt;&lt;_subject_headings&gt;Antihypertensive Agents/therapeutic use; Blood Pressure Determination; Blood Pressure Monitoring, Ambulatory; Europe/epidemiology; Female; Humans; Hypertension/*epidemiology/etiology/*prevention &amp;amp; control; Male; Middle Aged; Prevalence; Renal Dialysis/*adverse effects&lt;/_subject_headings&gt;&lt;_tertiary_title&gt;Nephrology, dialysis, transplantation : official publication of the European _x000d__x000a_      Dialysis and Transplant Association - European Renal Association&lt;/_tertiary_title&gt;&lt;_type_work&gt;Journal Article&lt;/_type_work&gt;&lt;_url&gt;http://www.ncbi.nlm.nih.gov/entrez/query.fcgi?cmd=Retrieve&amp;amp;db=pubmed&amp;amp;dopt=Abstract&amp;amp;list_uids=30007295&amp;amp;query_hl=1&lt;/_url&gt;&lt;_volume&gt;34&lt;/_volume&gt;&lt;/Details&gt;&lt;Extra&gt;&lt;DBUID&gt;{749A27AD-B5E1-4ED6-ABD8-A7B8F16E1CAE}&lt;/DBUID&gt;&lt;/Extra&gt;&lt;/Item&gt;&lt;/References&gt;&lt;/Group&gt;&lt;/Citation&gt;_x000a_"/>
    <w:docVar w:name="NE.Ref{299013D9-1398-4114-AA08-F22F7D35BD19}" w:val=" ADDIN NE.Ref.{299013D9-1398-4114-AA08-F22F7D35BD19}&lt;Citation&gt;&lt;Group&gt;&lt;References&gt;&lt;Item&gt;&lt;ID&gt;48&lt;/ID&gt;&lt;UID&gt;{E26546D5-3A60-4D71-9E36-B0B8712ED6A3}&lt;/UID&gt;&lt;Title&gt;慢性肾脏病高血压诊治:指南和争议&lt;/Title&gt;&lt;Template&gt;Journal Article&lt;/Template&gt;&lt;Star&gt;0&lt;/Star&gt;&lt;Tag&gt;0&lt;/Tag&gt;&lt;Author&gt;蒋潇; 陈楠&lt;/Author&gt;&lt;Year&gt;2014&lt;/Year&gt;&lt;Details&gt;&lt;_accessed&gt;63406579&lt;/_accessed&gt;&lt;_author_aff&gt;上海交通大学医学院附属瑞金医院肾脏科;&lt;/_author_aff&gt;&lt;_collection_scope&gt;CSCD;PKU&lt;/_collection_scope&gt;&lt;_created&gt;63405280&lt;/_created&gt;&lt;_date&gt;60176160&lt;/_date&gt;&lt;_db_provider&gt;CNKI: 期刊&lt;/_db_provider&gt;&lt;_db_updated&gt;CNKI - Reference&lt;/_db_updated&gt;&lt;_issue&gt;06&lt;/_issue&gt;&lt;_journal&gt;中国实用内科杂志&lt;/_journal&gt;&lt;_keywords&gt;慢性肾脏病;高血压;指南;心血管疾病&lt;/_keywords&gt;&lt;_modified&gt;63406579&lt;/_modified&gt;&lt;_pages&gt;572-575&lt;/_pages&gt;&lt;_url&gt;http://kns.cnki.net/KCMS/detail/detail.aspx?FileName=SYNK201406008&amp;amp;DbName=CJFQ2014&lt;/_url&gt;&lt;_volume&gt;34&lt;/_volume&gt;&lt;_translated_author&gt;Jiang, Xiao;Chen, Nan&lt;/_translated_author&gt;&lt;/Details&gt;&lt;Extra&gt;&lt;DBUID&gt;{749A27AD-B5E1-4ED6-ABD8-A7B8F16E1CAE}&lt;/DBUID&gt;&lt;/Extra&gt;&lt;/Item&gt;&lt;/References&gt;&lt;/Group&gt;&lt;/Citation&gt;_x000a_"/>
    <w:docVar w:name="NE.Ref{29B8221D-B46A-44DC-A96D-BA6F4616E923}" w:val=" ADDIN NE.Ref.{29B8221D-B46A-44DC-A96D-BA6F4616E923}&lt;Citation&gt;&lt;Group&gt;&lt;References&gt;&lt;Item&gt;&lt;ID&gt;87&lt;/ID&gt;&lt;UID&gt;{D58FC1A4-6F5E-4705-9FE0-4A0E7837F25F}&lt;/UID&gt;&lt;Title&gt;[2018 ESC/ESH Guidelines for the management of arterial hypertension]&lt;/Title&gt;&lt;Template&gt;Journal Article&lt;/Template&gt;&lt;Star&gt;0&lt;/Star&gt;&lt;Tag&gt;0&lt;/Tag&gt;&lt;Author/&gt;&lt;Year&gt;2019&lt;/Year&gt;&lt;Details&gt;&lt;_journal&gt;European Heart Journal&lt;/_journal&gt;&lt;_pages&gt;71&lt;/_pages&gt;&lt;_volume&gt;77&lt;/_volume&gt;&lt;_created&gt;63426845&lt;/_created&gt;&lt;_modified&gt;63426845&lt;/_modified&gt;&lt;_impact_factor&gt;  22.673&lt;/_impact_factor&gt;&lt;_collection_scope&gt;SCI;SCIE&lt;/_collection_scope&gt;&lt;/Details&gt;&lt;Extra&gt;&lt;DBUID&gt;{749A27AD-B5E1-4ED6-ABD8-A7B8F16E1CAE}&lt;/DBUID&gt;&lt;/Extra&gt;&lt;/Item&gt;&lt;/References&gt;&lt;/Group&gt;&lt;/Citation&gt;_x000a_"/>
    <w:docVar w:name="NE.Ref{2A8BCF11-DC30-4CF0-A476-9BBE8CB1A3BA}" w:val=" ADDIN NE.Ref.{2A8BCF11-DC30-4CF0-A476-9BBE8CB1A3BA}&lt;Citation&gt;&lt;Group&gt;&lt;References&gt;&lt;Item&gt;&lt;ID&gt;152&lt;/ID&gt;&lt;UID&gt;{FE53CFA6-B2F8-4DAB-B267-9C0A1E01F302}&lt;/UID&gt;&lt;Title&gt;Essential points from Evidence-based Clinical Practice Guidelines for Chronic Kidney Disease 2018&lt;/Title&gt;&lt;Template&gt;Journal Article&lt;/Template&gt;&lt;Star&gt;0&lt;/Star&gt;&lt;Tag&gt;0&lt;/Tag&gt;&lt;Author&gt;Nephrology, Japanese Society Of&lt;/Author&gt;&lt;Year&gt;2019&lt;/Year&gt;&lt;Details&gt;&lt;_accessed&gt;63791275&lt;/_accessed&gt;&lt;_collection_scope&gt;SCIE&lt;/_collection_scope&gt;&lt;_created&gt;63469083&lt;/_created&gt;&lt;_impact_factor&gt;   1.770&lt;/_impact_factor&gt;&lt;_journal&gt;Clinical and Experimental Nephrology&lt;/_journal&gt;&lt;_modified&gt;63469083&lt;/_modified&gt;&lt;/Details&gt;&lt;Extra&gt;&lt;DBUID&gt;{749A27AD-B5E1-4ED6-ABD8-A7B8F16E1CAE}&lt;/DBUID&gt;&lt;/Extra&gt;&lt;/Item&gt;&lt;/References&gt;&lt;/Group&gt;&lt;/Citation&gt;_x000a_"/>
    <w:docVar w:name="NE.Ref{2C3C7E4A-E318-4718-A98F-3699E0461F7C}" w:val=" ADDIN NE.Ref.{2C3C7E4A-E318-4718-A98F-3699E0461F7C}&lt;Citation&gt;&lt;Group&gt;&lt;References&gt;&lt;Item&gt;&lt;ID&gt;52&lt;/ID&gt;&lt;UID&gt;{46600BCB-0255-4C40-9A78-70837B63AC86}&lt;/UID&gt;&lt;Title&gt;中国高血压防治指南2018年修订版&lt;/Title&gt;&lt;Template&gt;Journal Article&lt;/Template&gt;&lt;Star&gt;0&lt;/Star&gt;&lt;Tag&gt;0&lt;/Tag&gt;&lt;Author&gt;中国高血压防治指南修订委员会&lt;/Author&gt;&lt;Year&gt;2019&lt;/Year&gt;&lt;Details&gt;&lt;_accessed&gt;63408433&lt;/_accessed&gt;&lt;_created&gt;63405566&lt;/_created&gt;&lt;_issue&gt;001&lt;/_issue&gt;&lt;_journal&gt;心脑血管病防治&lt;/_journal&gt;&lt;_modified&gt;63408433&lt;/_modified&gt;&lt;_pages&gt;1-44&lt;/_pages&gt;&lt;_volume&gt;019&lt;/_volume&gt;&lt;_translated_author&gt;Zhong, Guogaoxueyafangzhizhinanxiudingweiyuanhui&lt;/_translated_author&gt;&lt;/Details&gt;&lt;Extra&gt;&lt;DBUID&gt;{749A27AD-B5E1-4ED6-ABD8-A7B8F16E1CAE}&lt;/DBUID&gt;&lt;/Extra&gt;&lt;/Item&gt;&lt;/References&gt;&lt;/Group&gt;&lt;/Citation&gt;_x000a_"/>
    <w:docVar w:name="NE.Ref{2E6F3D8D-C6B1-4942-99A3-65B8E1A74FFC}" w:val=" ADDIN NE.Ref.{2E6F3D8D-C6B1-4942-99A3-65B8E1A74FFC}&lt;Citation&gt;&lt;Group&gt;&lt;References&gt;&lt;Item&gt;&lt;ID&gt;2&lt;/ID&gt;&lt;UID&gt;{F4AD8BBE-65F9-4BC1-A07D-E2BC78CB27A5}&lt;/UID&gt;&lt;Title&gt;A nationwide cross-sectional survey on prevalence, management and pharmacoepidemiology patterns on hypertension in Chinese patients with chronic kidney disease&lt;/Title&gt;&lt;Template&gt;Journal Article&lt;/Template&gt;&lt;Star&gt;0&lt;/Star&gt;&lt;Tag&gt;0&lt;/Tag&gt;&lt;Author&gt;Zhang, Wen; Shi, Wei; Liu, Zhangsuo; Gu, Yong; Chen, Qinkai; Yuan, Weijie; Zhang, Yanlin; Gong, Li; Zhou, Rong; Li, Mingxu; Cheng, Hong; Liu, Jian; Cen, Jun; Huang, Chaoxing; Ren, Yeping; Mao, Peiju; Xing, Changying; Hong, Fuyuan; Jiang, Dongsheng; Wang, Li; Xu, Gang; Liu, Jianshe; Chen, Nan&lt;/Author&gt;&lt;Year&gt;2016&lt;/Year&gt;&lt;Details&gt;&lt;_accession_num&gt;27995959&lt;/_accession_num&gt;&lt;_author_adr&gt;Department of Nephrology, Ruijin Hospital Shanghai Jiao Tong University School of Medicine, Shanghai, 200025, China.; Department of Nephrology, Guangdong General Hospital, Guangzhou, 510030, China.; Department of Nephrology, The First Affiliated Hospital of Zhengzhou University,  Zhengzhou, 450052 China.; Department of Nephrology, The Fifth Affiliated Hospital of Fudan University, Shanghai, 200240, China.; Department of Nephrology, The First Affiliated Hospital of Nanchang University, Nanchang, 330006, China.; Department of Nephrology, The First Affiliated Hospital of Shanghai Jiao Tong University, Shanghai, 200080, China.; Department of Nephrology, The First Affiliated Hospital of Xiamen University, Xiamen, 361003, China.; Department of Nephrology, Department of Nephrology, Inner Mongolia People&amp;apos;s Hospital, Inner Mongolia, China.; Department of Nephrology, Shanghai Yangpu Hospital, Tongji University, Shanghai,  200090, China.; Department of Nephrology, PLA Navy General Hospital, Beijing, 100048, China.; Department of Nephrology, Beijing Anzhen Hospital Capital Medical University, Beijing, 100029, China.; Department of Nephrology, The First Affiliated Hospital of Xinjiang Medical University, Xinjiang, China.; Department of Nephrology, Shanghai Construction Group Hospital, Shanghai, 200083, China.; Department of Nephrology, The First Affiliated Hospital of Wenzhou Medical University, Wenzhou, 325000, China.; Department of Nephrology, The Second Affiliated Hospital of Harbin Medical University, Harbin, China.; Department of Nephrology, Tongren Hospital, Shanghai Jiao Tong University School  of Medicine, Shanghai, 200336, China.; Department of Nephrology, Jiangsu Province Hospital, Nanjing, 210029, China.; Department of Nephrology, Fujian Provincial Hospital, Fuzhou, 350001, China.; Department of Nephrology, Jiangsu Taizhou People&amp;apos;s Hospital, Taizhou, 225300, China.; Department of Nephrology, Sichuan Provincial People&amp;apos;s Hospital, Sichuan, 610072,  China.; Department of Nephrology, Tongji Hospital, Tongji Medical College, Huazhong University of Science and Technology, Wuhan, 430030, China.; Department of Nephrology, Union Hospital, Huazhong University of Science and Technology, Wuhan, 430022, China.; Department of Nephrology, Ruijin Hospital Shanghai Jiao Tong University School of Medicine, Shanghai, 200025, China.&lt;/_author_adr&gt;&lt;_date_display&gt;2016 Dec 20&lt;/_date_display&gt;&lt;_date&gt;2016-12-20&lt;/_date&gt;&lt;_doi&gt;10.1038/srep38768&lt;/_doi&gt;&lt;_isbn&gt;2045-2322&lt;/_isbn&gt;&lt;_journal&gt;Scientific Reports&lt;/_journal&gt;&lt;_language&gt;eng&lt;/_language&gt;&lt;_pages&gt;38768&lt;/_pages&gt;&lt;_subject_headings&gt;Adolescent; Adult; Aged; Aged, 80 and over; Antihypertensive Agents/*administration &amp;amp; dosage; Asian Continental Ancestry Group; China/epidemiology; Cross-Sectional Studies; Female; Humans; *Hypertension, Renal/drug therapy/epidemiology; Male; Middle Aged; Prevalence; *Renal Insufficiency, Chronic/drug therapy/epidemiology&lt;/_subject_headings&gt;&lt;_tertiary_title&gt;Sci Rep&lt;/_tertiary_title&gt;&lt;_type_work&gt;Clinical Trial; Journal Article; Multicenter Study; Research Support, Non-U.S. Gov&amp;apos;t&lt;/_type_work&gt;&lt;_url&gt;http://www.nature.com/articles/srep38768_x000d__x000a_http://www.nature.com/articles/srep38768.pdf&lt;/_url&gt;&lt;_volume&gt;6&lt;/_volume&gt;&lt;_created&gt;63405158&lt;/_created&gt;&lt;_modified&gt;63405280&lt;/_modified&gt;&lt;_db_updated&gt;CrossRef&lt;/_db_updated&gt;&lt;_impact_factor&gt;   3.998&lt;/_impact_factor&gt;&lt;_issue&gt;1&lt;/_issue&gt;&lt;_accessed&gt;63405280&lt;/_accessed&gt;&lt;_collection_scope&gt;SCI;SCIE&lt;/_collection_scope&gt;&lt;/Details&gt;&lt;Extra&gt;&lt;DBUID&gt;{749A27AD-B5E1-4ED6-ABD8-A7B8F16E1CAE}&lt;/DBUID&gt;&lt;/Extra&gt;&lt;/Item&gt;&lt;/References&gt;&lt;/Group&gt;&lt;Group&gt;&lt;References&gt;&lt;Item&gt;&lt;ID&gt;1&lt;/ID&gt;&lt;UID&gt;{1C0589D4-1FC2-4564-AF49-530FF78ED5D4}&lt;/UID&gt;&lt;Title&gt;Prevalence, awareness, treatment, and control of hypertension in the non-dialysis chronic kidney disease patients&lt;/Title&gt;&lt;Template&gt;Journal Article&lt;/Template&gt;&lt;Star&gt;0&lt;/Star&gt;&lt;Tag&gt;0&lt;/Tag&gt;&lt;Author&gt;Zheng, Y; Cai, G Y; Chen, X M; Fu, P; Chen, J H; Ding, X Q; Yu, X Q; Lin, H L; Liu, J; Xie, R J; Wang, L N; Ni, Z H; Liu, F Y; Yin, A P; Xing, C Y; Wang, L; Shi, W; Liu, J S; He, Y N; Ding, G H; Li, W G; Wu, G L; Miao, L N; Chen, N; Su, Z; Mei, C L; Zhao, J Y; Gu, Y; Bai, Y K; Luo, H M; Lin, S; Chen, M H; Gong, L; Yang, Y B; Yang, X P; Li, Y; Wan, J X; Wang, N S; Li, H Y; Xi, C S; Hao, L; Xu, Y; Fang, J A; Liu, B C; Li, R S; Wang, R; Zhang, J H; Wang, J Q; Lou, T Q; Shao, F M; Mei, F; Liu, Z H; Yuan, W J; Sun, S R; Zhang, L; Zhou, C H; Chen, Q K; Jia, S L; Gong, Z F; Guan, G J; Xia, T; Zhong, L B&lt;/Author&gt;&lt;Year&gt;2013&lt;/Year&gt;&lt;Details&gt;&lt;_accession_num&gt;23786938&lt;/_accession_num&gt;&lt;_author_adr&gt;Department of Nephrology, State key Laboratory of Kidney Disease, Chinese PLA General Hospital, Beijing 100853, China.&lt;/_author_adr&gt;&lt;_date_display&gt;2013 Jun&lt;/_date_display&gt;&lt;_date&gt;2013-06-01&lt;/_date&gt;&lt;_isbn&gt;2542-5641 (Electronic); 0366-6999 (Linking)&lt;/_isbn&gt;&lt;_issue&gt;12&lt;/_issue&gt;&lt;_journal&gt;Chin Med J (Engl)&lt;/_journal&gt;&lt;_language&gt;eng&lt;/_language&gt;&lt;_pages&gt;2276-80&lt;/_pages&gt;&lt;_subject_headings&gt;Adult; Aged; Awareness; Female; Humans; Hypertension/complications/*epidemiology/therapy; Male; Middle Aged; Prevalence; Renal Insufficiency, Chronic/*complications&lt;/_subject_headings&gt;&lt;_tertiary_title&gt;Chinese medical journal&lt;/_tertiary_title&gt;&lt;_type_work&gt;Journal Article; Multicenter Study; Research Support, Non-U.S. Gov&amp;apos;t&lt;/_type_work&gt;&lt;_url&gt;http://www.ncbi.nlm.nih.gov/entrez/query.fcgi?cmd=Retrieve&amp;amp;db=pubmed&amp;amp;dopt=Abstract&amp;amp;list_uids=23786938&amp;amp;query_hl=1&lt;/_url&gt;&lt;_volume&gt;126&lt;/_volume&gt;&lt;_created&gt;63405157&lt;/_created&gt;&lt;_modified&gt;63405157&lt;/_modified&gt;&lt;_db_updated&gt;PubMed&lt;/_db_updated&gt;&lt;_impact_factor&gt;   1.585&lt;/_impact_factor&gt;&lt;/Details&gt;&lt;Extra&gt;&lt;DBUID&gt;{749A27AD-B5E1-4ED6-ABD8-A7B8F16E1CAE}&lt;/DBUID&gt;&lt;/Extra&gt;&lt;/Item&gt;&lt;/References&gt;&lt;/Group&gt;&lt;/Citation&gt;_x000a_"/>
    <w:docVar w:name="NE.Ref{2EEB8AB9-9E7C-4EC3-A036-425E56DB63C8}" w:val=" ADDIN NE.Ref.{2EEB8AB9-9E7C-4EC3-A036-425E56DB63C8}&lt;Citation&gt;&lt;Group&gt;&lt;References&gt;&lt;Item&gt;&lt;ID&gt;104&lt;/ID&gt;&lt;UID&gt;{FEEF3898-6B52-4514-A0D8-B4CF33DB22E2}&lt;/UID&gt;&lt;Title&gt;Effect of long-term carvedilol therapy on renal function in essential hypertension.&lt;/Title&gt;&lt;Template&gt;Journal Article&lt;/Template&gt;&lt;Star&gt;0&lt;/Star&gt;&lt;Tag&gt;0&lt;/Tag&gt;&lt;Author&gt;K, Tomita; F, Marumo&lt;/Author&gt;&lt;Year&gt;1992&lt;/Year&gt;&lt;Details&gt;&lt;_collection_scope&gt;SCI;SCIE&lt;/_collection_scope&gt;&lt;_created&gt;63434378&lt;/_created&gt;&lt;_db_provider&gt;北京万方数据股份有限公司&lt;/_db_provider&gt;&lt;_impact_factor&gt;   2.598&lt;/_impact_factor&gt;&lt;_journal&gt;Journal of cardiovascular pharmacology&lt;/_journal&gt;&lt;_modified&gt;63434378&lt;/_modified&gt;&lt;_volume&gt;19 Suppl 1&lt;/_volume&gt;&lt;/Details&gt;&lt;Extra&gt;&lt;DBUID&gt;{749A27AD-B5E1-4ED6-ABD8-A7B8F16E1CAE}&lt;/DBUID&gt;&lt;/Extra&gt;&lt;/Item&gt;&lt;/References&gt;&lt;/Group&gt;&lt;/Citation&gt;_x000a_"/>
    <w:docVar w:name="NE.Ref{2FEEE8FD-D7BE-4638-A087-5E67A9B9A513}" w:val=" ADDIN NE.Ref.{2FEEE8FD-D7BE-4638-A087-5E67A9B9A513}&lt;Citation&gt;&lt;Group&gt;&lt;References&gt;&lt;Item&gt;&lt;ID&gt;130&lt;/ID&gt;&lt;UID&gt;{7783F8B0-16D9-49F0-B2D7-7CD8F16F2E21}&lt;/UID&gt;&lt;Title&gt;Pre- and postdialysis blood pressures are imprecise estimates of interdialytic  ambulatory blood pressure&lt;/Title&gt;&lt;Template&gt;Journal Article&lt;/Template&gt;&lt;Star&gt;0&lt;/Star&gt;&lt;Tag&gt;0&lt;/Tag&gt;&lt;Author&gt;Agarwal, R; Peixoto, A J; Santos, S F; Zoccali, C&lt;/Author&gt;&lt;Year&gt;2006&lt;/Year&gt;&lt;Details&gt;&lt;_accession_num&gt;17699236&lt;/_accession_num&gt;&lt;_author_adr&gt;Division of Nephrology, Department of Medicine, Indiana University School of  Medicine, and Richard L. Roudebush Veterans Affairs Medical Center, Indianapolis,  Indiana 46202, USA. ragarwal@iupui.edu&lt;/_author_adr&gt;&lt;_created&gt;63468706&lt;/_created&gt;&lt;_date&gt;2006-05-01&lt;/_date&gt;&lt;_date_display&gt;2006 May&lt;/_date_display&gt;&lt;_doi&gt;10.2215/CJN.01891105&lt;/_doi&gt;&lt;_impact_factor&gt;   6.628&lt;/_impact_factor&gt;&lt;_isbn&gt;1555-905X (Electronic); 1555-9041 (Linking)&lt;/_isbn&gt;&lt;_issue&gt;3&lt;/_issue&gt;&lt;_journal&gt;Clin J Am Soc Nephrol&lt;/_journal&gt;&lt;_language&gt;eng&lt;/_language&gt;&lt;_modified&gt;63468706&lt;/_modified&gt;&lt;_pages&gt;389-98&lt;/_pages&gt;&lt;_subject_headings&gt;*Blood Pressure; *Blood Pressure Monitoring, Ambulatory; Humans; *Renal Dialysis; Reproducibility of Results&lt;/_subject_headings&gt;&lt;_tertiary_title&gt;Clinical journal of the American Society of Nephrology : CJASN&lt;/_tertiary_title&gt;&lt;_type_work&gt;Journal Article; Research Support, N.I.H., Extramural; Review&lt;/_type_work&gt;&lt;_url&gt;http://www.ncbi.nlm.nih.gov/entrez/query.fcgi?cmd=Retrieve&amp;amp;db=pubmed&amp;amp;dopt=Abstract&amp;amp;list_uids=17699236&amp;amp;query_hl=1&lt;/_url&gt;&lt;_volume&gt;1&lt;/_volume&gt;&lt;/Details&gt;&lt;Extra&gt;&lt;DBUID&gt;{749A27AD-B5E1-4ED6-ABD8-A7B8F16E1CAE}&lt;/DBUID&gt;&lt;/Extra&gt;&lt;/Item&gt;&lt;/References&gt;&lt;/Group&gt;&lt;/Citation&gt;_x000a_"/>
    <w:docVar w:name="NE.Ref{33848540-7739-4A6B-8F40-1B81A5F09D61}" w:val=" ADDIN NE.Ref.{33848540-7739-4A6B-8F40-1B81A5F09D61}&lt;Citation&gt;&lt;Group&gt;&lt;References&gt;&lt;Item&gt;&lt;ID&gt;42&lt;/ID&gt;&lt;UID&gt;{F2E68012-E9B8-49AA-B73B-2E9741AAF3A3}&lt;/UID&gt;&lt;Title&gt;Longitudinal membrane function in functionally anuric patients treated with APD:  data from EAPOS on the effects of glucose and icodextrin prescription&lt;/Title&gt;&lt;Template&gt;Journal Article&lt;/Template&gt;&lt;Star&gt;0&lt;/Star&gt;&lt;Tag&gt;0&lt;/Tag&gt;&lt;Author&gt;Davies, S J; Brown, E A; Frandsen, N E; Rodrigues, A S; Rodriguez-Carmona, A; Vychytil, A; Macnamara, E; Ekstrand, A; Tranaeus, A; Filho, J C&lt;/Author&gt;&lt;Year&gt;2005&lt;/Year&gt;&lt;Details&gt;&lt;_accession_num&gt;15780118&lt;/_accession_num&gt;&lt;_author_adr&gt;North Staffordshire Hospital, Stoke on Trent, UK; Charing Cross Hospital, London, UK. Simon.Davies1@compuserve.com&lt;/_author_adr&gt;&lt;_date_display&gt;2005 Apr&lt;/_date_display&gt;&lt;_date&gt;2005-04-01&lt;/_date&gt;&lt;_doi&gt;10.1111/j.1523-1755.2005.00243.x&lt;/_doi&gt;&lt;_isbn&gt;0085-2538 (Print); 0085-2538 (Linking)&lt;/_isbn&gt;&lt;_issue&gt;4&lt;/_issue&gt;&lt;_journal&gt;Kidney Int&lt;/_journal&gt;&lt;_language&gt;eng&lt;/_language&gt;&lt;_pages&gt;1609-15&lt;/_pages&gt;&lt;_subject_headings&gt;Anuria/*physiopathology; Automation; Female; Glucans/*pharmacology; Glucose/*pharmacology; *Hemodialysis Solutions; Humans; Icodextrin; Male; Membranes, Artificial; Middle Aged; Multicenter Studies as Topic; Peritoneal Dialysis/*methods; Ultrafiltration&lt;/_subject_headings&gt;&lt;_tertiary_title&gt;Kidney international&lt;/_tertiary_title&gt;&lt;_type_work&gt;Journal Article; Multicenter Study&lt;/_type_work&gt;&lt;_url&gt;http://www.ncbi.nlm.nih.gov/entrez/query.fcgi?cmd=Retrieve&amp;amp;db=pubmed&amp;amp;dopt=Abstract&amp;amp;list_uids=15780118&amp;amp;query_hl=1&lt;/_url&gt;&lt;_volume&gt;67&lt;/_volume&gt;&lt;_created&gt;63405214&lt;/_created&gt;&lt;_modified&gt;63405214&lt;/_modified&gt;&lt;_db_updated&gt;PubMed&lt;/_db_updated&gt;&lt;_impact_factor&gt;   8.945&lt;/_impact_factor&gt;&lt;_collection_scope&gt;SCI;SCIE&lt;/_collection_scope&gt;&lt;/Details&gt;&lt;Extra&gt;&lt;DBUID&gt;{749A27AD-B5E1-4ED6-ABD8-A7B8F16E1CAE}&lt;/DBUID&gt;&lt;/Extra&gt;&lt;/Item&gt;&lt;/References&gt;&lt;/Group&gt;&lt;/Citation&gt;_x000a_"/>
    <w:docVar w:name="NE.Ref{3442B1E7-4581-43B8-B8C3-37E2816BDD83}" w:val=" ADDIN NE.Ref.{3442B1E7-4581-43B8-B8C3-37E2816BDD83}&lt;Citation&gt;&lt;Group&gt;&lt;References&gt;&lt;Item&gt;&lt;ID&gt;166&lt;/ID&gt;&lt;UID&gt;{21E55782-5075-4412-9F8E-4952D89D0257}&lt;/UID&gt;&lt;Title&gt;Long-term effects of spironolactone in peritoneal dialysis patients.&lt;/Title&gt;&lt;Template&gt;Journal Article&lt;/Template&gt;&lt;Star&gt;0&lt;/Star&gt;&lt;Tag&gt;0&lt;/Tag&gt;&lt;Author&gt;Ito, Y; Mizuno, M; Suzuki, Y; Tamai, H; Hiramatsu, T; Ohashi, H; Ito, I; Kasuga, H; Horie, M; Maruyama, S&lt;/Author&gt;&lt;Year&gt;2014&lt;/Year&gt;&lt;Details&gt;&lt;_issue&gt;5&lt;/_issue&gt;&lt;_journal&gt;Journal of the American Society of Nephrology Jasn&lt;/_journal&gt;&lt;_pages&gt;1094-102&lt;/_pages&gt;&lt;_volume&gt;25&lt;/_volume&gt;&lt;_created&gt;63659020&lt;/_created&gt;&lt;_modified&gt;63659020&lt;/_modified&gt;&lt;/Details&gt;&lt;Extra&gt;&lt;DBUID&gt;{749A27AD-B5E1-4ED6-ABD8-A7B8F16E1CAE}&lt;/DBUID&gt;&lt;/Extra&gt;&lt;/Item&gt;&lt;/References&gt;&lt;/Group&gt;&lt;/Citation&gt;_x000a_"/>
    <w:docVar w:name="NE.Ref{36017D31-6BEE-4E8A-9F1E-B97049CFE206}" w:val=" ADDIN NE.Ref.{36017D31-6BEE-4E8A-9F1E-B97049CFE206}&lt;Citation&gt;&lt;Group&gt;&lt;References&gt;&lt;Item&gt;&lt;ID&gt;94&lt;/ID&gt;&lt;UID&gt;{A9B8EC0C-840E-4667-84E7-74C1DD13D498}&lt;/UID&gt;&lt;Title&gt;Chronic kidney disease: global dimension and perspectives.&lt;/Title&gt;&lt;Template&gt;Journal Article&lt;/Template&gt;&lt;Star&gt;0&lt;/Star&gt;&lt;Tag&gt;0&lt;/Tag&gt;&lt;Author&gt;Vivekanand, Jha; Guillermo, Garcia-Garcia; Kunitoshi, Iseki; Zuo, Li; Saraladevi, Naicker; Brett, Plattner; Rajiv, Saran; Angela Yee-Moon, Wang; Chih-Wei, Yang&lt;/Author&gt;&lt;Year&gt;2013&lt;/Year&gt;&lt;Details&gt;&lt;_created&gt;63427174&lt;/_created&gt;&lt;_db_provider&gt;北京万方数据股份有限公司&lt;/_db_provider&gt;&lt;_doi&gt;10.1016/S0140-6736(13)60687-X&lt;/_doi&gt;&lt;_issue&gt;9888&lt;/_issue&gt;&lt;_journal&gt;Lancet (London, England)&lt;/_journal&gt;&lt;_modified&gt;63427174&lt;/_modified&gt;&lt;_volume&gt;382&lt;/_volume&gt;&lt;/Details&gt;&lt;Extra&gt;&lt;DBUID&gt;{749A27AD-B5E1-4ED6-ABD8-A7B8F16E1CAE}&lt;/DBUID&gt;&lt;/Extra&gt;&lt;/Item&gt;&lt;/References&gt;&lt;/Group&gt;&lt;/Citation&gt;_x000a_"/>
    <w:docVar w:name="NE.Ref{365F7932-A9EB-46D6-8A37-C54351BF36AD}" w:val=" ADDIN NE.Ref.{365F7932-A9EB-46D6-8A37-C54351BF36AD}&lt;Citation&gt;&lt;Group&gt;&lt;References&gt;&lt;Item&gt;&lt;ID&gt;125&lt;/ID&gt;&lt;UID&gt;{FF0C285F-35AA-46E5-A480-4E0829379853}&lt;/UID&gt;&lt;Title&gt;Blood pressure and volume management in dialysis: conclusions from a Kidney Disease:  Improving Global Outcomes (KDIGO) Controversies Conference&lt;/Title&gt;&lt;Template&gt;Journal Article&lt;/Template&gt;&lt;Star&gt;0&lt;/Star&gt;&lt;Tag&gt;0&lt;/Tag&gt;&lt;Author&gt;Flythe, J E; Chang, T I; Gallagher, M P; Lindley, E; Madero, M; Sarafidis, P A; Unruh, M L; Wang, A Y; Weiner, D E; Cheung, M; Jadoul, M; Winkelmayer, W C; Polkinghorne, K R&lt;/Author&gt;&lt;Year&gt;2020&lt;/Year&gt;&lt;Details&gt;&lt;_accessed&gt;63791433&lt;/_accessed&gt;&lt;_accession_num&gt;32278617&lt;/_accession_num&gt;&lt;_author_adr&gt;University of North Carolina Kidney Center, Division of Nephrology and Hypertension,  Department of Medicine, UNC School of Medicine, Chapel Hill, North Carolina, USA;  Cecil G. Sheps Center for Health Services Research, University of North Carolina,  Chapel Hill, North Carolina, USA. Electronic address: jflythe@med.unc.edu.; Division of Nephrology, Stanford University School of Medicine, Palo Alto,  California, USA.; George Institute for Global Health, Renal and Metabolic Division, Camperdown,  Australia; Concord Repatriation General Hospital, Department of Renal Medicine,  Sydney, Australia.; Department of Renal Medicine, Leeds Teaching Hospitals NHS Trust, Leeds, UK.; Department of Medicine, Division of Nephrology, National Institute of Cardiology  &amp;quot;Ignacio Chávez&amp;quot;, Mexico City, Mexico.; Department of Nephrology, Hippokration Hospital, Aristotle University of  Thessaloniki, Thessaloniki, Greece.; Department of Internal Medicine, University of New Mexico School of Medicine,  Albuquerque, New Mexico, USA.; Department of Medicine, Queen Mary Hospital, University of Hong Kong, Hong Kong,  China.; William B. Schwartz Division of Nephrology, Tufts Medical Center, Boston,  Massachusetts, USA.; KDIGO, Brussels, Belgium.; Department of Nephrology, Cliniques universitaires Saint-Luc, Université catholique  de Louvain, Brussels, Belgium.; Selzman Institute for Kidney Health, Section of Nephrology, Department of Medicine,  Baylor College of Medicine, Houston, Texas, USA.; Department of Nephrology, Monash Health, Clayton, Melbourne, Australia; Department  of Medicine, Monash University, Clayton, Melbourne, Australia; Department of  Epidemiology and Preventive Medicine, Monash University, Prahan, Melbourne,  Australia. Electronic address: kevan.polkinghorne@monash.edu.&lt;/_author_adr&gt;&lt;_collection_scope&gt;SCI;SCIE&lt;/_collection_scope&gt;&lt;_created&gt;63468683&lt;/_created&gt;&lt;_date&gt;2020-05-01&lt;/_date&gt;&lt;_date_display&gt;2020 May&lt;/_date_display&gt;&lt;_doi&gt;10.1016/j.kint.2020.01.046&lt;/_doi&gt;&lt;_impact_factor&gt;   8.945&lt;/_impact_factor&gt;&lt;_isbn&gt;1523-1755 (Electronic); 0085-2538 (Print); 0085-2538 (Linking)&lt;/_isbn&gt;&lt;_issue&gt;5&lt;/_issue&gt;&lt;_journal&gt;Kidney Int&lt;/_journal&gt;&lt;_keywords&gt;hemodialysis; patient-reported outcome measures; peritoneal dialysis; quality of life; residual kidney function&lt;/_keywords&gt;&lt;_language&gt;eng&lt;/_language&gt;&lt;_modified&gt;63791433&lt;/_modified&gt;&lt;_ori_publication&gt;Copyright © 2020 International Society of Nephrology. Published by Elsevier Inc. All _x000d__x000a_      rights reserved.&lt;/_ori_publication&gt;&lt;_pages&gt;861-876&lt;/_pages&gt;&lt;_tertiary_title&gt;Kidney international&lt;/_tertiary_title&gt;&lt;_type_work&gt;Practice Guideline&lt;/_type_work&gt;&lt;_url&gt;http://www.ncbi.nlm.nih.gov/entrez/query.fcgi?cmd=Retrieve&amp;amp;db=pubmed&amp;amp;dopt=Abstract&amp;amp;list_uids=32278617&amp;amp;query_hl=1&lt;/_url&gt;&lt;_volume&gt;97&lt;/_volume&gt;&lt;/Details&gt;&lt;Extra&gt;&lt;DBUID&gt;{749A27AD-B5E1-4ED6-ABD8-A7B8F16E1CAE}&lt;/DBUID&gt;&lt;/Extra&gt;&lt;/Item&gt;&lt;/References&gt;&lt;/Group&gt;&lt;/Citation&gt;_x000a_"/>
    <w:docVar w:name="NE.Ref{372802B3-86F3-4914-9328-0579AFCABAAA}" w:val=" ADDIN NE.Ref.{372802B3-86F3-4914-9328-0579AFCABAAA}&lt;Citation&gt;&lt;Group&gt;&lt;References&gt;&lt;Item&gt;&lt;ID&gt;149&lt;/ID&gt;&lt;UID&gt;{C451B023-50BB-4B02-929F-110FAB3D48C2}&lt;/UID&gt;&lt;Title&gt;妊娠期高血压疾病诊治指南（2020）&lt;/Title&gt;&lt;Template&gt;Journal Article&lt;/Template&gt;&lt;Star&gt;0&lt;/Star&gt;&lt;Tag&gt;0&lt;/Tag&gt;&lt;Author&gt;中华医学会妇产科学分会妊娠期高血压疾病学组&lt;/Author&gt;&lt;Year&gt;2020&lt;/Year&gt;&lt;Details&gt;&lt;_collection_scope&gt;CSCD;PKU&lt;/_collection_scope&gt;&lt;_created&gt;63469018&lt;/_created&gt;&lt;_db_provider&gt;《中华医学杂志》社有限责任公司_x000d__x000a_{Language}:chi&lt;/_db_provider&gt;&lt;_isbn&gt;0529-567X&lt;/_isbn&gt;&lt;_issue&gt;04&lt;/_issue&gt;&lt;_journal&gt;中华妇产科杂志&lt;/_journal&gt;&lt;_modified&gt;63469018&lt;/_modified&gt;&lt;_pages&gt;227-238&lt;/_pages&gt;&lt;_translated_author&gt;Hypertensive Disorders In Pregnancy Subgroup, Chinese Society Of Obstetrics&lt;/_translated_author&gt;&lt;_translated_title&gt;sis and treatment of hypertension and pre-eclampsia in pregnancy: a clinical practice guideline in Chin&lt;/_translated_title&gt;&lt;_url&gt;http://rs.yiigle.com/CN112141202004/1192238.htm&lt;/_url&gt;&lt;/Details&gt;&lt;Extra&gt;&lt;DBUID&gt;{749A27AD-B5E1-4ED6-ABD8-A7B8F16E1CAE}&lt;/DBUID&gt;&lt;/Extra&gt;&lt;/Item&gt;&lt;/References&gt;&lt;/Group&gt;&lt;/Citation&gt;_x000a_"/>
    <w:docVar w:name="NE.Ref{38CD2A43-58BB-42FA-87A0-A450235572C8}" w:val=" ADDIN NE.Ref.{38CD2A43-58BB-42FA-87A0-A450235572C8}&lt;Citation&gt;&lt;Group&gt;&lt;References&gt;&lt;Item&gt;&lt;ID&gt;87&lt;/ID&gt;&lt;UID&gt;{D58FC1A4-6F5E-4705-9FE0-4A0E7837F25F}&lt;/UID&gt;&lt;Title&gt;[2018 ESC/ESH Guidelines for the management of arterial hypertension]&lt;/Title&gt;&lt;Template&gt;Journal Article&lt;/Template&gt;&lt;Star&gt;0&lt;/Star&gt;&lt;Tag&gt;0&lt;/Tag&gt;&lt;Author/&gt;&lt;Year&gt;2019&lt;/Year&gt;&lt;Details&gt;&lt;_journal&gt;European Heart Journal&lt;/_journal&gt;&lt;_pages&gt;71&lt;/_pages&gt;&lt;_volume&gt;77&lt;/_volume&gt;&lt;_created&gt;63426845&lt;/_created&gt;&lt;_modified&gt;63426845&lt;/_modified&gt;&lt;_impact_factor&gt;  22.673&lt;/_impact_factor&gt;&lt;_collection_scope&gt;SCI;SCIE&lt;/_collection_scope&gt;&lt;/Details&gt;&lt;Extra&gt;&lt;DBUID&gt;{749A27AD-B5E1-4ED6-ABD8-A7B8F16E1CAE}&lt;/DBUID&gt;&lt;/Extra&gt;&lt;/Item&gt;&lt;/References&gt;&lt;/Group&gt;&lt;/Citation&gt;_x000a_"/>
    <w:docVar w:name="NE.Ref{3ABA001F-B425-4B98-A616-13ACE06F8FA3}" w:val=" ADDIN NE.Ref.{3ABA001F-B425-4B98-A616-13ACE06F8FA3}&lt;Citation&gt;&lt;Group&gt;&lt;References&gt;&lt;Item&gt;&lt;ID&gt;35&lt;/ID&gt;&lt;UID&gt;{F7505257-B7AA-4106-9F84-27AA3384C4E4}&lt;/UID&gt;&lt;Title&gt;Kidney disease: Improving global outcomes (KDIGO) blood pressure work group. KDIGO clinical practice guideline for the management of blood pressure in chronic kidney disease&lt;/Title&gt;&lt;Template&gt;Journal Article&lt;/Template&gt;&lt;Star&gt;0&lt;/Star&gt;&lt;Tag&gt;0&lt;/Tag&gt;&lt;Author&gt;Becker, G J; Wheeler, D C; De Zeeuw, D; Fujita, T; Zoccali, C&lt;/Author&gt;&lt;Year&gt;2012&lt;/Year&gt;&lt;Details&gt;&lt;_collection_scope&gt;SCIE&lt;/_collection_scope&gt;&lt;_created&gt;63405183&lt;/_created&gt;&lt;_impact_factor&gt;  12.818&lt;/_impact_factor&gt;&lt;_issue&gt;5&lt;/_issue&gt;&lt;_journal&gt;Kidney International Supplements&lt;/_journal&gt;&lt;_modified&gt;63405183&lt;/_modified&gt;&lt;_pages&gt;337-414&lt;/_pages&gt;&lt;_volume&gt;2&lt;/_volume&gt;&lt;/Details&gt;&lt;Extra&gt;&lt;DBUID&gt;{749A27AD-B5E1-4ED6-ABD8-A7B8F16E1CAE}&lt;/DBUID&gt;&lt;/Extra&gt;&lt;/Item&gt;&lt;/References&gt;&lt;/Group&gt;&lt;/Citation&gt;_x000a_"/>
    <w:docVar w:name="NE.Ref{3AD708D7-4D2F-4034-B09E-68CA190D796C}" w:val=" ADDIN NE.Ref.{3AD708D7-4D2F-4034-B09E-68CA190D796C}&lt;Citation&gt;&lt;Group&gt;&lt;References&gt;&lt;Item&gt;&lt;ID&gt;75&lt;/ID&gt;&lt;UID&gt;{092FD3DA-02D3-44D6-9364-47B93C0A38A3}&lt;/UID&gt;&lt;Title&gt;中国肾性高血压管理指南2016(简版)&lt;/Title&gt;&lt;Template&gt;Journal Article&lt;/Template&gt;&lt;Star&gt;0&lt;/Star&gt;&lt;Tag&gt;0&lt;/Tag&gt;&lt;Author&gt;中国医师协会肾脏内科医师分会; 中国中西医结合学会肾脏疾病专业委员会&lt;/Author&gt;&lt;Year&gt;2017&lt;/Year&gt;&lt;Details&gt;&lt;_issue&gt;20&lt;/_issue&gt;&lt;_journal&gt;中华医学杂志&lt;/_journal&gt;&lt;_created&gt;63405729&lt;/_created&gt;&lt;_modified&gt;63405729&lt;/_modified&gt;&lt;_collection_scope&gt;CSCD;PKU&lt;/_collection_scope&gt;&lt;_translated_author&gt;Zhong, Guoyishixiehuishenzangneikeyishifenhui;Zhong, Guozhongxiyijiehexuehuishenzangjibingzhuanyeweiyuanhui&lt;/_translated_author&gt;&lt;/Details&gt;&lt;Extra&gt;&lt;DBUID&gt;{749A27AD-B5E1-4ED6-ABD8-A7B8F16E1CAE}&lt;/DBUID&gt;&lt;/Extra&gt;&lt;/Item&gt;&lt;/References&gt;&lt;/Group&gt;&lt;/Citation&gt;_x000a_"/>
    <w:docVar w:name="NE.Ref{3D8B3465-8B35-4090-B0BD-7893287DF223}" w:val=" ADDIN NE.Ref.{3D8B3465-8B35-4090-B0BD-7893287DF223}&lt;Citation&gt;&lt;Group&gt;&lt;References&gt;&lt;Item&gt;&lt;ID&gt;80&lt;/ID&gt;&lt;UID&gt;{57CFA849-24B0-44C9-B6BB-347D0A69C8B9}&lt;/UID&gt;&lt;Title&gt;Prevalence of chronic kidney disease in China&lt;/Title&gt;&lt;Template&gt;Journal Article&lt;/Template&gt;&lt;Star&gt;0&lt;/Star&gt;&lt;Tag&gt;0&lt;/Tag&gt;&lt;Author&gt;Yano, Yuichiro; Fujimoto, Shouichi; Asahi, Koichi; Watanabe, Tsuyoshi&lt;/Author&gt;&lt;Year&gt;2012&lt;/Year&gt;&lt;Details&gt;&lt;_accession_num&gt;22817966&lt;/_accession_num&gt;&lt;_date_display&gt;2012 Jul 21&lt;/_date_display&gt;&lt;_date&gt;2012-07-21&lt;/_date&gt;&lt;_doi&gt;10.1016/S0140-6736(12)61209-4&lt;/_doi&gt;&lt;_isbn&gt;01406736&lt;/_isbn&gt;&lt;_issue&gt;9838&lt;/_issue&gt;&lt;_journal&gt;The Lancet&lt;/_journal&gt;&lt;_language&gt;eng&lt;/_language&gt;&lt;_pages&gt;213-214&lt;/_pages&gt;&lt;_subject_headings&gt;Female; *Glomerular Filtration Rate; Humans; Male; Renal Insufficiency, Chronic/*epidemiology&lt;/_subject_headings&gt;&lt;_tertiary_title&gt;The Lancet&lt;/_tertiary_title&gt;&lt;_type_work&gt;Comment; Letter&lt;/_type_work&gt;&lt;_url&gt;https://linkinghub.elsevier.com/retrieve/pii/S0140673612612094_x000d__x000a_https://api.elsevier.com/content/article/PII:S0140673612612094?httpAccept=text/xml&lt;/_url&gt;&lt;_volume&gt;380&lt;/_volume&gt;&lt;_created&gt;63426755&lt;/_created&gt;&lt;_modified&gt;63426755&lt;/_modified&gt;&lt;_impact_factor&gt;  60.392&lt;/_impact_factor&gt;&lt;_collection_scope&gt;SCI;SCIE&lt;/_collection_scope&gt;&lt;_accessed&gt;63426755&lt;/_accessed&gt;&lt;_db_updated&gt;CrossRef&lt;/_db_updated&gt;&lt;/Details&gt;&lt;Extra&gt;&lt;DBUID&gt;{749A27AD-B5E1-4ED6-ABD8-A7B8F16E1CAE}&lt;/DBUID&gt;&lt;/Extra&gt;&lt;/Item&gt;&lt;/References&gt;&lt;/Group&gt;&lt;/Citation&gt;_x000a_"/>
    <w:docVar w:name="NE.Ref{3F121542-4AE2-4D01-8939-9DB64D5CE383}" w:val=" ADDIN NE.Ref.{3F121542-4AE2-4D01-8939-9DB64D5CE383}&lt;Citation&gt;&lt;Group&gt;&lt;References&gt;&lt;Item&gt;&lt;ID&gt;90&lt;/ID&gt;&lt;UID&gt;{9986FF46-C820-4212-8E3C-8C12F7331488}&lt;/UID&gt;&lt;Title&gt;K/DOQI clinical practice guidelines for cardiovascular disease in dialysis patients&lt;/Title&gt;&lt;Template&gt;Journal Article&lt;/Template&gt;&lt;Star&gt;0&lt;/Star&gt;&lt;Tag&gt;0&lt;/Tag&gt;&lt;Author/&gt;&lt;Year&gt;2005&lt;/Year&gt;&lt;Details&gt;&lt;_accession_num&gt;15806502&lt;/_accession_num&gt;&lt;_collection_scope&gt;SCI;SCIE&lt;/_collection_scope&gt;&lt;_created&gt;63426949&lt;/_created&gt;&lt;_date&gt;2005-04-01&lt;/_date&gt;&lt;_date_display&gt;2005 Apr&lt;/_date_display&gt;&lt;_impact_factor&gt;   6.618&lt;/_impact_factor&gt;&lt;_isbn&gt;1523-6838 (Electronic); 0272-6386 (Linking)&lt;/_isbn&gt;&lt;_issue&gt;4 Suppl 3&lt;/_issue&gt;&lt;_journal&gt;Am J Kidney Dis&lt;/_journal&gt;&lt;_language&gt;eng&lt;/_language&gt;&lt;_modified&gt;63426949&lt;/_modified&gt;&lt;_pages&gt;S1-153&lt;/_pages&gt;&lt;_subject_headings&gt;Adult; Cardiovascular Diseases/diagnosis/epidemiology/etiology/*therapy; Child; Humans; Kidney Failure, Chronic/*complications/mortality/therapy; *Renal Dialysis/adverse effects/mortality; Risk Factors&lt;/_subject_headings&gt;&lt;_tertiary_title&gt;American journal of kidney diseases : the official journal of the National Kidney _x000d__x000a_      Foundation&lt;/_tertiary_title&gt;&lt;_type_work&gt;Guideline; Journal Article; Practice Guideline&lt;/_type_work&gt;&lt;_url&gt;http://www.ncbi.nlm.nih.gov/entrez/query.fcgi?cmd=Retrieve&amp;amp;db=pubmed&amp;amp;dopt=Abstract&amp;amp;list_uids=15806502&amp;amp;query_hl=1&lt;/_url&gt;&lt;_volume&gt;45&lt;/_volume&gt;&lt;/Details&gt;&lt;Extra&gt;&lt;DBUID&gt;{749A27AD-B5E1-4ED6-ABD8-A7B8F16E1CAE}&lt;/DBUID&gt;&lt;/Extra&gt;&lt;/Item&gt;&lt;/References&gt;&lt;/Group&gt;&lt;/Citation&gt;_x000a_"/>
    <w:docVar w:name="NE.Ref{3F217841-E3F6-4755-8C28-B6A06FEA1E4B}" w:val=" ADDIN NE.Ref.{3F217841-E3F6-4755-8C28-B6A06FEA1E4B}&lt;Citation&gt;&lt;Group&gt;&lt;References&gt;&lt;Item&gt;&lt;ID&gt;35&lt;/ID&gt;&lt;UID&gt;{F7505257-B7AA-4106-9F84-27AA3384C4E4}&lt;/UID&gt;&lt;Title&gt;Kidney disease: Improving global outcomes (KDIGO) blood pressure work group. KDIGO clinical practice guideline for the management of blood pressure in chronic kidney disease&lt;/Title&gt;&lt;Template&gt;Journal Article&lt;/Template&gt;&lt;Star&gt;0&lt;/Star&gt;&lt;Tag&gt;0&lt;/Tag&gt;&lt;Author&gt;Becker, G J; Wheeler, D C; De Zeeuw, D; Fujita, T; Zoccali, C&lt;/Author&gt;&lt;Year&gt;2012&lt;/Year&gt;&lt;Details&gt;&lt;_collection_scope&gt;SCIE&lt;/_collection_scope&gt;&lt;_created&gt;63405183&lt;/_created&gt;&lt;_impact_factor&gt;  12.818&lt;/_impact_factor&gt;&lt;_issue&gt;5&lt;/_issue&gt;&lt;_journal&gt;Kidney International Supplements&lt;/_journal&gt;&lt;_modified&gt;63405183&lt;/_modified&gt;&lt;_pages&gt;337-414&lt;/_pages&gt;&lt;_volume&gt;2&lt;/_volume&gt;&lt;/Details&gt;&lt;Extra&gt;&lt;DBUID&gt;{749A27AD-B5E1-4ED6-ABD8-A7B8F16E1CAE}&lt;/DBUID&gt;&lt;/Extra&gt;&lt;/Item&gt;&lt;/References&gt;&lt;/Group&gt;&lt;Group&gt;&lt;References&gt;&lt;Item&gt;&lt;ID&gt;39&lt;/ID&gt;&lt;UID&gt;{BA5DEF25-90AC-425D-9F3F-AE7476856A24}&lt;/UID&gt;&lt;Title&gt;中国高血压防治指南2010&lt;/Title&gt;&lt;Template&gt;Journal Article&lt;/Template&gt;&lt;Star&gt;0&lt;/Star&gt;&lt;Tag&gt;0&lt;/Tag&gt;&lt;Author&gt;中国高血压防治指南修订委员会&lt;/Author&gt;&lt;Year&gt;2011&lt;/Year&gt;&lt;Details&gt;&lt;_collection_scope&gt;CSCD;PKU&lt;/_collection_scope&gt;&lt;_created&gt;63405195&lt;/_created&gt;&lt;_issue&gt;7&lt;/_issue&gt;&lt;_journal&gt;中华心血管病杂志&lt;/_journal&gt;&lt;_modified&gt;63406568&lt;/_modified&gt;&lt;_pages&gt;42-93&lt;/_pages&gt;&lt;_volume&gt;3&lt;/_volume&gt;&lt;_translated_author&gt;Zhong, Guogaoxueyafangzhizhinanxiudingweiyuanhui&lt;/_translated_author&gt;&lt;/Details&gt;&lt;Extra&gt;&lt;DBUID&gt;{749A27AD-B5E1-4ED6-ABD8-A7B8F16E1CAE}&lt;/DBUID&gt;&lt;/Extra&gt;&lt;/Item&gt;&lt;/References&gt;&lt;/Group&gt;&lt;/Citation&gt;_x000a_"/>
    <w:docVar w:name="NE.Ref{3FFF217A-C907-4856-9621-D89E1F78444A}" w:val=" ADDIN NE.Ref.{3FFF217A-C907-4856-9621-D89E1F78444A}&lt;Citation&gt;&lt;Group&gt;&lt;References&gt;&lt;Item&gt;&lt;ID&gt;40&lt;/ID&gt;&lt;UID&gt;{425C7811-0C86-48B5-8706-5DB71998D412}&lt;/UID&gt;&lt;Title&gt;Spironolactone versus placebo, bisoprolol, and doxazosin to determine the optimal treatment for drug-resistant hypertension (PATHWAY-2): a randomised, double-blind, crossover trial&lt;/Title&gt;&lt;Template&gt;Journal Article&lt;/Template&gt;&lt;Star&gt;0&lt;/Star&gt;&lt;Tag&gt;0&lt;/Tag&gt;&lt;Author&gt;Williams, B; MacDonald, T M; Morant, S; Webb, D J; Sever, P; McInnes, G; Ford, I; Cruickshank, J K; Caulfield, M J; Salsbury, J; Mackenzie, I; Padmanabhan, S; Brown, M J&lt;/Author&gt;&lt;Year&gt;2015&lt;/Year&gt;&lt;Details&gt;&lt;_accession_num&gt;26414968&lt;/_accession_num&gt;&lt;_author_adr&gt;Institute of Cardiovascular Sciences University College London and National Institute for Health Research (NIHR) UCL/UCL Hospitals Biomedical Research Centre, London, UK. Electronic address: bryan.williams@ucl.ac.uk.; Medicines Monitoring Unit, Medical Research Institute, University of Dundee, Dundee, UK.; Medicines Monitoring Unit, Medical Research Institute, University of Dundee, Dundee, UK.; Clinical Pharmacology Unit, University of Edinburgh, Centre for Cardiovascular Science, Queen&amp;apos;s Medical Research Institute, Edinburgh, UK.; International Centre for Circulatory Health, Imperial College, London, UK.; BHF Glasgow Cardiovascular Research Centre, Institute of Cardiovascular and Medical Sciences, University of Glasgow, Glasgow, UK.; Robertson Centre for Biostatistics, Glasgow University, Glasgow, UK.; Cardiovascular Medicine &amp;amp; Diabetes, King&amp;apos;s College London, London, UK.; William Harvey Research Institute, Barts and The London School of Medicine and Dentistry, Queen Mary University of London, London, UK.; Clinical Pharmacology Unit, Addenbrooke&amp;apos;s Hospital, University of Cambridge, UK.; Medicines Monitoring Unit, Medical Research Institute, University of Dundee, Dundee, UK.; BHF Glasgow Cardiovascular Research Centre, Institute of Cardiovascular and Medical Sciences, University of Glasgow, Glasgow, UK.; Clinical Pharmacology Unit, Addenbrooke&amp;apos;s Hospital, University of Cambridge, UK.  Electronic address: m.j.brown@cai.cam.ac.uk.&lt;/_author_adr&gt;&lt;_date_display&gt;2015 Nov 21&lt;/_date_display&gt;&lt;_date&gt;2015-11-21&lt;/_date&gt;&lt;_doi&gt;10.1016/S0140-6736(15)00257-3&lt;/_doi&gt;&lt;_isbn&gt;1474-547X (Electronic); 0140-6736 (Linking)&lt;/_isbn&gt;&lt;_issue&gt;10008&lt;/_issue&gt;&lt;_journal&gt;Lancet&lt;/_journal&gt;&lt;_language&gt;eng&lt;/_language&gt;&lt;_ori_publication&gt;Copyright (c) 2015 Williams et al. Open Access article distributed under the_x000d__x000a_      terms of CC BY. Published by Elsevier Ltd.. All rights reserved.&lt;/_ori_publication&gt;&lt;_pages&gt;2059-2068&lt;/_pages&gt;&lt;_subject_headings&gt;Adrenergic alpha-1 Receptor Antagonists/*therapeutic use; Adrenergic beta-1 Receptor Antagonists/*therapeutic use; Aged; Bisoprolol/*therapeutic use; Cross-Over Studies; Double-Blind Method; Doxazosin/*therapeutic use; Female; Humans; Hypertension/*drug therapy; Male; Middle Aged; Mineralocorticoid Receptor Antagonists/*therapeutic use; Spironolactone/*therapeutic use; Treatment Outcome&lt;/_subject_headings&gt;&lt;_tertiary_title&gt;Lancet (London, England)&lt;/_tertiary_title&gt;&lt;_type_work&gt;Comparative Study; Journal Article; Randomized Controlled Trial; Research Support, Non-U.S. Gov&amp;apos;t&lt;/_type_work&gt;&lt;_url&gt;http://www.ncbi.nlm.nih.gov/entrez/query.fcgi?cmd=Retrieve&amp;amp;db=pubmed&amp;amp;dopt=Abstract&amp;amp;list_uids=26414968&amp;amp;query_hl=1&lt;/_url&gt;&lt;_volume&gt;386&lt;/_volume&gt;&lt;_created&gt;63405197&lt;/_created&gt;&lt;_modified&gt;63405197&lt;/_modified&gt;&lt;_db_updated&gt;PubMed&lt;/_db_updated&gt;&lt;_impact_factor&gt;  60.392&lt;/_impact_factor&gt;&lt;_collection_scope&gt;SCI;SCIE&lt;/_collection_scope&gt;&lt;/Details&gt;&lt;Extra&gt;&lt;DBUID&gt;{749A27AD-B5E1-4ED6-ABD8-A7B8F16E1CAE}&lt;/DBUID&gt;&lt;/Extra&gt;&lt;/Item&gt;&lt;/References&gt;&lt;/Group&gt;&lt;/Citation&gt;_x000a_"/>
    <w:docVar w:name="NE.Ref{4107C990-CBE5-4E09-809B-2DEE7779024B}" w:val=" ADDIN NE.Ref.{4107C990-CBE5-4E09-809B-2DEE7779024B}&lt;Citation&gt;&lt;Group&gt;&lt;References&gt;&lt;Item&gt;&lt;ID&gt;129&lt;/ID&gt;&lt;UID&gt;{57165DC2-9D9B-4FDA-BB3C-DA7455A426A0}&lt;/UID&gt;&lt;Title&gt;Prevalence and control of hypertension by 48-h ambulatory blood pressure monitoring  in haemodialysis patients: a study by the European Cardiovascular and Renal Medicine  (EURECA-m) working group of the ERA-EDTA&lt;/Title&gt;&lt;Template&gt;Journal Article&lt;/Template&gt;&lt;Star&gt;0&lt;/Star&gt;&lt;Tag&gt;0&lt;/Tag&gt;&lt;Author&gt;Sarafidis, P A; Mallamaci, F; Loutradis, C; Ekart, R; Torino, C; Karpetas, A; Raptis, V; Bikos, A; Papagianni, A; Balafa, O; Siamopoulos, K; Pisani, G; Morosetti, M; Del, Giudice A; Aucella, F; Di Lullo, L; Tripepi, R; Tripepi, G; Jager, K; Dekker, F; London, G; Zoccali, C&lt;/Author&gt;&lt;Year&gt;2019&lt;/Year&gt;&lt;Details&gt;&lt;_accession_num&gt;30007295&lt;/_accession_num&gt;&lt;_author_adr&gt;Department of Nephrology, Hippokration Hospital, Aristotle University of  Thessaloniki, Thessaloniki, Greece.; CNR-IFC Clinical Epidemiology of Renal Diseases and Hypertension, Reggio Calabria,  Italy.; Department of Nephrology, Hippokration Hospital, Aristotle University of  Thessaloniki, Thessaloniki, Greece.; Department of Dialysis, University Clinical Centre Maribor, Clinic for Internal  Medicine, Maribor, Slovenia.; CNR-IFC Clinical Epidemiology of Renal Diseases and Hypertension, Reggio Calabria,  Italy.; Therapeutiki Hemodialysis Unit, Thessaloniki, Greece.; Pieria Hemodialysis Unit, Katerini, Greece.; Protypo Hemodialysis Unit, Thessaloniki, Greece.; Department of Nephrology, Hippokration Hospital, Aristotle University of  Thessaloniki, Thessaloniki, Greece.; Department of Nephrology, University of Ioannina, Ioannina, Greece.; Department of Nephrology, University of Ioannina, Ioannina, Greece.; Nephrology Unit, Giovambattista Grassi Hospital, Rome, Italy.; Nephrology Unit, Giovambattista Grassi Hospital, Rome, Italy.; Nephrology Unit, Casa del Sollievo della Sofferenza Hospital, San Giovanni Rotondo,  Italy.; Nephrology Unit, Casa del Sollievo della Sofferenza Hospital, San Giovanni Rotondo,  Italy.; Nephrology Unit, Ospedale di Colleferro, Rome, Italy.; CNR-IFC Clinical Epidemiology of Renal Diseases and Hypertension, Reggio Calabria,  Italy.; CNR-IFC Clinical Epidemiology of Renal Diseases and Hypertension, Reggio Calabria,  Italy.; Department of Medical Informatics, Academic Medical Center, Amsterdam Public Health  Research Institute, University of Amsterdam, Amsterdam, The Netherlands.; Department of Clinical Epidemiology, Leiden University Medical Center, Leiden, The  Netherlands.; INSERM U970, Hopital Européen Georges Pompidou, Paris, France.; CNR-IFC Clinical Epidemiology of Renal Diseases and Hypertension, Reggio Calabria,  Italy.&lt;/_author_adr&gt;&lt;_date_display&gt;2019 Sep 1&lt;/_date_display&gt;&lt;_date&gt;2019-09-01&lt;/_date&gt;&lt;_doi&gt;10.1093/ndt/gfy147&lt;/_doi&gt;&lt;_isbn&gt;1460-2385 (Electronic); 0931-0509 (Linking)&lt;/_isbn&gt;&lt;_issue&gt;9&lt;/_issue&gt;&lt;_journal&gt;Nephrol Dial Transplant&lt;/_journal&gt;&lt;_keywords&gt;*ambulatory blood pressure monitoring; *control; *haemodialysis; *hypertension; *prevalence&lt;/_keywords&gt;&lt;_language&gt;eng&lt;/_language&gt;&lt;_ori_publication&gt;© The Author(s) 2018. Published by Oxford University Press on behalf of ERA-EDTA. _x000d__x000a_      All rights reserved.&lt;/_ori_publication&gt;&lt;_pages&gt;1542-1548&lt;/_pages&gt;&lt;_subject_headings&gt;Antihypertensive Agents/therapeutic use; Blood Pressure Determination; Blood Pressure Monitoring, Ambulatory; Europe/epidemiology; Female; Humans; Hypertension/*epidemiology/etiology/*prevention &amp;amp; control; Male; Middle Aged; Prevalence; Renal Dialysis/*adverse effects&lt;/_subject_headings&gt;&lt;_tertiary_title&gt;Nephrology, dialysis, transplantation : official publication of the European _x000d__x000a_      Dialysis and Transplant Association - European Renal Association&lt;/_tertiary_title&gt;&lt;_type_work&gt;Journal Article&lt;/_type_work&gt;&lt;_url&gt;http://www.ncbi.nlm.nih.gov/entrez/query.fcgi?cmd=Retrieve&amp;amp;db=pubmed&amp;amp;dopt=Abstract&amp;amp;list_uids=30007295&amp;amp;query_hl=1&lt;/_url&gt;&lt;_volume&gt;34&lt;/_volume&gt;&lt;_created&gt;63468699&lt;/_created&gt;&lt;_modified&gt;63468699&lt;/_modified&gt;&lt;_impact_factor&gt;   4.531&lt;/_impact_factor&gt;&lt;/Details&gt;&lt;Extra&gt;&lt;DBUID&gt;{749A27AD-B5E1-4ED6-ABD8-A7B8F16E1CAE}&lt;/DBUID&gt;&lt;/Extra&gt;&lt;/Item&gt;&lt;/References&gt;&lt;/Group&gt;&lt;/Citation&gt;_x000a_"/>
    <w:docVar w:name="NE.Ref{41E3A01A-72A7-42F7-B7AB-60D6ABD5E41F}" w:val=" ADDIN NE.Ref.{41E3A01A-72A7-42F7-B7AB-60D6ABD5E41F}&lt;Citation&gt;&lt;Group&gt;&lt;References&gt;&lt;Item&gt;&lt;ID&gt;42&lt;/ID&gt;&lt;UID&gt;{F2E68012-E9B8-49AA-B73B-2E9741AAF3A3}&lt;/UID&gt;&lt;Title&gt;Longitudinal membrane function in functionally anuric patients treated with APD:  data from EAPOS on the effects of glucose and icodextrin prescription&lt;/Title&gt;&lt;Template&gt;Journal Article&lt;/Template&gt;&lt;Star&gt;0&lt;/Star&gt;&lt;Tag&gt;0&lt;/Tag&gt;&lt;Author&gt;Davies, S J; Brown, E A; Frandsen, N E; Rodrigues, A S; Rodriguez-Carmona, A; Vychytil, A; Macnamara, E; Ekstrand, A; Tranaeus, A; Filho, J C&lt;/Author&gt;&lt;Year&gt;2005&lt;/Year&gt;&lt;Details&gt;&lt;_accession_num&gt;15780118&lt;/_accession_num&gt;&lt;_author_adr&gt;North Staffordshire Hospital, Stoke on Trent, UK; Charing Cross Hospital, London, UK. Simon.Davies1@compuserve.com&lt;/_author_adr&gt;&lt;_date_display&gt;2005 Apr&lt;/_date_display&gt;&lt;_date&gt;2005-04-01&lt;/_date&gt;&lt;_doi&gt;10.1111/j.1523-1755.2005.00243.x&lt;/_doi&gt;&lt;_isbn&gt;0085-2538 (Print); 0085-2538 (Linking)&lt;/_isbn&gt;&lt;_issue&gt;4&lt;/_issue&gt;&lt;_journal&gt;Kidney Int&lt;/_journal&gt;&lt;_language&gt;eng&lt;/_language&gt;&lt;_pages&gt;1609-15&lt;/_pages&gt;&lt;_subject_headings&gt;Anuria/*physiopathology; Automation; Female; Glucans/*pharmacology; Glucose/*pharmacology; *Hemodialysis Solutions; Humans; Icodextrin; Male; Membranes, Artificial; Middle Aged; Multicenter Studies as Topic; Peritoneal Dialysis/*methods; Ultrafiltration&lt;/_subject_headings&gt;&lt;_tertiary_title&gt;Kidney international&lt;/_tertiary_title&gt;&lt;_type_work&gt;Journal Article; Multicenter Study&lt;/_type_work&gt;&lt;_url&gt;http://www.ncbi.nlm.nih.gov/entrez/query.fcgi?cmd=Retrieve&amp;amp;db=pubmed&amp;amp;dopt=Abstract&amp;amp;list_uids=15780118&amp;amp;query_hl=1&lt;/_url&gt;&lt;_volume&gt;67&lt;/_volume&gt;&lt;_created&gt;63405214&lt;/_created&gt;&lt;_modified&gt;63405214&lt;/_modified&gt;&lt;_db_updated&gt;PubMed&lt;/_db_updated&gt;&lt;_impact_factor&gt;   8.945&lt;/_impact_factor&gt;&lt;_collection_scope&gt;SCI;SCIE&lt;/_collection_scope&gt;&lt;/Details&gt;&lt;Extra&gt;&lt;DBUID&gt;{749A27AD-B5E1-4ED6-ABD8-A7B8F16E1CAE}&lt;/DBUID&gt;&lt;/Extra&gt;&lt;/Item&gt;&lt;/References&gt;&lt;/Group&gt;&lt;/Citation&gt;_x000a_"/>
    <w:docVar w:name="NE.Ref{420EA76A-1956-4AD8-B197-EBDB1CD1B5AA}" w:val=" ADDIN NE.Ref.{420EA76A-1956-4AD8-B197-EBDB1CD1B5AA}&lt;Citation&gt;&lt;Group&gt;&lt;References&gt;&lt;Item&gt;&lt;ID&gt;32&lt;/ID&gt;&lt;UID&gt;{E5274E70-A62F-4914-B4E6-49147932D331}&lt;/UID&gt;&lt;Title&gt;Major outcomes in high-risk hypertensive patients randomized to angiotensin-converting enzyme inhibitor or calcium channel blocker vs diuretic: The Antihypertensive and Lipid-Lowering Treatment to Prevent Heart Attack Trial (ALLHAT)&lt;/Title&gt;&lt;Template&gt;Journal Article&lt;/Template&gt;&lt;Star&gt;0&lt;/Star&gt;&lt;Tag&gt;0&lt;/Tag&gt;&lt;Author/&gt;&lt;Year&gt;2002&lt;/Year&gt;&lt;Details&gt;&lt;_accessed&gt;63405282&lt;/_accessed&gt;&lt;_accession_num&gt;12479763&lt;/_accession_num&gt;&lt;_created&gt;63405167&lt;/_created&gt;&lt;_date&gt;54152640&lt;/_date&gt;&lt;_date_display&gt;2002 Dec 18&lt;/_date_display&gt;&lt;_db_updated&gt;PubMed&lt;/_db_updated&gt;&lt;_doi&gt;10.1001/jama.288.23.2981&lt;/_doi&gt;&lt;_impact_factor&gt;  45.540&lt;/_impact_factor&gt;&lt;_isbn&gt;0098-7484 (Print); 0098-7484 (Linking)&lt;/_isbn&gt;&lt;_issue&gt;23&lt;/_issue&gt;&lt;_journal&gt;JAMA&lt;/_journal&gt;&lt;_language&gt;eng&lt;/_language&gt;&lt;_modified&gt;63405282&lt;/_modified&gt;&lt;_pages&gt;2981-97&lt;/_pages&gt;&lt;_subject_headings&gt;Aged; Amlodipine/economics/therapeutic use; Angiotensin-Converting Enzyme Inhibitors/economics/*therapeutic use; Antihypertensive Agents/economics/*therapeutic use; Calcium Channel Blockers/economics/*therapeutic use; Cardiovascular Diseases/epidemiology/prevention &amp;amp; control; Chlorthalidone/economics/therapeutic use; Diuretics/economics/*therapeutic use; Double-Blind Method; Female; Humans; Hypertension/*drug therapy; Lisinopril/economics/therapeutic use; Male; Middle Aged; Proportional Hazards Models; Risk Factors; Treatment Outcome&lt;/_subject_headings&gt;&lt;_tertiary_title&gt;JAMA&lt;/_tertiary_title&gt;&lt;_type_work&gt;Clinical Trial; Comparative Study; Journal Article; Multicenter Study; Randomized Controlled Trial; Research Support, Non-U.S. Gov&amp;apos;t; Research Support, U.S. Gov&amp;apos;t, P.H.S.&lt;/_type_work&gt;&lt;_url&gt;http://www.ncbi.nlm.nih.gov/entrez/query.fcgi?cmd=Retrieve&amp;amp;db=pubmed&amp;amp;dopt=Abstract&amp;amp;list_uids=12479763&amp;amp;query_hl=1&lt;/_url&gt;&lt;_volume&gt;288&lt;/_volume&gt;&lt;/Details&gt;&lt;Extra&gt;&lt;DBUID&gt;{749A27AD-B5E1-4ED6-ABD8-A7B8F16E1CAE}&lt;/DBUID&gt;&lt;/Extra&gt;&lt;/Item&gt;&lt;/References&gt;&lt;/Group&gt;&lt;Group&gt;&lt;References&gt;&lt;Item&gt;&lt;ID&gt;33&lt;/ID&gt;&lt;UID&gt;{95F7FD96-3510-4168-A666-B9A7EC24B589}&lt;/UID&gt;&lt;Title&gt;Clinical Events in High-Risk Hypertensive Patients Randomly Assigned to Calcium Channel Blocker Versus Angiotensin-Converting Enzyme Inhibitor in the Antihypertensive and Lipid-Lowering Treatment to Prevent Heart Attack Trial&lt;/Title&gt;&lt;Template&gt;Journal Article&lt;/Template&gt;&lt;Star&gt;0&lt;/Star&gt;&lt;Tag&gt;0&lt;/Tag&gt;&lt;Author&gt;Leenen, Frans H H; Nwachuku, Chuke E; Black, Henry R; Cushman, William C; Davis, Barry R; Simpson, Lara M; Alderman, Michael H; Atlas, Steven A; Basile, Jan N; Cuyjet, Aloysius B; Dart, Richard; Felicetta, James V; Grimm, Richard H; Haywood, L Julian; Jafri, Syed Z A; Proschan, Michael A; Thadani, Udho; Whelton, Paul K; Wright, Jackson T; Antihypertensive, And Lipid-Lowering Treatment To&lt;/Author&gt;&lt;Year&gt;2006&lt;/Year&gt;&lt;Details&gt;&lt;_accessed&gt;63405281&lt;/_accessed&gt;&lt;_collection_scope&gt;SCI;SCIE&lt;/_collection_scope&gt;&lt;_created&gt;63405177&lt;/_created&gt;&lt;_date&gt;55751040&lt;/_date&gt;&lt;_date_display&gt;2006&lt;/_date_display&gt;&lt;_db_updated&gt;PKU Search&lt;/_db_updated&gt;&lt;_doi&gt;10.1161/01.HYP.0000231662.77359.de&lt;/_doi&gt;&lt;_impact_factor&gt;   7.713&lt;/_impact_factor&gt;&lt;_isbn&gt;0194-911X&lt;/_isbn&gt;&lt;_issue&gt;3&lt;/_issue&gt;&lt;_journal&gt;Hypertension&lt;/_journal&gt;&lt;_keywords&gt;Blood Pressure; Cardiac Output, Low - epidemiology; Humans; Middle Aged; Calcium Channel Blockers - therapeutic use; Hypertension - drug therapy; Male; Risk; Gastrointestinal Hemorrhage - epidemiology; Incidence; Cardiac Output, Low - etiology; Lisinopril - therapeutic use; Angiotensin-Converting Enzyme Inhibitors - therapeutic use; Cardiovascular Diseases - epidemiology; Female; Angioedema - etiology; Myocardial Infarction - etiology; Cardiovascular Diseases - etiology; Angioedema - epidemiology; Glomerular Filtration Rate; Coronary Disease - etiology; Hypertension - physiopathology; Amlodipine - therapeutic use; African Continental Ancestry Group - statistics &amp;amp; numerical data; Gastrointestinal Hemorrhage - etiology; Hypertension - ethnology; Hypertension - complications; Sex Distribution; Hypertrophy, Left Ventricular; Hypolipidemic Agents - therapeutic use; Myocardial Infarction - prevention &amp;amp; control; Blood Glucose - metabolism&lt;/_keywords&gt;&lt;_modified&gt;63405281&lt;/_modified&gt;&lt;_number&gt;1&lt;/_number&gt;&lt;_ori_publication&gt;American Heart Association, Inc&lt;/_ori_publication&gt;&lt;_pages&gt;374-384&lt;/_pages&gt;&lt;_place_published&gt;United States&lt;/_place_published&gt;&lt;_url&gt;http://pku.summon.serialssolutions.com/2.0.0/link/0/eLvHCXMwnV1ba9swFBZrH8ZgrLuv3YXzB5z5ItnSYxoSPGghhA62vRhZklPjRC6xw2j_bf9Jj2y3Tfawh75L5xjO7ZN1zidConDke__kBCaYCrQKuTZc54WINCJZJk3EDbqBdMPJf8752TycTdnujNj-hT6ik-9-MEp_zzvaQYQmcRyOkiRiYqTNAaIj7rq6Funs4SKBUjpMTFMX178G3tH_S9qrUQ-F6eXf2l1gN1XXv75ThWZHT_vg1-TVgDph3LvJG_LM2Lfk-flwr_6O3A70oCuYuv7HBkoLrgPEW5RNBSmeVTdDpzvMeyLWBhbS6nq9uga0cLnEbA1tDRO5UuV2DW5owZoVnGKtrMwG3G-5bQNjuyzrTpL1Jq7f3XEYLGFqb67XBn7YyzLHDLNx6hGY4vK2vNxVjirBvbatvTP3upvbe3HfKe_UD4RUkGL8tjBuW6kqXIEx9p78nE0vJqk3PP7g4ak5ciPjuTB5EReJlIrHAj2eSurzRAcqyoUqVMwkY1ryXFKqHUeQ4xLE9b6iTKjoAzm0tTWfCBh0MGMQ2yVhQQVnCHoUy7UoMBspkYtjEt2bO7vqOT6y7mwUB5kfZGi97NF6WWe9TJtj8rH3jMc9MY9pQlGet-cqWT_S2glBQNRlptgXw0x_EJ48Sf9n8qL_HeT63b6Qw3azNV_JwVW1_daFwB2QYAR5&lt;/_url&gt;&lt;_volume&gt;48&lt;/_volume&gt;&lt;/Details&gt;&lt;Extra&gt;&lt;DBUID&gt;{749A27AD-B5E1-4ED6-ABD8-A7B8F16E1CAE}&lt;/DBUID&gt;&lt;/Extra&gt;&lt;/Item&gt;&lt;/References&gt;&lt;/Group&gt;&lt;/Citation&gt;_x000a_"/>
    <w:docVar w:name="NE.Ref{4274F7D2-FEFE-4F5C-A5C0-2ECE594D7545}" w:val=" ADDIN NE.Ref.{4274F7D2-FEFE-4F5C-A5C0-2ECE594D7545}&lt;Citation&gt;&lt;Group&gt;&lt;References&gt;&lt;Item&gt;&lt;ID&gt;75&lt;/ID&gt;&lt;UID&gt;{092FD3DA-02D3-44D6-9364-47B93C0A38A3}&lt;/UID&gt;&lt;Title&gt;中国肾性高血压管理指南2016(简版)&lt;/Title&gt;&lt;Template&gt;Journal Article&lt;/Template&gt;&lt;Star&gt;0&lt;/Star&gt;&lt;Tag&gt;0&lt;/Tag&gt;&lt;Author&gt;中国医师协会肾脏内科医师分会; 中国中西医结合学会肾脏疾病专业委员会&lt;/Author&gt;&lt;Year&gt;2017&lt;/Year&gt;&lt;Details&gt;&lt;_issue&gt;20&lt;/_issue&gt;&lt;_journal&gt;中华医学杂志&lt;/_journal&gt;&lt;_created&gt;63405729&lt;/_created&gt;&lt;_modified&gt;63405729&lt;/_modified&gt;&lt;_collection_scope&gt;CSCD;PKU&lt;/_collection_scope&gt;&lt;_translated_author&gt;Zhong, Guoyishixiehuishenzangneikeyishifenhui;Zhong, Guozhongxiyijiehexuehuishenzangjibingzhuanyeweiyuanhui&lt;/_translated_author&gt;&lt;/Details&gt;&lt;Extra&gt;&lt;DBUID&gt;{749A27AD-B5E1-4ED6-ABD8-A7B8F16E1CAE}&lt;/DBUID&gt;&lt;/Extra&gt;&lt;/Item&gt;&lt;/References&gt;&lt;/Group&gt;&lt;/Citation&gt;_x000a_"/>
    <w:docVar w:name="NE.Ref{4331EE1B-0BD3-44F1-B6DB-1238F8559EDA}" w:val=" ADDIN NE.Ref.{4331EE1B-0BD3-44F1-B6DB-1238F8559EDA}&lt;Citation&gt;&lt;Group&gt;&lt;References&gt;&lt;Item&gt;&lt;ID&gt;43&lt;/ID&gt;&lt;UID&gt;{9FE3A6E7-C631-46F1-97F4-93ED0C823E17}&lt;/UID&gt;&lt;Title&gt;Superiority of icodextrin compared with 4.25% dextrose for peritoneal ultrafiltration&lt;/Title&gt;&lt;Template&gt;Journal Article&lt;/Template&gt;&lt;Star&gt;0&lt;/Star&gt;&lt;Tag&gt;0&lt;/Tag&gt;&lt;Author&gt;Finkelstein, F; Healy, H; Abu-Alfa, A; Ahmad, S; Brown, F; Gehr, T; Nash, K; Sorkin, M; Mujais, S&lt;/Author&gt;&lt;Year&gt;2005&lt;/Year&gt;&lt;Details&gt;&lt;_accession_num&gt;15625070&lt;/_accession_num&gt;&lt;_author_adr&gt;Yale University School of Medicine, New Haven, CT, USA.&lt;/_author_adr&gt;&lt;_date_display&gt;2005 Feb&lt;/_date_display&gt;&lt;_date&gt;2005-02-01&lt;/_date&gt;&lt;_doi&gt;10.1681/ASN.2004090793&lt;/_doi&gt;&lt;_isbn&gt;1046-6673 (Print); 1046-6673 (Linking)&lt;/_isbn&gt;&lt;_issue&gt;2&lt;/_issue&gt;&lt;_journal&gt;J Am Soc Nephrol&lt;/_journal&gt;&lt;_language&gt;eng&lt;/_language&gt;&lt;_pages&gt;546-54&lt;/_pages&gt;&lt;_subject_headings&gt;Dialysis Solutions/*pharmacology; Double-Blind Method; Female; Follow-Up Studies; Glucans/*pharmacology; Glucose/*pharmacology; Humans; Icodextrin; Kidney Failure, Chronic/diagnosis/*therapy; Kidney Function Tests; Male; Middle Aged; Peritoneal Dialysis/adverse effects/*methods; Probability; Prospective Studies; Reference Values; Risk Assessment; Severity of Illness Index; Treatment Outcome; Ultrafiltration/*methods&lt;/_subject_headings&gt;&lt;_tertiary_title&gt;Journal of the American Society of Nephrology : JASN&lt;/_tertiary_title&gt;&lt;_type_work&gt;Clinical Trial; Comparative Study; Journal Article; Multicenter Study; Randomized Controlled Trial; Research Support, Non-U.S. Gov&amp;apos;t&lt;/_type_work&gt;&lt;_url&gt;http://www.ncbi.nlm.nih.gov/entrez/query.fcgi?cmd=Retrieve&amp;amp;db=pubmed&amp;amp;dopt=Abstract&amp;amp;list_uids=15625070&amp;amp;query_hl=1&lt;/_url&gt;&lt;_volume&gt;16&lt;/_volume&gt;&lt;_created&gt;63405216&lt;/_created&gt;&lt;_modified&gt;63405216&lt;/_modified&gt;&lt;_db_updated&gt;PubMed&lt;/_db_updated&gt;&lt;_impact_factor&gt;   9.274&lt;/_impact_factor&gt;&lt;_collection_scope&gt;SCI;SCIE&lt;/_collection_scope&gt;&lt;/Details&gt;&lt;Extra&gt;&lt;DBUID&gt;{749A27AD-B5E1-4ED6-ABD8-A7B8F16E1CAE}&lt;/DBUID&gt;&lt;/Extra&gt;&lt;/Item&gt;&lt;/References&gt;&lt;/Group&gt;&lt;/Citation&gt;_x000a_"/>
    <w:docVar w:name="NE.Ref{437016AC-FD3F-42B1-921B-F2CD29EF89E7}" w:val=" ADDIN NE.Ref.{437016AC-FD3F-42B1-921B-F2CD29EF89E7}&lt;Citation&gt;&lt;Group&gt;&lt;References&gt;&lt;Item&gt;&lt;ID&gt;180&lt;/ID&gt;&lt;UID&gt;{961CAC09-C0EC-4447-8FC3-4E7D3476D8E2}&lt;/UID&gt;&lt;Title&gt;Assessment and Management of Hypertension in Patients on Dialysis&lt;/Title&gt;&lt;Template&gt;Journal Article&lt;/Template&gt;&lt;Star&gt;0&lt;/Star&gt;&lt;Tag&gt;0&lt;/Tag&gt;&lt;Author&gt;Agarwal, R; Flynn, J; Pogue, V; Rahman, M; Reisin, E; Weir, M R&lt;/Author&gt;&lt;Year&gt;2014&lt;/Year&gt;&lt;Details&gt;&lt;_collection_scope&gt;SCI;SCIE&lt;/_collection_scope&gt;&lt;_created&gt;63806030&lt;/_created&gt;&lt;_impact_factor&gt;   9.274&lt;/_impact_factor&gt;&lt;_issue&gt;8&lt;/_issue&gt;&lt;_journal&gt;Journal of the American Society of Nephrology&lt;/_journal&gt;&lt;_modified&gt;63806030&lt;/_modified&gt;&lt;_pages&gt;1630-1646&lt;/_pages&gt;&lt;_volume&gt;25&lt;/_volume&gt;&lt;/Details&gt;&lt;Extra&gt;&lt;DBUID&gt;{749A27AD-B5E1-4ED6-ABD8-A7B8F16E1CAE}&lt;/DBUID&gt;&lt;/Extra&gt;&lt;/Item&gt;&lt;/References&gt;&lt;/Group&gt;&lt;Group&gt;&lt;References&gt;&lt;Item&gt;&lt;ID&gt;108&lt;/ID&gt;&lt;UID&gt;{E40D461A-9CFD-4C8E-85C8-1C6450C76C09}&lt;/UID&gt;&lt;Title&gt;Hypertension in dialysis patients: a consensus document by the European Renal and Cardiovascular Medicine (EURECA-m) working group of the European Renal Association - European Dialysis and Transplant Association (ERA-EDTA) and the Hypertension and the Kidn&lt;/Title&gt;&lt;Template&gt;Journal Article&lt;/Template&gt;&lt;Star&gt;0&lt;/Star&gt;&lt;Tag&gt;0&lt;/Tag&gt;&lt;Author&gt;Sarafidis, Pantelis A; Alexandre, Persu; Rajiv, Agarwal; Michel, Burnier; Peter, De Leeuw; Ferro, Charles J; Jean-Michel, Halimi; Heine, Gunnar H; Michel, Jadoul; Faical, Jarraya&lt;/Author&gt;&lt;Year&gt;2017&lt;/Year&gt;&lt;Details&gt;&lt;_created&gt;63434387&lt;/_created&gt;&lt;_issue&gt;4&lt;/_issue&gt;&lt;_journal&gt;Nephrol Dial Transplant&lt;/_journal&gt;&lt;_modified&gt;63434387&lt;/_modified&gt;&lt;_pages&gt;620-640&lt;/_pages&gt;&lt;/Details&gt;&lt;Extra&gt;&lt;DBUID&gt;{749A27AD-B5E1-4ED6-ABD8-A7B8F16E1CAE}&lt;/DBUID&gt;&lt;/Extra&gt;&lt;/Item&gt;&lt;/References&gt;&lt;/Group&gt;&lt;Group&gt;&lt;References&gt;&lt;Item&gt;&lt;ID&gt;181&lt;/ID&gt;&lt;UID&gt;{8B97EC40-014C-4591-88F9-B3B1C5933F48}&lt;/UID&gt;&lt;Title&gt;The Clinical Problems of Hypertension Treatment in Hemodialysis Patients&lt;/Title&gt;&lt;Template&gt;Journal Article&lt;/Template&gt;&lt;Star&gt;0&lt;/Star&gt;&lt;Tag&gt;0&lt;/Tag&gt;&lt;Author&gt;Loutradis; Charalampos; N.; Tsioufis; Costas; Sarafidis; Pantelis; A.&lt;/Author&gt;&lt;Year&gt;2018&lt;/Year&gt;&lt;Details&gt;&lt;_collection_scope&gt;SCIE&lt;/_collection_scope&gt;&lt;_created&gt;63806034&lt;/_created&gt;&lt;_impact_factor&gt;   2.672&lt;/_impact_factor&gt;&lt;_issue&gt;1&lt;/_issue&gt;&lt;_journal&gt;Current Vascular Pharmacology&lt;/_journal&gt;&lt;_modified&gt;63806034&lt;/_modified&gt;&lt;_pages&gt;54-60&lt;/_pages&gt;&lt;_volume&gt;16&lt;/_volume&gt;&lt;/Details&gt;&lt;Extra&gt;&lt;DBUID&gt;{749A27AD-B5E1-4ED6-ABD8-A7B8F16E1CAE}&lt;/DBUID&gt;&lt;/Extra&gt;&lt;/Item&gt;&lt;/References&gt;&lt;/Group&gt;&lt;Group&gt;&lt;References&gt;&lt;Item&gt;&lt;ID&gt;182&lt;/ID&gt;&lt;UID&gt;{6608038C-009A-4601-A406-B3459CBDC2AF}&lt;/UID&gt;&lt;Title&gt;Antihypertensive Medication Use in Older Patients Transitioning from Chronic Kidney Disease to End-Stage Renal Disease on Dialysis&lt;/Title&gt;&lt;Template&gt;Journal Article&lt;/Template&gt;&lt;Star&gt;0&lt;/Star&gt;&lt;Tag&gt;0&lt;/Tag&gt;&lt;Author&gt;Chang, T I; Zheng, Y; Montez-Rath, M E; Winkelmayer, W C&lt;/Author&gt;&lt;Year&gt;2016&lt;/Year&gt;&lt;Details&gt;&lt;_created&gt;63806035&lt;/_created&gt;&lt;_journal&gt;Clinical Journal of the American Society of Nephrology Cjasn&lt;/_journal&gt;&lt;_modified&gt;63806035&lt;/_modified&gt;&lt;_pages&gt;1401&lt;/_pages&gt;&lt;/Details&gt;&lt;Extra&gt;&lt;DBUID&gt;{749A27AD-B5E1-4ED6-ABD8-A7B8F16E1CAE}&lt;/DBUID&gt;&lt;/Extra&gt;&lt;/Item&gt;&lt;/References&gt;&lt;/Group&gt;&lt;/Citation&gt;_x000a_"/>
    <w:docVar w:name="NE.Ref{449DE945-0481-4D36-8114-DC1526C051F2}" w:val=" ADDIN NE.Ref.{449DE945-0481-4D36-8114-DC1526C051F2}&lt;Citation&gt;&lt;Group&gt;&lt;References&gt;&lt;Item&gt;&lt;ID&gt;76&lt;/ID&gt;&lt;UID&gt;{6382CFD3-9241-4687-8C35-AE44F0D8E486}&lt;/UID&gt;&lt;Title&gt;高血压合理用药指南(第2版)&lt;/Title&gt;&lt;Template&gt;Journal Article&lt;/Template&gt;&lt;Star&gt;0&lt;/Star&gt;&lt;Tag&gt;0&lt;/Tag&gt;&lt;Author&gt;国家卫生计生委合理用药专家委员会; 中国医师协会高血压专业委员会&lt;/Author&gt;&lt;Year&gt;2017&lt;/Year&gt;&lt;Details&gt;&lt;_created&gt;63405755&lt;/_created&gt;&lt;_issue&gt;7&lt;/_issue&gt;&lt;_journal&gt;中国医学前沿杂志(电子版)&lt;/_journal&gt;&lt;_modified&gt;63405755&lt;/_modified&gt;&lt;_translated_author&gt;Guo, Jiaweishengjishengweiheliyongyaozhuanjiaweiyuanhui;Zhong, Guoyishixiehuigaoxueyazhuanyeweiyuanhui&lt;/_translated_author&gt;&lt;/Details&gt;&lt;Extra&gt;&lt;DBUID&gt;{749A27AD-B5E1-4ED6-ABD8-A7B8F16E1CAE}&lt;/DBUID&gt;&lt;/Extra&gt;&lt;/Item&gt;&lt;/References&gt;&lt;/Group&gt;&lt;/Citation&gt;_x000a_"/>
    <w:docVar w:name="NE.Ref{45AA3D5B-9733-4E4C-9F6C-D2AA7AE55FA3}" w:val=" ADDIN NE.Ref.{45AA3D5B-9733-4E4C-9F6C-D2AA7AE55FA3}&lt;Citation&gt;&lt;Group&gt;&lt;References&gt;&lt;Item&gt;&lt;ID&gt;87&lt;/ID&gt;&lt;UID&gt;{D58FC1A4-6F5E-4705-9FE0-4A0E7837F25F}&lt;/UID&gt;&lt;Title&gt;[2018 ESC/ESH Guidelines for the management of arterial hypertension]&lt;/Title&gt;&lt;Template&gt;Journal Article&lt;/Template&gt;&lt;Star&gt;0&lt;/Star&gt;&lt;Tag&gt;0&lt;/Tag&gt;&lt;Author/&gt;&lt;Year&gt;2019&lt;/Year&gt;&lt;Details&gt;&lt;_journal&gt;European Heart Journal&lt;/_journal&gt;&lt;_pages&gt;71&lt;/_pages&gt;&lt;_volume&gt;77&lt;/_volume&gt;&lt;_created&gt;63426845&lt;/_created&gt;&lt;_modified&gt;63426845&lt;/_modified&gt;&lt;_impact_factor&gt;  22.673&lt;/_impact_factor&gt;&lt;_collection_scope&gt;SCI;SCIE&lt;/_collection_scope&gt;&lt;/Details&gt;&lt;Extra&gt;&lt;DBUID&gt;{749A27AD-B5E1-4ED6-ABD8-A7B8F16E1CAE}&lt;/DBUID&gt;&lt;/Extra&gt;&lt;/Item&gt;&lt;/References&gt;&lt;/Group&gt;&lt;/Citation&gt;_x000a_"/>
    <w:docVar w:name="NE.Ref{46E2167E-193D-418B-93D2-5601A3244027}" w:val=" ADDIN NE.Ref.{46E2167E-193D-418B-93D2-5601A3244027}&lt;Citation&gt;&lt;Group&gt;&lt;References&gt;&lt;Item&gt;&lt;ID&gt;109&lt;/ID&gt;&lt;UID&gt;{9AB180DA-8528-4B78-A242-83F1B0C24DEE}&lt;/UID&gt;&lt;Title&gt;Current guidelines for using angiotensin-converting enzyme inhibitors and  angiotensin II-receptor antagonists in chronic kidney disease: is the evidence base  relevant to older adults?&lt;/Title&gt;&lt;Template&gt;Journal Article&lt;/Template&gt;&lt;Star&gt;0&lt;/Star&gt;&lt;Tag&gt;0&lt;/Tag&gt;&lt;Author&gt;O&amp;apos;Hare, A M; Kaufman, J S; Covinsky, K E; Landefeld, C S; McFarland, L V; Larson, E B&lt;/Author&gt;&lt;Year&gt;2009&lt;/Year&gt;&lt;Details&gt;&lt;_accession_num&gt;19451579&lt;/_accession_num&gt;&lt;_author_adr&gt;Division of Nephrology, Department of Medicine, University of Washington and  Veterans Affairs Puget Sound Health Care System, Seattle, Washington 98108, USA.  ann.ohare@va.gov&lt;/_author_adr&gt;&lt;_collection_scope&gt;SCI;SCIE&lt;/_collection_scope&gt;&lt;_created&gt;63454239&lt;/_created&gt;&lt;_date&gt;2009-05-19&lt;/_date&gt;&lt;_date_display&gt;2009 May 19&lt;/_date_display&gt;&lt;_doi&gt;10.7326/0003-4819-150-10-200905190-00010&lt;/_doi&gt;&lt;_impact_factor&gt;  21.317&lt;/_impact_factor&gt;&lt;_isbn&gt;1539-3704 (Electronic); 0003-4819 (Linking)&lt;/_isbn&gt;&lt;_issue&gt;10&lt;/_issue&gt;&lt;_journal&gt;Ann Intern Med&lt;/_journal&gt;&lt;_language&gt;eng&lt;/_language&gt;&lt;_modified&gt;63454239&lt;/_modified&gt;&lt;_pages&gt;717-24&lt;/_pages&gt;&lt;_subject_headings&gt;Adult; Age Factors; Aged; Angiotensin II Type 1 Receptor Blockers/*therapeutic use; Angiotensin-Converting Enzyme Inhibitors/*therapeutic use; Chronic Disease; Clinical Trials as Topic/methods/*standards; Disease Progression; Evidence-Based Medicine/standards; Humans; Kidney Diseases/*drug therapy; Middle Aged; Nutrition Surveys; *Patient Selection; Practice Guidelines as Topic/*standards; Young Adult&lt;/_subject_headings&gt;&lt;_tertiary_title&gt;Annals of internal medicine&lt;/_tertiary_title&gt;&lt;_type_work&gt;Journal Article; Research Support, N.I.H., Extramural&lt;/_type_work&gt;&lt;_url&gt;http://www.ncbi.nlm.nih.gov/entrez/query.fcgi?cmd=Retrieve&amp;amp;db=pubmed&amp;amp;dopt=Abstract&amp;amp;list_uids=19451579&amp;amp;query_hl=1&lt;/_url&gt;&lt;_volume&gt;150&lt;/_volume&gt;&lt;/Details&gt;&lt;Extra&gt;&lt;DBUID&gt;{749A27AD-B5E1-4ED6-ABD8-A7B8F16E1CAE}&lt;/DBUID&gt;&lt;/Extra&gt;&lt;/Item&gt;&lt;/References&gt;&lt;/Group&gt;&lt;Group&gt;&lt;References&gt;&lt;Item&gt;&lt;ID&gt;110&lt;/ID&gt;&lt;UID&gt;{FC97DC78-31F7-45F9-9056-158CDF84A76F}&lt;/UID&gt;&lt;Title&gt;Renin-angiotensin-aldosterone system blockade effects on the kidney in the elderly:  benefits and limitations&lt;/Title&gt;&lt;Template&gt;Journal Article&lt;/Template&gt;&lt;Star&gt;0&lt;/Star&gt;&lt;Tag&gt;0&lt;/Tag&gt;&lt;Author&gt;Turgut, F; Balogun, R A; Abdel-Rahman, E M&lt;/Author&gt;&lt;Year&gt;2010&lt;/Year&gt;&lt;Details&gt;&lt;_accession_num&gt;20498247&lt;/_accession_num&gt;&lt;_author_adr&gt;Department of Medicine, University of Virginia Health System, P.O. Box 800133,  Charlottesville, VA 22908, USA. turgutfaruk@yahoo.com&lt;/_author_adr&gt;&lt;_created&gt;63454240&lt;/_created&gt;&lt;_date&gt;2010-07-01&lt;/_date&gt;&lt;_date_display&gt;2010 Jul&lt;/_date_display&gt;&lt;_doi&gt;10.2215/CJN.08611209&lt;/_doi&gt;&lt;_impact_factor&gt;   6.628&lt;/_impact_factor&gt;&lt;_isbn&gt;1555-905X (Electronic); 1555-9041 (Linking)&lt;/_isbn&gt;&lt;_issue&gt;7&lt;/_issue&gt;&lt;_journal&gt;Clin J Am Soc Nephrol&lt;/_journal&gt;&lt;_language&gt;eng&lt;/_language&gt;&lt;_modified&gt;63454240&lt;/_modified&gt;&lt;_pages&gt;1330-9&lt;/_pages&gt;&lt;_subject_headings&gt;Age Factors; Aged; Angiotensin II Type 1 Receptor Blockers/adverse effects/*therapeutic use; Angiotensin-Converting Enzyme Inhibitors/adverse effects/*therapeutic use; Chronic Disease; Comorbidity; Drug Therapy, Combination; Evidence-Based Medicine; Humans; Hypertension/*drug therapy/metabolism/physiopathology; Kidney/*drug effects/metabolism/physiopathology; Kidney Diseases/metabolism/physiopathology/*therapy; Mineralocorticoid Receptor Antagonists/adverse effects/*therapeutic use; Renin-Angiotensin System/*drug effects; Risk Assessment; Risk Factors; Treatment Outcome&lt;/_subject_headings&gt;&lt;_tertiary_title&gt;Clinical journal of the American Society of Nephrology : CJASN&lt;/_tertiary_title&gt;&lt;_type_work&gt;Journal Article; Review&lt;/_type_work&gt;&lt;_url&gt;http://www.ncbi.nlm.nih.gov/entrez/query.fcgi?cmd=Retrieve&amp;amp;db=pubmed&amp;amp;dopt=Abstract&amp;amp;list_uids=20498247&amp;amp;query_hl=1&lt;/_url&gt;&lt;_volume&gt;5&lt;/_volume&gt;&lt;/Details&gt;&lt;Extra&gt;&lt;DBUID&gt;{749A27AD-B5E1-4ED6-ABD8-A7B8F16E1CAE}&lt;/DBUID&gt;&lt;/Extra&gt;&lt;/Item&gt;&lt;/References&gt;&lt;/Group&gt;&lt;Group&gt;&lt;References&gt;&lt;Item&gt;&lt;ID&gt;111&lt;/ID&gt;&lt;UID&gt;{274B7128-2650-4221-BD5C-8737E7AD2206}&lt;/UID&gt;&lt;Title&gt;Renin-angiotensin system blockade in older adults with chronic kidney disease: a  review of the literature&lt;/Title&gt;&lt;Template&gt;Journal Article&lt;/Template&gt;&lt;Star&gt;0&lt;/Star&gt;&lt;Tag&gt;0&lt;/Tag&gt;&lt;Author&gt;Weiss, J W; Thorp, M L; O&amp;apos;Hare, A M&lt;/Author&gt;&lt;Year&gt;2010&lt;/Year&gt;&lt;Details&gt;&lt;_accession_num&gt;20539228&lt;/_accession_num&gt;&lt;_author_adr&gt;Department of Medicine, Division of Nephrology and Hypertension, Oregon Health and  Science University, Portland, OR 97239-3098, USA. weinstje@ohsu.edu&lt;/_author_adr&gt;&lt;_created&gt;63454241&lt;/_created&gt;&lt;_date&gt;2010-09-01&lt;/_date&gt;&lt;_date_display&gt;2010 Sep&lt;/_date_display&gt;&lt;_doi&gt;10.1097/MNH.0b013e32833b8d6b&lt;/_doi&gt;&lt;_impact_factor&gt;   2.539&lt;/_impact_factor&gt;&lt;_isbn&gt;1473-6543 (Electronic); 1062-4821 (Linking)&lt;/_isbn&gt;&lt;_issue&gt;5&lt;/_issue&gt;&lt;_journal&gt;Curr Opin Nephrol Hypertens&lt;/_journal&gt;&lt;_language&gt;eng&lt;/_language&gt;&lt;_modified&gt;63454241&lt;/_modified&gt;&lt;_pages&gt;413-9&lt;/_pages&gt;&lt;_subject_headings&gt;Aged; Angiotensin II Type 1 Receptor Blockers/adverse effects/*therapeutic use; Angiotensin-Converting Enzyme Inhibitors/adverse effects/*therapeutic use; Chronic Disease; Clinical Trials as Topic; Humans; Kidney Diseases/*drug therapy; Practice Guidelines as Topic; Renin-Angiotensin System/*drug effects/physiology&lt;/_subject_headings&gt;&lt;_tertiary_title&gt;Current opinion in nephrology and hypertension&lt;/_tertiary_title&gt;&lt;_type_work&gt;Journal Article; Research Support, N.I.H., Extramural; Research Support, Non-U.S. Gov&amp;apos;t; Review&lt;/_type_work&gt;&lt;_url&gt;http://www.ncbi.nlm.nih.gov/entrez/query.fcgi?cmd=Retrieve&amp;amp;db=pubmed&amp;amp;dopt=Abstract&amp;amp;list_uids=20539228&amp;amp;query_hl=1&lt;/_url&gt;&lt;_volume&gt;19&lt;/_volume&gt;&lt;/Details&gt;&lt;Extra&gt;&lt;DBUID&gt;{749A27AD-B5E1-4ED6-ABD8-A7B8F16E1CAE}&lt;/DBUID&gt;&lt;/Extra&gt;&lt;/Item&gt;&lt;/References&gt;&lt;/Group&gt;&lt;/Citation&gt;_x000a_"/>
    <w:docVar w:name="NE.Ref{4737CB6D-9A34-4F3D-A262-04D415D0158F}" w:val=" ADDIN NE.Ref.{4737CB6D-9A34-4F3D-A262-04D415D0158F}&lt;Citation&gt;&lt;Group&gt;&lt;References&gt;&lt;Item&gt;&lt;ID&gt;89&lt;/ID&gt;&lt;UID&gt;{B39653D8-ABB5-40DD-9295-2D96BC3369A9}&lt;/UID&gt;&lt;Title&gt;2020 International Society of Hypertension global hypertension practice guidelines&lt;/Title&gt;&lt;Template&gt;Journal Article&lt;/Template&gt;&lt;Star&gt;0&lt;/Star&gt;&lt;Tag&gt;0&lt;/Tag&gt;&lt;Author&gt;Unger, T; Borghi, C; Charchar, F; Khan, N A; Poulter, N R; Prabhakaran, D; Ramirez, A; Schlaich, M; Stergiou, G S; Tomaszewski, M; Wainford, R D; Williams, B; Schutte, A E&lt;/Author&gt;&lt;Year&gt;2020&lt;/Year&gt;&lt;Details&gt;&lt;_accession_num&gt;32371787&lt;/_accession_num&gt;&lt;_author_adr&gt;CARIM - School for Cardiovascular Diseases, Maastricht University, Maastricht, The  Netherlands.; Department of Medical and Surgical Sciences, University of Bologna, Bologna, Italy.; Federation University Australia, School of Health and Life Sciences, Ballarat.; Department of Physiology, University of Melbourne, Melbourne, Australia.; Department of Cardiovascular Sciences, University of Leicester, Leicester, UK.; University of British Columbia.; Center for Health Evaluation and Outcomes Sciences, Vancouver, Canada.; Imperial Clinical Trials Unit, Imperial College London, UK.; Public Health Foundation of India.; Centre for Chronic Disease Control, New Delhi, India.; London School of Hygiene and Tropical Medicine, UK.; Hypertension and Metabolic Unit, University Hospital, Favaloro Foundation, Buenos  Aires, Argentina.; Dobney Hypertension Centre, School of Medicine, Royal Perth Hospital Unit,  University of Western Australia, Perth.; Neurovascular Hypertension &amp;amp; Kidney Disease Laboratory, Baker Heart and Diabetes  Institute, Melbourne, Victoria, Australia.; Hypertension Center STRIDE-7, School of Medicine, Third Department of Medicine,  Sotiria Hospital, National and Kapodistrian University of Athens, Athens, Greece.; Division of Cardiovascular Sciences, Faculty of Medicine, Biology and Health,  University of Manchester.; Division of Medicine and Manchester Academic Health Science Centre, Manchester  University NHS Foundation Trust Manchester, Manchester, UK.; Department of Pharmacology and Experimental Therapeutics, Boston University School  of Medicine, Boston.; The Whitaker Cardiovascular Institute, Boston University.; Department of Health Sciences, Boston University Sargent College, Boston,  Massachusetts, USA.; University College London, NHR University College London, Hospitals Biomedical  Research Centre, London, UK.; Faculty of Medicine, University of New South Wales, The George Institute for Global  Health, Sydney, Australia.; Hypertension in Africa Research Team, South African MRC Unit for Hypertension and  Cardiovascular Disease, North-West University, Potchefstroom, South Africa.&lt;/_author_adr&gt;&lt;_date_display&gt;2020 Jun&lt;/_date_display&gt;&lt;_date&gt;2020-06-01&lt;/_date&gt;&lt;_doi&gt;10.1097/HJH.0000000000002453&lt;/_doi&gt;&lt;_isbn&gt;1473-5598 (Electronic); 0263-6352 (Linking)&lt;/_isbn&gt;&lt;_issue&gt;6&lt;/_issue&gt;&lt;_journal&gt;J Hypertens&lt;/_journal&gt;&lt;_language&gt;eng&lt;/_language&gt;&lt;_pages&gt;982-1004&lt;/_pages&gt;&lt;_tertiary_title&gt;Journal of hypertension&lt;/_tertiary_title&gt;&lt;_type_work&gt;Journal Article&lt;/_type_work&gt;&lt;_url&gt;http://www.ncbi.nlm.nih.gov/entrez/query.fcgi?cmd=Retrieve&amp;amp;db=pubmed&amp;amp;dopt=Abstract&amp;amp;list_uids=32371787&amp;amp;query_hl=1&lt;/_url&gt;&lt;_volume&gt;38&lt;/_volume&gt;&lt;_created&gt;63426944&lt;/_created&gt;&lt;_modified&gt;63426944&lt;/_modified&gt;&lt;_impact_factor&gt;   4.171&lt;/_impact_factor&gt;&lt;_collection_scope&gt;SCI;SCIE&lt;/_collection_scope&gt;&lt;/Details&gt;&lt;Extra&gt;&lt;DBUID&gt;{749A27AD-B5E1-4ED6-ABD8-A7B8F16E1CAE}&lt;/DBUID&gt;&lt;/Extra&gt;&lt;/Item&gt;&lt;/References&gt;&lt;/Group&gt;&lt;/Citation&gt;_x000a_"/>
    <w:docVar w:name="NE.Ref{473D997E-4F2D-4644-BAF5-6D47198975AA}" w:val=" ADDIN NE.Ref.{473D997E-4F2D-4644-BAF5-6D47198975AA}&lt;Citation&gt;&lt;Group&gt;&lt;References&gt;&lt;Item&gt;&lt;ID&gt;88&lt;/ID&gt;&lt;UID&gt;{FD28CA67-A47A-444B-BE29-AEAC909A3408}&lt;/UID&gt;&lt;Title&gt;The Japanese Society of Hypertension Guidelines for the Management of Hypertension  (JSH 2019)&lt;/Title&gt;&lt;Template&gt;Journal Article&lt;/Template&gt;&lt;Star&gt;0&lt;/Star&gt;&lt;Tag&gt;0&lt;/Tag&gt;&lt;Author&gt;Umemura, S; Arima, H; Arima, S; Asayama, K; Dohi, Y; Hirooka, Y; Horio, T; Hoshide, S; Ikeda, S; Ishimitsu, T; Ito, M; Ito, S; Iwashima, Y; Kai, H; Kamide, K; Kanno, Y; Kashihara, N; Kawano, Y; Kikuchi, T; Kitamura, K; Kitazono, T; Kohara, K; Kudo, M; Kumagai, H; Matsumura, K; Matsuura, H; Miura, K; Mukoyama, M; Nakamura, S; Ohkubo, T; Ohya, Y; Okura, T; Rakugi, H; Saitoh, S; Shibata, H; Shimosawa, T; Suzuki, H; Takahashi, S; Tamura, K; Tomiyama, H; Tsuchihashi, T; Ueda, S; Uehara, Y; Urata, H; Hirawa, N&lt;/Author&gt;&lt;Year&gt;2019&lt;/Year&gt;&lt;Details&gt;&lt;_accession_num&gt;31375757&lt;/_accession_num&gt;&lt;_author_adr&gt;Yokohama Rosai Hospital, Kanagawa, Japan.; Fukuoka University, Fukuoka, Japan.; Kindai University, Osaka, Japan.; Teikyo University, Tokyo, Japan.; Nagoya Gakuin University, Nagoya, Japan.; Takagi Hospital / International University of Health and Welfare, Otawara, Japan.; Ishikiriseiki Hospital, Osaka, Japan.; Jichi Medical University, Shimotsuke, Japan.; International University of Health and Welfare, Otawara, Japan.; Dokkyo Medical University, Mibu, Japan.; Mie University, Mie, Japan.; Tohoku University, Sendai, Japan.; Dokkyo Medical University, Mibu, Japan.; Kurume University Medical Center, Kurume, Japan.; Osaka University, Suita, Japan.; Tokyo Medical University, Tokyo, Japan.; Kawasaki Medical School, Matsushima, Japan.; Teikyo University Fukuoka, Fukuoka, Japan.; Saitama Medical University, Saitama, Japan.; University of Miyazaki, Miyazaki, Japan.; Kyushu University, Fukuoka, Japan.; Ehime University, Ehime, Japan.; Tohoku University, Sendai, Japan.; National Defense Medical College, Saitama, Japan.; Kitakyushu Wakasugi Hospital, Fukuoka, Japan.; Saiseikai Kure Hospital, Hiroshima, Japan.; Shiga University of Medical Science, Shiga, Japan.; Kumamoto University, Kumamoto, Japan.; Kansai University of Welfare Sciences, Osaka, Japan.; Teikyo University, Tokyo, Japan.; University of the Ryukyus, Nishihara, Japan.; Ehime University, Ehime, Japan.; Osaka University, Suita, Japan.; Sapporo Medical University, Sapporo, Japan.; Oita University, Oita, Japan.; International University of Health and Welfare, Otawara, Japan.; Musashino Tokushukai Hospital, Tokyo, Japan.; Itabashi Chuo Medical Center, Tokyo, Japan.; Yokohama City University Graduate School of Medicine, Yokohama, Japan.; Tokyo Medical University, Tokyo, Japan.; Steel Memorial Yawata Hospital, Fukuoka, Japan.; University of the Ryukyus, Nishihara, Japan.; Fukuoka University, Fukuoka, Japan.; Fukuoka University Chikushi Hospital, Fukuoka, Japan.; Yokohama City University Medical Center, Yokohama, Japan. hirawa@yokohama-cu.ac.jp.&lt;/_author_adr&gt;&lt;_collection_scope&gt;SCIE&lt;/_collection_scope&gt;&lt;_created&gt;63426928&lt;/_created&gt;&lt;_date&gt;2019-09-01&lt;/_date&gt;&lt;_date_display&gt;2019 Sep&lt;/_date_display&gt;&lt;_doi&gt;10.1038/s41440-019-0284-9&lt;/_doi&gt;&lt;_impact_factor&gt;   2.941&lt;/_impact_factor&gt;&lt;_isbn&gt;1348-4214 (Electronic); 0916-9636 (Linking)&lt;/_isbn&gt;&lt;_issue&gt;9&lt;/_issue&gt;&lt;_journal&gt;Hypertens Res&lt;/_journal&gt;&lt;_language&gt;eng&lt;/_language&gt;&lt;_modified&gt;63426928&lt;/_modified&gt;&lt;_pages&gt;1235-1481&lt;/_pages&gt;&lt;_tertiary_title&gt;Hypertension research : official journal of the Japanese Society of Hypertension&lt;/_tertiary_title&gt;&lt;_type_work&gt;Journal Article; Review&lt;/_type_work&gt;&lt;_url&gt;http://www.ncbi.nlm.nih.gov/entrez/query.fcgi?cmd=Retrieve&amp;amp;db=pubmed&amp;amp;dopt=Abstract&amp;amp;list_uids=31375757&amp;amp;query_hl=1&lt;/_url&gt;&lt;_volume&gt;42&lt;/_volume&gt;&lt;/Details&gt;&lt;Extra&gt;&lt;DBUID&gt;{749A27AD-B5E1-4ED6-ABD8-A7B8F16E1CAE}&lt;/DBUID&gt;&lt;/Extra&gt;&lt;/Item&gt;&lt;/References&gt;&lt;/Group&gt;&lt;/Citation&gt;_x000a_"/>
    <w:docVar w:name="NE.Ref{47900F9F-98CA-414D-9659-FD389EAFF4EC}" w:val=" ADDIN NE.Ref.{47900F9F-98CA-414D-9659-FD389EAFF4EC}&lt;Citation&gt;&lt;Group&gt;&lt;References&gt;&lt;Item&gt;&lt;ID&gt;113&lt;/ID&gt;&lt;UID&gt;{44CBC28C-194A-4BBD-A8E9-265C4DF21214}&lt;/UID&gt;&lt;Title&gt;Renoprotective effect of renin-angiotensin-aldosterone system blockade in patients  with predialysis advanced chronic kidney disease, hypertension, and anemia&lt;/Title&gt;&lt;Template&gt;Journal Article&lt;/Template&gt;&lt;Star&gt;0&lt;/Star&gt;&lt;Tag&gt;0&lt;/Tag&gt;&lt;Author&gt;Hsu, T W; Liu, J S; Hung, S C; Kuo, K L; Chang, Y K; Chen, Y C; Hsu, C C; Tarng, D C&lt;/Author&gt;&lt;Year&gt;2014&lt;/Year&gt;&lt;Details&gt;&lt;_accession_num&gt;24343093&lt;/_accession_num&gt;&lt;_author_adr&gt;Division of Nephrology, Department of Internal Medicine, National Yang-Ming  University Hospital, Ilan City, Taiwan.; Division of Geriatrics and Gerontology, Institute of Population Health Sciences,  National Health Research Institutes, Zhunan, Taiwan.; Division of Nephrology, Buddhist Tzu Chi Hospital Taipei Branch, New Taipei, Taiwan.; Division of Nephrology, Buddhist Tzu Chi Hospital Taipei Branch, New Taipei, Taiwan.; Division of Geriatrics and Gerontology, Institute of Population Health Sciences,  National Health Research Institutes, Zhunan, Taiwan.; Department and Institute of Nursing, School of Nursing, National Yang-Ming  University, Taipei, Taiwan.; Division of Geriatrics and Gerontology, Institute of Population Health Sciences,  National Health Research Institutes, Zhunan, Taiwan5Department of Health Services  Administration, China Medical University and Hospital, Taichung, Taiwan.; Division of Nephrology, Department of Medicine, Taipei Veterans General Hospital,  Taipei, Taiwan7Institutes of Physiology and Clinical Medicine, National Yang-Ming  University, Taipei, Taiwan.&lt;/_author_adr&gt;&lt;_collection_scope&gt;SCI;SCIE&lt;/_collection_scope&gt;&lt;_created&gt;63457236&lt;/_created&gt;&lt;_date&gt;2014-03-01&lt;/_date&gt;&lt;_date_display&gt;2014 Mar&lt;/_date_display&gt;&lt;_doi&gt;10.1001/jamainternmed.2013.12700&lt;/_doi&gt;&lt;_impact_factor&gt;  18.652&lt;/_impact_factor&gt;&lt;_isbn&gt;2168-6114 (Electronic); 2168-6106 (Linking)&lt;/_isbn&gt;&lt;_issue&gt;3&lt;/_issue&gt;&lt;_journal&gt;JAMA Intern Med&lt;/_journal&gt;&lt;_language&gt;eng&lt;/_language&gt;&lt;_modified&gt;63457422&lt;/_modified&gt;&lt;_pages&gt;347-54&lt;/_pages&gt;&lt;_subject_headings&gt;Aged; Anemia/complications/*drug therapy; Angiotensin Receptor Antagonists/pharmacology/*therapeutic use; Angiotensin-Converting Enzyme Inhibitors/pharmacology/*therapeutic use; Disease Progression; Female; Humans; Hypertension/complications/*drug therapy; Kidney/*drug effects; Male; Middle Aged; Prospective Studies; Renal Dialysis; Renal Insufficiency, Chronic/complications/*drug therapy/therapy; Renin-Angiotensin System/*drug effects; Risk Factors; Taiwan&lt;/_subject_headings&gt;&lt;_tertiary_title&gt;JAMA internal medicine&lt;/_tertiary_title&gt;&lt;_type_work&gt;Journal Article; Research Support, Non-U.S. Gov&amp;apos;t&lt;/_type_work&gt;&lt;_url&gt;http://www.ncbi.nlm.nih.gov/entrez/query.fcgi?cmd=Retrieve&amp;amp;db=pubmed&amp;amp;dopt=Abstract&amp;amp;list_uids=24343093&amp;amp;query_hl=1&lt;/_url&gt;&lt;_volume&gt;174&lt;/_volume&gt;&lt;/Details&gt;&lt;Extra&gt;&lt;DBUID&gt;{749A27AD-B5E1-4ED6-ABD8-A7B8F16E1CAE}&lt;/DBUID&gt;&lt;/Extra&gt;&lt;/Item&gt;&lt;/References&gt;&lt;/Group&gt;&lt;/Citation&gt;_x000a_"/>
    <w:docVar w:name="NE.Ref{47AB6F1A-AEB1-4E5E-A48A-65C1574CEB7B}" w:val=" ADDIN NE.Ref.{47AB6F1A-AEB1-4E5E-A48A-65C1574CEB7B}&lt;Citation&gt;&lt;Group&gt;&lt;References&gt;&lt;Item&gt;&lt;ID&gt;86&lt;/ID&gt;&lt;UID&gt;{E2B86A7C-1D2C-48A8-8B75-9FF5ACEFFB4B}&lt;/UID&gt;&lt;Title&gt;2017 ACC/AHA/AAPA/ABC/ACPM/AGS/APhA/ASH/ASPC/NMA/PCNA Guideline for the Prevention,  Detection, Evaluation, and Management of High Blood Pressure in Adults: Executive  Summary: A Report of the American College of Cardiology/American Heart Association  Task Force on Clinical Practice Guidelines&lt;/Title&gt;&lt;Template&gt;Journal Article&lt;/Template&gt;&lt;Star&gt;0&lt;/Star&gt;&lt;Tag&gt;0&lt;/Tag&gt;&lt;Author&gt;Whelton, P K; Carey, R M; Aronow, W S; Casey, DE Jr; Collins, K J; Dennison, Himmelfarb C; DePalma, S M; Gidding, S; Jamerson, K A; Jones, D W; MacLaughlin, E J; Muntner, P; Ovbiagele, B; Smith, SC Jr; Spencer, C C; Stafford, R S; Taler, S J; Thomas, R J; Williams, KA Sr; Williamson, J D; Wright, JT Jr&lt;/Author&gt;&lt;Year&gt;2018&lt;/Year&gt;&lt;Details&gt;&lt;_accession_num&gt;30354655&lt;/_accession_num&gt;&lt;_author_adr&gt;American Society for Preventive Cardiology Representative. †ACC/AHA Representative.  ‡Lay Volunteer/Patient Representative. §Preventive Cardiovascular Nurses Association  Representative. ‖American Academy of Physician Assistants Representative. ¶Task  Force Liaison. #Association of Black Cardiologists Representative. **American  Pharmacists Association Representative. ††ACC/AHA Prevention Subcommittee Liaison.  ‡‡American College of Preventive Medicine Representative. §§American Society of  Hypertension Representative. ‖‖Task Force on Performance Measures Liaison.  ¶¶American Geriatrics Society Representative. ##National Medical Association  Representative.; American Society for Preventive Cardiology Representative. †ACC/AHA Representative.  ‡Lay Volunteer/Patient Representative. §Preventive Cardiovascular Nurses Association  Representative. ‖American Academy of Physician Assistants Representative. ¶Task  Force Liaison. #Association of Black Cardiologists Representative. **American  Pharmacists Association Representative. ††ACC/AHA Prevention Subcommittee Liaison.  ‡‡American College of Preventive Medicine Representative. §§American Society of  Hypertension Representative. ‖‖Task Force on Performance Measures Liaison.  ¶¶American Geriatrics Society Representative. ##National Medical Association  Representative.; American Society for Preventive Cardiology Representative. †ACC/AHA Representative.  ‡Lay Volunteer/Patient Representative. §Preventive Cardiovascular Nurses Association  Representative. ‖American Academy of Physician Assistants Representative. ¶Task  Force Liaison. #Association of Black Cardiologists Representative. **American  Pharmacists Association Representative. ††ACC/AHA Prevention Subcommittee Liaison.  ‡‡American College of Preventive Medicine Representative. §§American Society of  Hypertension Representative. ‖‖Task Force on Performance Measures Liaison.  ¶¶American Geriatrics Society Representative. ##National Medical Association  Representative.; American Society for Preventive Cardiology Representative. †ACC/AHA Representative.  ‡Lay Volunteer/Patient Representative. §Preventive Cardiovascular Nurses Association  Representative. ‖American Academy of Physician Assistants Representative. ¶Task  Force Liaison. #Association of Black Cardiologists Representative. **American  Pharmacists Association Representative. ††ACC/AHA Prevention Subcommittee Liaison.  ‡‡American College of Preventive Medicine Representative. §§American Society of  Hypertension Representative. ‖‖Task Force on Performance Measures Liaison.  ¶¶American Geriatrics Society Representative. ##National Medical Association  Representative.; American Society for Preventive Cardiology Representative. †ACC/AHA Representative.  ‡Lay Volunteer/Patient Representative. §Preventive Cardiovascular Nurses Association  Representative. ‖American Academy of Physician Assistants Representative. ¶Task  Force Liaison. #Association of Black Cardiologists Representative. **American  Pharmacists Association Representative. ††ACC/AHA Prevention Subcommittee Liaison.  ‡‡American College of Preventive Medicine Representative. §§American Society of  Hypertension Representative. ‖‖Task Force on Performance Measures Liaison.  ¶¶American Geriatrics Society Representative. ##National Medical Association  Representative.; American Society for Preventive Cardiology Representative. †ACC/AHA Representative.  ‡Lay Volunteer/Patient Representative. §Preventive Cardiovascular Nurses Association  Representative. ‖American Academy of Physician Assistants Representative. ¶Task  Force Liaison. #Association of Black Cardiologists Representative. **American  Pharmacists Association Representative. ††ACC/AHA Prevention Subcommittee Liaison.  ‡‡American College of Preventive Medicine Representative. §§American Society of  Hypertension Representative. ‖‖Task Force on Performance Measures Liaison.  ¶¶American Geriatrics Society Representative. ##National Medical Association  Representative.; American Society for Preventive Cardiology Representative. †ACC/AHA Representative.  ‡Lay Volunteer/Patient Representative. §Preventive Cardiovascular Nurses Association  Representative. ‖American Academy of Physician Assistants Representative. ¶Task  Force Liaison. #Association of Black Cardiologists Representative. **American  Pharmacists Association Representative. ††ACC/AHA Prevention Subcommittee Liaison.  ‡‡American College of Preventive Medicine Representative. §§American Society of  Hypertension Representative. ‖‖Task Force on Performance Measures Liaison.  ¶¶American Geriatrics Society Representative. ##National Medical Association  Representative.; American Society for Preventive Cardiology Representative. †ACC/AHA Representative.  ‡Lay Volunteer/Patient Representative. §Preventive Cardiovascular Nurses Association  Representative. ‖American Academy of Physician Assistants Representative. ¶Task  Force Liaison. #Association of Black Cardiologists Representative. **American  Pharmacists Association Representative. ††ACC/AHA Prevention Subcommittee Liaison.  ‡‡American College of Preventive Medicine Representative. §§American Society of  Hypertension Representative. ‖‖Task Force on Performance Measures Liaison.  ¶¶American Geriatrics Society Representative. ##National Medical Association  Representative.; American Society for Preventive Cardiology Representative. †ACC/AHA Representative.  ‡Lay Volunteer/Patient Representative. §Preventive Cardiovascular Nurses Association  Representative. ‖American Academy of Physician Assistants Representative. ¶Task  Force Liaison. #Association of Black Cardiologists Representative. **American  Pharmacists Association Representative. ††ACC/AHA Prevention Subcommittee Liaison.  ‡‡American College of Preventive Medicine Representative. §§American Society of  Hypertension Representative. ‖‖Task Force on Performance Measures Liaison.  ¶¶American Geriatrics Society Representative. ##National Medical Association  Representative.; American Society for Preventive Cardiology Representative. †ACC/AHA Representative.  ‡Lay Volunteer/Patient Representative. §Preventive Cardiovascular Nurses Association  Representative. ‖American Academy of Physician Assistants Representative. ¶Task  Force Liaison. #Association of Black Cardiologists Representative. **American  Pharmacists Association Representative. ††ACC/AHA Prevention Subcommittee Liaison.  ‡‡American College of Preventive Medicine Representative. §§American Society of  Hypertension Representative. ‖‖Task Force on Performance Measures Liaison.  ¶¶American Geriatrics Society Representative. ##National Medical Association  Representative.; American Society for Preventive Cardiology Representative. †ACC/AHA Representative.  ‡Lay Volunteer/Patient Representative. §Preventive Cardiovascular Nurses Association  Representative. ‖American Academy of Physician Assistants Representative. ¶Task  Force Liaison. #Association of Black Cardiologists Representative. **American  Pharmacists Association Representative. ††ACC/AHA Prevention Subcommittee Liaison.  ‡‡American College of Preventive Medicine Representative. §§American Society of  Hypertension Representative. ‖‖Task Force on Performance Measures Liaison.  ¶¶American Geriatrics Society Representative. ##National Medical Association  Representative.; American Society for Preventive Cardiology Representative. †ACC/AHA Representative.  ‡Lay Volunteer/Patient Representative. §Preventive Cardiovascular Nurses Association  Representative. ‖American Academy of Physician Assistants Representative. ¶Task  Force Liaison. #Association of Black Cardiologists Representative. **American  Pharmacists Association Representative. ††ACC/AHA Prevention Subcommittee Liaison.  ‡‡American College of Preventive Medicine Representative. §§American Society of  Hypertension Representative. ‖‖Task Force on Performance Measures Liaison.  ¶¶American Geriatrics Society Representative. ##National Medical Association  Representative.; American Society for Preventive Cardiology Representative. †ACC/AHA Representative.  ‡Lay Volunteer/Patient Representative. §Preventive Cardiovascular Nurses Association  Representative. ‖American Academy of Physician Assistants Representative. ¶Task  Force Liaison. #Association of Black Cardiologists Representative. **American  Pharmacists Association Representative. ††ACC/AHA Prevention Subcommittee Liaison.  ‡‡American College of Preventive Medicine Representative. §§American Society of  Hypertension Representative. ‖‖Task Force on Performance Measures Liaison.  ¶¶American Geriatrics Society Representative. ##National Medical Association  Representative.; American Society for Preventive Cardiology Representative. †ACC/AHA Representative.  ‡Lay Volunteer/Patient Representative. §Preventive Cardiovascular Nurses Association  Representative. ‖American Academy of Physician Assistants Representative. ¶Task  Force Liaison. #Association of Black Cardiologists Representative. **American  Pharmacists Association Representative. ††ACC/AHA Prevention Subcommittee Liaison.  ‡‡American College of Preventive Medicine Representative. §§American Society of  Hypertension Representative. ‖‖Task Force on Performance Measures Liaison.  ¶¶American Geriatrics Society Representative. ##National Medical Association  Representative.; American Society for Preventive Cardiology Representative. †ACC/AHA Representative.  ‡Lay Volunteer/Patient Representative. §Preventive Cardiovascular Nurses Association  Representative. ‖American Academy of Physician Assistants Representative. ¶Task  Force Liaison. #Association of Black Cardiologists Representative. **American  Pharmacists Association Representative. ††ACC/AHA Prevention Subcommittee Liaison.  ‡‡American College of Preventive Medicine Representative. §§American Society of  Hypertension Representative. ‖‖Task Force on Performance Measures Liaison.  ¶¶American Geriatrics Society Representative. ##National Medical Association  Representative.; American Society for Preventive Cardiology Representative. †ACC/AHA Representative.  ‡Lay Volunteer/Patient Representative. §Preventive Cardiovascular Nurses Association  Representative. ‖American Academy of Physician Assistants Representative. ¶Task  Force Liaison. #Association of Black Cardiologists Representative. **American  Pharmacists Association Representative. ††ACC/AHA Prevention Subcommittee Liaison.  ‡‡American College of Preventive Medicine Representative. §§American Society of  Hypertension Representative. ‖‖Task Force on Performance Measures Liaison.  ¶¶American Geriatrics Society Representative. ##National Medical Association  Representative.; American Society for Preventive Cardiology Representative. †ACC/AHA Representative.  ‡Lay Volunteer/Patient Representative. §Preventive Cardiovascular Nurses Association  Representative. ‖American Academy of Physician Assistants Representative. ¶Task  Force Liaison. #Association of Black Cardiologists Representative. **American  Pharmacists Association Representative. ††ACC/AHA Prevention Subcommittee Liaison.  ‡‡American College of Preventive Medicine Representative. §§American Society of  Hypertension Representative. ‖‖Task Force on Performance Measures Liaison.  ¶¶American Geriatrics Society Representative. ##National Medical Association  Representative.; American Society for Preventive Cardiology Representative. †ACC/AHA Representative.  ‡Lay Volunteer/Patient Representative. §Preventive Cardiovascular Nurses Association  Representative. ‖American Academy of Physician Assistants Representative. ¶Task  Force Liaison. #Association of Black Cardiologists Representative. **American  Pharmacists Association Representative. ††ACC/AHA Prevention Subcommittee Liaison.  ‡‡American College of Preventive Medicine Representative. §§American Society of  Hypertension Representative. ‖‖Task Force on Performance Measures Liaison.  ¶¶American Geriatrics Society Representative. ##National Medical Association  Representative.; American Society for Preventive Cardiology Representative. †ACC/AHA Representative.  ‡Lay Volunteer/Patient Representative. §Preventive Cardiovascular Nurses Association  Representative. ‖American Academy of Physician Assistants Representative. ¶Task  Force Liaison. #Association of Black Cardiologists Representative. **American  Pharmacists Association Representative. ††ACC/AHA Prevention Subcommittee Liaison.  ‡‡American College of Preventive Medicine Representative. §§American Society of  Hypertension Representative. ‖‖Task Force on Performance Measures Liaison.  ¶¶American Geriatrics Society Representative. ##National Medical Association  Representative.; American Society for Preventive Cardiology Representative. †ACC/AHA Representative.  ‡Lay Volunteer/Patient Representative. §Preventive Cardiovascular Nurses Association  Representative. ‖American Academy of Physician Assistants Representative. ¶Task  Force Liaison. #Association of Black Cardiologists Representative. **American  Pharmacists Association Representative. ††ACC/AHA Prevention Subcommittee Liaison.  ‡‡American College of Preventive Medicine Representative. §§American Society of  Hypertension Representative. ‖‖Task Force on Performance Measures Liaison.  ¶¶American Geriatrics Society Representative. ##National Medical Association  Representative.; American Society for Preventive Cardiology Representative. †ACC/AHA Representative.  ‡Lay Volunteer/Patient Representative. §Preventive Cardiovascular Nurses Association  Representative. ‖American Academy of Physician Assistants Representative. ¶Task  Force Liaison. #Association of Black Cardiologists Representative. **American  Pharmacists Association Representative. ††ACC/AHA Prevention Subcommittee Liaison.  ‡‡American College of Preventive Medicine Representative. §§American Society of  Hypertension Representative. ‖‖Task Force on Performance Measures Liaison.  ¶¶American Geriatrics Society Representative. ##National Medical Association  Representative.&lt;/_author_adr&gt;&lt;_collection_scope&gt;SCI;SCIE&lt;/_collection_scope&gt;&lt;_created&gt;63426840&lt;/_created&gt;&lt;_date&gt;2018-10-23&lt;/_date&gt;&lt;_date_display&gt;2018 Oct 23&lt;/_date_display&gt;&lt;_doi&gt;10.1161/CIR.0000000000000597&lt;/_doi&gt;&lt;_impact_factor&gt;  23.603&lt;/_impact_factor&gt;&lt;_isbn&gt;1524-4539 (Electronic); 0009-7322 (Linking)&lt;/_isbn&gt;&lt;_issue&gt;17&lt;/_issue&gt;&lt;_journal&gt;Circulation&lt;/_journal&gt;&lt;_keywords&gt;*AHA Scientific Statements; *ambulatory care; *antihypertensive agents; *behavior modification; *blood pressure; *chronic kidney disease; *diabetes; *hypertension; *hypertension emergency; *lifestyle measures; *measurement; *nonpharmacologic treatment; *resistant hypertension; *risk reduction; *secondary hypertension; *systems of care; *treatment adherence; *treatment outcomes&lt;/_keywords&gt;&lt;_language&gt;eng&lt;/_language&gt;&lt;_modified&gt;63426840&lt;/_modified&gt;&lt;_pages&gt;e426-e483&lt;/_pages&gt;&lt;_subject_headings&gt;Aged; American Heart Association; Antihypertensive Agents/adverse effects/*therapeutic use; Blood Pressure/*drug effects; Cardiology/*standards; Comorbidity; Consensus; Evidence-Based Medicine/standards; Female; Humans; Hypertension/diagnosis/*drug therapy/epidemiology/physiopathology; Male; Middle Aged; Risk Factors; Treatment Outcome; United States&lt;/_subject_headings&gt;&lt;_tertiary_title&gt;Circulation&lt;/_tertiary_title&gt;&lt;_type_work&gt;Journal Article; Practice Guideline; Systematic Review&lt;/_type_work&gt;&lt;_url&gt;http://www.ncbi.nlm.nih.gov/entrez/query.fcgi?cmd=Retrieve&amp;amp;db=pubmed&amp;amp;dopt=Abstract&amp;amp;list_uids=30354655&amp;amp;query_hl=1&lt;/_url&gt;&lt;_volume&gt;138&lt;/_volume&gt;&lt;/Details&gt;&lt;Extra&gt;&lt;DBUID&gt;{749A27AD-B5E1-4ED6-ABD8-A7B8F16E1CAE}&lt;/DBUID&gt;&lt;/Extra&gt;&lt;/Item&gt;&lt;/References&gt;&lt;/Group&gt;&lt;/Citation&gt;_x000a_"/>
    <w:docVar w:name="NE.Ref{4AE9C06D-73AE-41F1-80AC-EB196B3BD0FD}" w:val=" ADDIN NE.Ref.{4AE9C06D-73AE-41F1-80AC-EB196B3BD0FD}&lt;Citation&gt;&lt;Group&gt;&lt;References&gt;&lt;Item&gt;&lt;ID&gt;98&lt;/ID&gt;&lt;UID&gt;{EC462227-5A6C-4B24-A9BF-44DCC1ED8250}&lt;/UID&gt;&lt;Title&gt;降压治疗对中国脑血管病患者脑卒中再发预防的多中心随机双盲对照临床研究&lt;/Title&gt;&lt;Template&gt;Journal Article&lt;/Template&gt;&lt;Star&gt;0&lt;/Star&gt;&lt;Tag&gt;0&lt;/Tag&gt;&lt;Author&gt;刘力生; 龚兰生; 王文&lt;/Author&gt;&lt;Year&gt;2005&lt;/Year&gt;&lt;Details&gt;&lt;_issue&gt;7&lt;/_issue&gt;&lt;_journal&gt;中华心血管病杂志&lt;/_journal&gt;&lt;_created&gt;63428629&lt;/_created&gt;&lt;_modified&gt;63428629&lt;/_modified&gt;&lt;_collection_scope&gt;CSCD;PKU&lt;/_collection_scope&gt;&lt;_translated_author&gt;Liu, Lisheng;Gong, Lansheng;Wang, Wen&lt;/_translated_author&gt;&lt;/Details&gt;&lt;Extra&gt;&lt;DBUID&gt;{749A27AD-B5E1-4ED6-ABD8-A7B8F16E1CAE}&lt;/DBUID&gt;&lt;/Extra&gt;&lt;/Item&gt;&lt;/References&gt;&lt;/Group&gt;&lt;/Citation&gt;_x000a_"/>
    <w:docVar w:name="NE.Ref{4BA4F451-BCEB-405F-9C2D-76015E0C5931}" w:val=" ADDIN NE.Ref.{4BA4F451-BCEB-405F-9C2D-76015E0C5931}&lt;Citation&gt;&lt;Group&gt;&lt;References&gt;&lt;Item&gt;&lt;ID&gt;144&lt;/ID&gt;&lt;UID&gt;{FA5BC6DC-562D-4A02-9518-A84241BE9D65}&lt;/UID&gt;&lt;Title&gt;EBPG guideline on dialysis strategies&lt;/Title&gt;&lt;Template&gt;Journal Article&lt;/Template&gt;&lt;Star&gt;0&lt;/Star&gt;&lt;Tag&gt;0&lt;/Tag&gt;&lt;Author&gt;James, Tattersall; Alejandro, Martin Malo; Luciano, Pedrini; Ali, Basci; Bernard, Canaud; Denis, Fouque; Patrick, Haage; Klaus, Konner; Jeroen, Kooman; Francesco, Pizzarelli&lt;/Author&gt;&lt;Year&gt;2007&lt;/Year&gt;&lt;Details&gt;&lt;_issue&gt;suppl_2&lt;/_issue&gt;&lt;_journal&gt;Nephrol Dial Transplant&lt;/_journal&gt;&lt;_pages&gt;5-21&lt;/_pages&gt;&lt;_created&gt;63469002&lt;/_created&gt;&lt;_modified&gt;63469002&lt;/_modified&gt;&lt;/Details&gt;&lt;Extra&gt;&lt;DBUID&gt;{749A27AD-B5E1-4ED6-ABD8-A7B8F16E1CAE}&lt;/DBUID&gt;&lt;/Extra&gt;&lt;/Item&gt;&lt;/References&gt;&lt;/Group&gt;&lt;/Citation&gt;_x000a_"/>
    <w:docVar w:name="NE.Ref{4E6FF3DD-675B-439D-AA4E-839E06D26770}" w:val=" ADDIN NE.Ref.{4E6FF3DD-675B-439D-AA4E-839E06D26770}&lt;Citation&gt;&lt;Group&gt;&lt;References&gt;&lt;Item&gt;&lt;ID&gt;99&lt;/ID&gt;&lt;UID&gt;{74DC8D6F-E3E6-42AD-8CB7-2293D05A4849}&lt;/UID&gt;&lt;Title&gt;Effects of a fixed combination of perindopril and indapamide on macrovascularand microvascular outcomes in patients with type 2 diabetes mellitus (the ADVANCE trial): a randomised controlled trial.&lt;/Title&gt;&lt;Template&gt;Journal Article&lt;/Template&gt;&lt;Star&gt;0&lt;/Star&gt;&lt;Tag&gt;0&lt;/Tag&gt;&lt;Author/&gt;&lt;Year&gt;2007&lt;/Year&gt;&lt;Details&gt;&lt;_journal&gt;Lancet&lt;/_journal&gt;&lt;_created&gt;63428635&lt;/_created&gt;&lt;_modified&gt;63428635&lt;/_modified&gt;&lt;_impact_factor&gt;  60.392&lt;/_impact_factor&gt;&lt;_collection_scope&gt;SCI;SCIE&lt;/_collection_scope&gt;&lt;/Details&gt;&lt;Extra&gt;&lt;DBUID&gt;{749A27AD-B5E1-4ED6-ABD8-A7B8F16E1CAE}&lt;/DBUID&gt;&lt;/Extra&gt;&lt;/Item&gt;&lt;/References&gt;&lt;/Group&gt;&lt;/Citation&gt;_x000a_"/>
    <w:docVar w:name="NE.Ref{4EA6DA22-B9BC-43AE-9163-D500B6FA3977}" w:val=" ADDIN NE.Ref.{4EA6DA22-B9BC-43AE-9163-D500B6FA3977}&lt;Citation&gt;&lt;Group&gt;&lt;References&gt;&lt;Item&gt;&lt;ID&gt;131&lt;/ID&gt;&lt;UID&gt;{6AC7C16C-1CF2-4BC3-B463-CEE15AF618EA}&lt;/UID&gt;&lt;Title&gt;The role of ambulatory blood pressure monitoring in chronic and end-stage renal disease.&lt;/Title&gt;&lt;Template&gt;Journal Article&lt;/Template&gt;&lt;Star&gt;0&lt;/Star&gt;&lt;Tag&gt;0&lt;/Tag&gt;&lt;Author&gt;Thompson, A M; Pickering, T G&lt;/Author&gt;&lt;Year&gt;2006&lt;/Year&gt;&lt;Details&gt;&lt;_collection_scope&gt;SCI;SCIE&lt;/_collection_scope&gt;&lt;_created&gt;63468708&lt;/_created&gt;&lt;_impact_factor&gt;   8.945&lt;/_impact_factor&gt;&lt;_issue&gt;6&lt;/_issue&gt;&lt;_journal&gt;Kidney International&lt;/_journal&gt;&lt;_modified&gt;63468708&lt;/_modified&gt;&lt;_pages&gt;1000-1007&lt;/_pages&gt;&lt;_volume&gt;70&lt;/_volume&gt;&lt;/Details&gt;&lt;Extra&gt;&lt;DBUID&gt;{749A27AD-B5E1-4ED6-ABD8-A7B8F16E1CAE}&lt;/DBUID&gt;&lt;/Extra&gt;&lt;/Item&gt;&lt;/References&gt;&lt;/Group&gt;&lt;Group&gt;&lt;References&gt;&lt;Item&gt;&lt;ID&gt;132&lt;/ID&gt;&lt;UID&gt;{2D32D747-6812-4AA3-BBF3-860F4B8B4C4C}&lt;/UID&gt;&lt;Title&gt;Hypertension in Chronic Kidney Disease Part 1: Out-of-Office Blood Pressure  Monitoring: Methods, Thresholds, and Patterns&lt;/Title&gt;&lt;Template&gt;Journal Article&lt;/Template&gt;&lt;Star&gt;0&lt;/Star&gt;&lt;Tag&gt;0&lt;/Tag&gt;&lt;Author&gt;Parati, G; Ochoa, J E; Bilo, G; Agarwal, R; Covic, A; Dekker, F W; Fliser, D; Heine, G H; Jager, K J; Gargani, L; Kanbay, M; Mallamaci, F; Massy, Z; Ortiz, A; Picano, E; Rossignol, P; Sarafidis, P; Sicari, R; Vanholder, R; Wiecek, A; London, G; Zoccali, C&lt;/Author&gt;&lt;Year&gt;2016&lt;/Year&gt;&lt;Details&gt;&lt;_accession_num&gt;27141058&lt;/_accession_num&gt;&lt;_author_adr&gt;From the Department of Medicine and Surgery, University of Milano-Bicocca, Milan,  Italy (G.P., J.E.O.); Department of Cardiovascular, Neural and Metabolic Sciences,  San Luca Hospital, IRCCS Istituto Auxologico Italiano, Milan, Italy (G.P., J.E.O.,  G.B.); Indiana University and VAMC, Indianapolis (R.A.); Clinic of Nephrology, C. I.  Parhon University Hospital, Gr. T. Popa University of Medicine and Pharmacy, Iasi,  Romania (A.C.); Department of Clinical Epidemiology, Leiden University Medical  Center, Leiden, The Netherlands (F.W.D.); Department of Internal Medicine IV,  Saarland University Medical Centre, Homburg, Saarland, Germany (D.F., G.H.H.);  European Renal Association-European Dialysis and Transplant Association (ERA-EDTA)  Registry, Department of Medical Informatics, Academic Medical Center, University of  Amsterdam, Amsterdam, The Netherlands (K.J.J.); CNR, Institute of Clinical  Physiology, Pisa, Italy (L.G., E.P., R.S.); Division of Nephrology, Department of  Medicine, Koc University School of Medicine, Istanbul, Turkey (M.K.); Nephrology,  Dialysis and Transplantation Unit and CNR-IFC Clinical Epidemiology and  Pathophysiology of Renal Diseases and Hypertension, Reggio Calabria, Italy (F.M.,  C.Z.); Division of Nephrology, Ambroise Paré Hospital, Assistance Publique Hôpitaux  de Paris, Boulogne-Billancourt, Paris, France; University of Paris  Ouest-Versailles-Saint-Quentin-en-Yvelines (UVSQ), and Inserm U-1018, Centre de  recherche en épidémiologie et santé des populations (CESP), Equipe 5, Villejuif;  Paris-Sud University (PSU) and University of Paris  Ouest-Versailles-Saint-Quentin-en-Yvelines (UVSQ), F-CRIN-INI-CRCT, Paris, France  (Z.M.); IIS-Fundación Jiménez Díaz, Universidad Autónoma de Madrid, Fundación Renal  Iñigo Alvarez de Toledo, Madrid, Spain (A.O.); Inserm, Centre d&amp;apos;Investigations  Cliniques-Plurithématique 1433, Inserm U1116, Nancy, France (P.R.); CHU Nancy,  Département de Cardiologie, Institut Lorrain du Cœur et des Vaisseaux, Vandoeuvre  lès; From the Department of Medicine and Surgery, University of Milano-Bicocca, Milan,  Italy (G.P., J.E.O.); Department of Cardiovascular, Neural and Metabolic Sciences,  San Luca Hospital, IRCCS Istituto Auxologico Italiano, Milan, Italy (G.P., J.E.O.,  G.B.); Indiana University and VAMC, Indianapolis (R.A.); Clinic of Nephrology, C. I.  Parhon University Hospital, Gr. T. Popa University of Medicine and Pharmacy, Iasi,  Romania (A.C.); Department of Clinical Epidemiology, Leiden University Medical  Center, Leiden, The Netherlands (F.W.D.); Department of Internal Medicine IV,  Saarland University Medical Centre, Homburg, Saarland, Germany (D.F., G.H.H.);  European Renal Association-European Dialysis and Transplant Association (ERA-EDTA)  Registry, Department of Medical Informatics, Academic Medical Center, University of  Amsterdam, Amsterdam, The Netherlands (K.J.J.); CNR, Institute of Clinical  Physiology, Pisa, Italy (L.G., E.P., R.S.); Division of Nephrology, Department of  Medicine, Koc University School of Medicine, Istanbul, Turkey (M.K.); Nephrology,  Dialysis and Transplantation Unit and CNR-IFC Clinical Epidemiology and  Pathophysiology of Renal Diseases and Hypertension, Reggio Calabria, Italy (F.M.,  C.Z.); Division of Nephrology, Ambroise Paré Hospital, Assistance Publique Hôpitaux  de Paris, Boulogne-Billancourt, Paris, France; University of Paris  Ouest-Versailles-Saint-Quentin-en-Yvelines (UVSQ), and Inserm U-1018, Centre de  recherche en épidémiologie et santé des populations (CESP), Equipe 5, Villejuif;  Paris-Sud University (PSU) and University of Paris  Ouest-Versailles-Saint-Quentin-en-Yvelines (UVSQ), F-CRIN-INI-CRCT, Paris, France  (Z.M.); IIS-Fundación Jiménez Díaz, Universidad Autónoma de Madrid, Fundación Renal  Iñigo Alvarez de Toledo, Madrid, Spain (A.O.); Inserm, Centre d&amp;apos;Investigations  Cliniques-Plurithématique 1433, Inserm U1116, Nancy, France (P.R.); CHU Nancy,  Département de Cardiologie, Institut Lorrain du Cœur et des Vaisseaux, Vandoeuvre  lès; From the Department of Medicine and Surgery, University of Milano-Bicocca, Milan,  Italy (G.P., J.E.O.); Department of Cardiovascular, Neural and Metabolic Sciences,  San Luca Hospital, IRCCS Istituto Auxologico Italiano, Milan, Italy (G.P., J.E.O.,  G.B.); Indiana University and VAMC, Indianapolis (R.A.); Clinic of Nephrology, C. I.  Parhon University Hospital, Gr. T. Popa University of Medicine and Pharmacy, Iasi,  Romania (A.C.); Department of Clinical Epidemiology, Leiden University Medical  Center, Leiden, The Netherlands (F.W.D.); Department of Internal Medicine IV,  Saarland University Medical Centre, Homburg, Saarland, Germany (D.F., G.H.H.);  European Renal Association-European Dialysis and Transplant Association (ERA-EDTA)  Registry, Department of Medical Informatics, Academic Medical Center, University of  Amsterdam, Amsterdam, The Netherlands (K.J.J.); CNR, Institute of Clinical  Physiology, Pisa, Italy (L.G., E.P., R.S.); Division of Nephrology, Department of  Medicine, Koc University School of Medicine, Istanbul, Turkey (M.K.); Nephrology,  Dialysis and Transplantation Unit and CNR-IFC Clinical Epidemiology and  Pathophysiology of Renal Diseases and Hypertension, Reggio Calabria, Italy (F.M.,  C.Z.); Division of Nephrology, Ambroise Paré Hospital, Assistance Publique Hôpitaux  de Paris, Boulogne-Billancourt, Paris, France; University of Paris  Ouest-Versailles-Saint-Quentin-en-Yvelines (UVSQ), and Inserm U-1018, Centre de  recherche en épidémiologie et santé des populations (CESP), Equipe 5, Villejuif;  Paris-Sud University (PSU) and University of Paris  Ouest-Versailles-Saint-Quentin-en-Yvelines (UVSQ), F-CRIN-INI-CRCT, Paris, France  (Z.M.); IIS-Fundación Jiménez Díaz, Universidad Autónoma de Madrid, Fundación Renal  Iñigo Alvarez de Toledo, Madrid, Spain (A.O.); Inserm, Centre d&amp;apos;Investigations  Cliniques-Plurithématique 1433, Inserm U1116, Nancy, France (P.R.); CHU Nancy,  Département de Cardiologie, Institut Lorrain du Cœur et des Vaisseaux, Vandoeuvre  lès; From the Department of Medicine and Surgery, University of Milano-Bicocca, Milan,  Italy (G.P., J.E.O.); Department of Cardiovascular, Neural and Metabolic Sciences,  San Luca Hospital, IRCCS Istituto Auxologico Italiano, Milan, Italy (G.P., J.E.O.,  G.B.); Indiana University and VAMC, Indianapolis (R.A.); Clinic of Nephrology, C. I.  Parhon University Hospital, Gr. T. Popa University of Medicine and Pharmacy, Iasi,  Romania (A.C.); Department of Clinical Epidemiology, Leiden University Medical  Center, Leiden, The Netherlands (F.W.D.); Department of Internal Medicine IV,  Saarland University Medical Centre, Homburg, Saarland, Germany (D.F., G.H.H.);  European Renal Association-European Dialysis and Transplant Association (ERA-EDTA)  Registry, Department of Medical Informatics, Academic Medical Center, University of  Amsterdam, Amsterdam, The Netherlands (K.J.J.); CNR, Institute of Clinical  Physiology, Pisa, Italy (L.G., E.P., R.S.); Division of Nephrology, Department of  Medicine, Koc University School of Medicine, Istanbul, Turkey (M.K.); Nephrology,  Dialysis and Transplantation Unit and CNR-IFC Clinical Epidemiology and  Pathophysiology of Renal Diseases and Hypertension, Reggio Calabria, Italy (F.M.,  C.Z.); Division of Nephrology, Ambroise Paré Hospital, Assistance Publique Hôpitaux  de Paris, Boulogne-Billancourt, Paris, France; University of Paris  Ouest-Versailles-Saint-Quentin-en-Yvelines (UVSQ), and Inserm U-1018, Centre de  recherche en épidémiologie et santé des populations (CESP), Equipe 5, Villejuif;  Paris-Sud University (PSU) and University of Paris  Ouest-Versailles-Saint-Quentin-en-Yvelines (UVSQ), F-CRIN-INI-CRCT, Paris, France  (Z.M.); IIS-Fundación Jiménez Díaz, Universidad Autónoma de Madrid, Fundación Renal  Iñigo Alvarez de Toledo, Madrid, Spain (A.O.); Inserm, Centre d&amp;apos;Investigations  Cliniques-Plurithématique 1433, Inserm U1116, Nancy, France (P.R.); CHU Nancy,  Département de Cardiologie, Institut Lorrain du Cœur et des Vaisseaux, Vandoeuvre  lès; From the Department of Medicine and Surgery, University of Milano-Bicocca, Milan,  Italy (G.P., J.E.O.); Department of Cardiovascular, Neural and Metabolic Sciences,  San Luca Hospital, IRCCS Istituto Auxologico Italiano, Milan, Italy (G.P., J.E.O.,  G.B.); Indiana University and VAMC, Indianapolis (R.A.); Clinic of Nephrology, C. I.  Parhon University Hospital, Gr. T. Popa University of Medicine and Pharmacy, Iasi,  Romania (A.C.); Department of Clinical Epidemiology, Leiden University Medical  Center, Leiden, The Netherlands (F.W.D.); Department of Internal Medicine IV,  Saarland University Medical Centre, Homburg, Saarland, Germany (D.F., G.H.H.);  European Renal Association-European Dialysis and Transplant Association (ERA-EDTA)  Registry, Department of Medical Informatics, Academic Medical Center, University of  Amsterdam, Amsterdam, The Netherlands (K.J.J.); CNR, Institute of Clinical  Physiology, Pisa, Italy (L.G., E.P., R.S.); Division of Nephrology, Department of  Medicine, Koc University School of Medicine, Istanbul, Turkey (M.K.); Nephrology,  Dialysis and Transplantation Unit and CNR-IFC Clinical Epidemiology and  Pathophysiology of Renal Diseases and Hypertension, Reggio Calabria, Italy (F.M.,  C.Z.); Division of Nephrology, Ambroise Paré Hospital, Assistance Publique Hôpitaux  de Paris, Boulogne-Billancourt, Paris, France; University of Paris  Ouest-Versailles-Saint-Quentin-en-Yvelines (UVSQ), and Inserm U-1018, Centre de  recherche en épidémiologie et santé des populations (CESP), Equipe 5, Villejuif;  Paris-Sud University (PSU) and University of Paris  Ouest-Versailles-Saint-Quentin-en-Yvelines (UVSQ), F-CRIN-INI-CRCT, Paris, France  (Z.M.); IIS-Fundación Jiménez Díaz, Universidad Autónoma de Madrid, Fundación Renal  Iñigo Alvarez de Toledo, Madrid, Spain (A.O.); Inserm, Centre d&amp;apos;Investigations  Cliniques-Plurithématique 1433, Inserm U1116, Nancy, France (P.R.); CHU Nancy,  Département de Cardiologie, Institut Lorrain du Cœur et des Vaisseaux, Vandoeuvre  lès; From the Department of Medicine and Surgery, University of Milano-Bicocca, Milan,  Italy (G.P., J.E.O.); Department of Cardiovascular, Neural and Metabolic Sciences,  San Luca Hospital, IRCCS Istituto Auxologico Italiano, Milan, Italy (G.P., J.E.O.,  G.B.); Indiana University and VAMC, Indianapolis (R.A.); Clinic of Nephrology, C. I.  Parhon University Hospital, Gr. T. Popa University of Medicine and Pharmacy, Iasi,  Romania (A.C.); Department of Clinical Epidemiology, Leiden University Medical  Center, Leiden, The Netherlands (F.W.D.); Department of Internal Medicine IV,  Saarland University Medical Centre, Homburg, Saarland, Germany (D.F., G.H.H.);  European Renal Association-European Dialysis and Transplant Association (ERA-EDTA)  Registry, Department of Medical Informatics, Academic Medical Center, University of  Amsterdam, Amsterdam, The Netherlands (K.J.J.); CNR, Institute of Clinical  Physiology, Pisa, Italy (L.G., E.P., R.S.); Division of Nephrology, Department of  Medicine, Koc University School of Medicine, Istanbul, Turkey (M.K.); Nephrology,  Dialysis and Transplantation Unit and CNR-IFC Clinical Epidemiology and  Pathophysiology of Renal Diseases and Hypertension, Reggio Calabria, Italy (F.M.,  C.Z.); Division of Nephrology, Ambroise Paré Hospital, Assistance Publique Hôpitaux  de Paris, Boulogne-Billancourt, Paris, France; University of Paris  Ouest-Versailles-Saint-Quentin-en-Yvelines (UVSQ), and Inserm U-1018, Centre de  recherche en épidémiologie et santé des populations (CESP), Equipe 5, Villejuif;  Paris-Sud University (PSU) and University of Paris  Ouest-Versailles-Saint-Quentin-en-Yvelines (UVSQ), F-CRIN-INI-CRCT, Paris, France  (Z.M.); IIS-Fundación Jiménez Díaz, Universidad Autónoma de Madrid, Fundación Renal  Iñigo Alvarez de Toledo, Madrid, Spain (A.O.); Inserm, Centre d&amp;apos;Investigations  Cliniques-Plurithématique 1433, Inserm U1116, Nancy, France (P.R.); CHU Nancy,  Département de Cardiologie, Institut Lorrain du Cœur et des Vaisseaux, Vandoeuvre  lès; From the Department of Medicine and Surgery, University of Milano-Bicocca, Milan,  Italy (G.P., J.E.O.); Department of Cardiovascular, Neural and Metabolic Sciences,  San Luca Hospital, IRCCS Istituto Auxologico Italiano, Milan, Italy (G.P., J.E.O.,  G.B.); Indiana University and VAMC, Indianapolis (R.A.); Clinic of Nephrology, C. I.  Parhon University Hospital, Gr. T. Popa University of Medicine and Pharmacy, Iasi,  Romania (A.C.); Department of Clinical Epidemiology, Leiden University Medical  Center, Leiden, The Netherlands (F.W.D.); Department of Internal Medicine IV,  Saarland University Medical Centre, Homburg, Saarland, Germany (D.F., G.H.H.);  European Renal Association-European Dialysis and Transplant Association (ERA-EDTA)  Registry, Department of Medical Informatics, Academic Medical Center, University of  Amsterdam, Amsterdam, The Netherlands (K.J.J.); CNR, Institute of Clinical  Physiology, Pisa, Italy (L.G., E.P., R.S.); Division of Nephrology, Department of  Medicine, Koc University School of Medicine, Istanbul, Turkey (M.K.); Nephrology,  Dialysis and Transplantation Unit and CNR-IFC Clinical Epidemiology and  Pathophysiology of Renal Diseases and Hypertension, Reggio Calabria, Italy (F.M.,  C.Z.); Division of Nephrology, Ambroise Paré Hospital, Assistance Publique Hôpitaux  de Paris, Boulogne-Billancourt, Paris, France; University of Paris  Ouest-Versailles-Saint-Quentin-en-Yvelines (UVSQ), and Inserm U-1018, Centre de  recherche en épidémiologie et santé des populations (CESP), Equipe 5, Villejuif;  Paris-Sud University (PSU) and University of Paris  Ouest-Versailles-Saint-Quentin-en-Yvelines (UVSQ), F-CRIN-INI-CRCT, Paris, France  (Z.M.); IIS-Fundación Jiménez Díaz, Universidad Autónoma de Madrid, Fundación Renal  Iñigo Alvarez de Toledo, Madrid, Spain (A.O.); Inserm, Centre d&amp;apos;Investigations  Cliniques-Plurithématique 1433, Inserm U1116, Nancy, France (P.R.); CHU Nancy,  Département de Cardiologie, Institut Lorrain du Cœur et des Vaisseaux, Vandoeuvre  lès; From the Department of Medicine and Surgery, University of Milano-Bicocca, Milan,  Italy (G.P., J.E.O.); Department of Cardiovascular, Neural and Metabolic Sciences,  San Luca Hospital, IRCCS Istituto Auxologico Italiano, Milan, Italy (G.P., J.E.O.,  G.B.); Indiana University and VAMC, Indianapolis (R.A.); Clinic of Nephrology, C. I.  Parhon University Hospital, Gr. T. Popa University of Medicine and Pharmacy, Iasi,  Romania (A.C.); Department of Clinical Epidemiology, Leiden University Medical  Center, Leiden, The Netherlands (F.W.D.); Department of Internal Medicine IV,  Saarland University Medical Centre, Homburg, Saarland, Germany (D.F., G.H.H.);  European Renal Association-European Dialysis and Transplant Association (ERA-EDTA)  Registry, Department of Medical Informatics, Academic Medical Center, University of  Amsterdam, Amsterdam, The Netherlands (K.J.J.); CNR, Institute of Clinical  Physiology, Pisa, Italy (L.G., E.P., R.S.); Division of Nephrology, Department of  Medicine, Koc University School of Medicine, Istanbul, Turkey (M.K.); Nephrology,  Dialysis and Transplantation Unit and CNR-IFC Clinical Epidemiology and  Pathophysiology of Renal Diseases and Hypertension, Reggio Calabria, Italy (F.M.,  C.Z.); Division of Nephrology, Ambroise Paré Hospital, Assistance Publique Hôpitaux  de Paris, Boulogne-Billancourt, Paris, France; University of Paris  Ouest-Versailles-Saint-Quentin-en-Yvelines (UVSQ), and Inserm U-1018, Centre de  recherche en épidémiologie et santé des populations (CESP), Equipe 5, Villejuif;  Paris-Sud University (PSU) and University of Paris  Ouest-Versailles-Saint-Quentin-en-Yvelines (UVSQ), F-CRIN-INI-CRCT, Paris, France  (Z.M.); IIS-Fundación Jiménez Díaz, Universidad Autónoma de Madrid, Fundación Renal  Iñigo Alvarez de Toledo, Madrid, Spain (A.O.); Inserm, Centre d&amp;apos;Investigations  Cliniques-Plurithématique 1433, Inserm U1116, Nancy, France (P.R.); CHU Nancy,  Département de Cardiologie, Institut Lorrain du Cœur et des Vaisseaux, Vandoeuvre  lès; From the Department of Medicine and Surgery, University of Milano-Bicocca, Milan,  Italy (G.P., J.E.O.); Department of Cardiovascular, Neural and Metabolic Sciences,  San Luca Hospital, IRCCS Istituto Auxologico Italiano, Milan, Italy (G.P., J.E.O.,  G.B.); Indiana University and VAMC, Indianapolis (R.A.); Clinic of Nephrology, C. I.  Parhon University Hospital, Gr. T. Popa University of Medicine and Pharmacy, Iasi,  Romania (A.C.); Department of Clinical Epidemiology, Leiden University Medical  Center, Leiden, The Netherlands (F.W.D.); Department of Internal Medicine IV,  Saarland University Medical Centre, Homburg, Saarland, Germany (D.F., G.H.H.);  European Renal Association-European Dialysis and Transplant Association (ERA-EDTA)  Registry, Department of Medical Informatics, Academic Medical Center, University of  Amsterdam, Amsterdam, The Netherlands (K.J.J.); CNR, Institute of Clinical  Physiology, Pisa, Italy (L.G., E.P., R.S.); Division of Nephrology, Department of  Medicine, Koc University School of Medicine, Istanbul, Turkey (M.K.); Nephrology,  Dialysis and Transplantation Unit and CNR-IFC Clinical Epidemiology and  Pathophysiology of Renal Diseases and Hypertension, Reggio Calabria, Italy (F.M.,  C.Z.); Division of Nephrology, Ambroise Paré Hospital, Assistance Publique Hôpitaux  de Paris, Boulogne-Billancourt, Paris, France; University of Paris  Ouest-Versailles-Saint-Quentin-en-Yvelines (UVSQ), and Inserm U-1018, Centre de  recherche en épidémiologie et santé des populations (CESP), Equipe 5, Villejuif;  Paris-Sud University (PSU) and University of Paris  Ouest-Versailles-Saint-Quentin-en-Yvelines (UVSQ), F-CRIN-INI-CRCT, Paris, France  (Z.M.); IIS-Fundación Jiménez Díaz, Universidad Autónoma de Madrid, Fundación Renal  Iñigo Alvarez de Toledo, Madrid, Spain (A.O.); Inserm, Centre d&amp;apos;Investigations  Cliniques-Plurithématique 1433, Inserm U1116, Nancy, France (P.R.); CHU Nancy,  Département de Cardiologie, Institut Lorrain du Cœur et des Vaisseaux, Vandoeuvre  lès; From the Department of Medicine and Surgery, University of Milano-Bicocca, Milan,  Italy (G.P., J.E.O.); Department of Cardiovascular, Neural and Metabolic Sciences,  San Luca Hospital, IRCCS Istituto Auxologico Italiano, Milan, Italy (G.P., J.E.O.,  G.B.); Indiana University and VAMC, Indianapolis (R.A.); Clinic of Nephrology, C. I.  Parhon University Hospital, Gr. T. Popa University of Medicine and Pharmacy, Iasi,  Romania (A.C.); Department of Clinical Epidemiology, Leiden University Medical  Center, Leiden, The Netherlands (F.W.D.); Department of Internal Medicine IV,  Saarland University Medical Centre, Homburg, Saarland, Germany (D.F., G.H.H.);  European Renal Association-European Dialysis and Transplant Association (ERA-EDTA)  Registry, Department of Medical Informatics, Academic Medical Center, University of  Amsterdam, Amsterdam, The Netherlands (K.J.J.); CNR, Institute of Clinical  Physiology, Pisa, Italy (L.G., E.P., R.S.); Division of Nephrology, Department of  Medicine, Koc University School of Medicine, Istanbul, Turkey (M.K.); Nephrology,  Dialysis and Transplantation Unit and CNR-IFC Clinical Epidemiology and  Pathophysiology of Renal Diseases and Hypertension, Reggio Calabria, Italy (F.M.,  C.Z.); Division of Nephrology, Ambroise Paré Hospital, Assistance Publique Hôpitaux  de Paris, Boulogne-Billancourt, Paris, France; University of Paris  Ouest-Versailles-Saint-Quentin-en-Yvelines (UVSQ), and Inserm U-1018, Centre de  recherche en épidémiologie et santé des populations (CESP), Equipe 5, Villejuif;  Paris-Sud University (PSU) and University of Paris  Ouest-Versailles-Saint-Quentin-en-Yvelines (UVSQ), F-CRIN-INI-CRCT, Paris, France  (Z.M.); IIS-Fundación Jiménez Díaz, Universidad Autónoma de Madrid, Fundación Renal  Iñigo Alvarez de Toledo, Madrid, Spain (A.O.); Inserm, Centre d&amp;apos;Investigations  Cliniques-Plurithématique 1433, Inserm U1116, Nancy, France (P.R.); CHU Nancy,  Département de Cardiologie, Institut Lorrain du Cœur et des Vaisseaux, Vandoeuvre  lès; From the Department of Medicine and Surgery, University of Milano-Bicocca, Milan,  Italy (G.P., J.E.O.); Department of Cardiovascular, Neural and Metabolic Sciences,  San Luca Hospital, IRCCS Istituto Auxologico Italiano, Milan, Italy (G.P., J.E.O.,  G.B.); Indiana University and VAMC, Indianapolis (R.A.); Clinic of Nephrology, C. I.  Parhon University Hospital, Gr. T. Popa University of Medicine and Pharmacy, Iasi,  Romania (A.C.); Department of Clinical Epidemiology, Leiden University Medical  Center, Leiden, The Netherlands (F.W.D.); Department of Internal Medicine IV,  Saarland University Medical Centre, Homburg, Saarland, Germany (D.F., G.H.H.);  European Renal Association-European Dialysis and Transplant Association (ERA-EDTA)  Registry, Department of Medical Informatics, Academic Medical Center, University of  Amsterdam, Amsterdam, The Netherlands (K.J.J.); CNR, Institute of Clinical  Physiology, Pisa, Italy (L.G., E.P., R.S.); Division of Nephrology, Department of  Medicine, Koc University School of Medicine, Istanbul, Turkey (M.K.); Nephrology,  Dialysis and Transplantation Unit and CNR-IFC Clinical Epidemiology and  Pathophysiology of Renal Diseases and Hypertension, Reggio Calabria, Italy (F.M.,  C.Z.); Division of Nephrology, Ambroise Paré Hospital, Assistance Publique Hôpitaux  de Paris, Boulogne-Billancourt, Paris, France; University of Paris  Ouest-Versailles-Saint-Quentin-en-Yvelines (UVSQ), and Inserm U-1018, Centre de  recherche en épidémiologie et santé des populations (CESP), Equipe 5, Villejuif;  Paris-Sud University (PSU) and University of Paris  Ouest-Versailles-Saint-Quentin-en-Yvelines (UVSQ), F-CRIN-INI-CRCT, Paris, France  (Z.M.); IIS-Fundación Jiménez Díaz, Universidad Autónoma de Madrid, Fundación Renal  Iñigo Alvarez de Toledo, Madrid, Spain (A.O.); Inserm, Centre d&amp;apos;Investigations  Cliniques-Plurithématique 1433, Inserm U1116, Nancy, France (P.R.); CHU Nancy,  Département de Cardiologie, Institut Lorrain du Cœur et des Vaisseaux, Vandoeuvre  lès; From the Department of Medicine and Surgery, University of Milano-Bicocca, Milan,  Italy (G.P., J.E.O.); Department of Cardiovascular, Neural and Metabolic Sciences,  San Luca Hospital, IRCCS Istituto Auxologico Italiano, Milan, Italy (G.P., J.E.O.,  G.B.); Indiana University and VAMC, Indianapolis (R.A.); Clinic of Nephrology, C. I.  Parhon University Hospital, Gr. T. Popa University of Medicine and Pharmacy, Iasi,  Romania (A.C.); Department of Clinical Epidemiology, Leiden University Medical  Center, Leiden, The Netherlands (F.W.D.); Department of Internal Medicine IV,  Saarland University Medical Centre, Homburg, Saarland, Germany (D.F., G.H.H.);  European Renal Association-European Dialysis and Transplant Association (ERA-EDTA)  Registry, Department of Medical Informatics, Academic Medical Center, University of  Amsterdam, Amsterdam, The Netherlands (K.J.J.); CNR, Institute of Clinical  Physiology, Pisa, Italy (L.G., E.P., R.S.); Division of Nephrology, Department of  Medicine, Koc University School of Medicine, Istanbul, Turkey (M.K.); Nephrology,  Dialysis and Transplantation Unit and CNR-IFC Clinical Epidemiology and  Pathophysiology of Renal Diseases and Hypertension, Reggio Calabria, Italy (F.M.,  C.Z.); Division of Nephrology, Ambroise Paré Hospital, Assistance Publique Hôpitaux  de Paris, Boulogne-Billancourt, Paris, France; University of Paris  Ouest-Versailles-Saint-Quentin-en-Yvelines (UVSQ), and Inserm U-1018, Centre de  recherche en épidémiologie et santé des populations (CESP), Equipe 5, Villejuif;  Paris-Sud University (PSU) and University of Paris  Ouest-Versailles-Saint-Quentin-en-Yvelines (UVSQ), F-CRIN-INI-CRCT, Paris, France  (Z.M.); IIS-Fundación Jiménez Díaz, Universidad Autónoma de Madrid, Fundación Renal  Iñigo Alvarez de Toledo, Madrid, Spain (A.O.); Inserm, Centre d&amp;apos;Investigations  Cliniques-Plurithématique 1433, Inserm U1116, Nancy, France (P.R.); CHU Nancy,  Département de Cardiologie, Institut Lorrain du Cœur et des Vaisseaux, Vandoeuvre  lès; From the Department of Medicine and Surgery, University of Milano-Bicocca, Milan,  Italy (G.P., J.E.O.); Department of Cardiovascular, Neural and Metabolic Sciences,  San Luca Hospital, IRCCS Istituto Auxologico Italiano, Milan, Italy (G.P., J.E.O.,  G.B.); Indiana University and VAMC, Indianapolis (R.A.); Clinic of Nephrology, C. I.  Parhon University Hospital, Gr. T. Popa University of Medicine and Pharmacy, Iasi,  Romania (A.C.); Department of Clinical Epidemiology, Leiden University Medical  Center, Leiden, The Netherlands (F.W.D.); Department of Internal Medicine IV,  Saarland University Medical Centre, Homburg, Saarland, Germany (D.F., G.H.H.);  European Renal Association-European Dialysis and Transplant Association (ERA-EDTA)  Registry, Department of Medical Informatics, Academic Medical Center, University of  Amsterdam, Amsterdam, The Netherlands (K.J.J.); CNR, Institute of Clinical  Physiology, Pisa, Italy (L.G., E.P., R.S.); Division of Nephrology, Department of  Medicine, Koc University School of Medicine, Istanbul, Turkey (M.K.); Nephrology,  Dialysis and Transplantation Unit and CNR-IFC Clinical Epidemiology and  Pathophysiology of Renal Diseases and Hypertension, Reggio Calabria, Italy (F.M.,  C.Z.); Division of Nephrology, Ambroise Paré Hospital, Assistance Publique Hôpitaux  de Paris, Boulogne-Billancourt, Paris, France; University of Paris  Ouest-Versailles-Saint-Quentin-en-Yvelines (UVSQ), and Inserm U-1018, Centre de  recherche en épidémiologie et santé des populations (CESP), Equipe 5, Villejuif;  Paris-Sud University (PSU) and University of Paris  Ouest-Versailles-Saint-Quentin-en-Yvelines (UVSQ), F-CRIN-INI-CRCT, Paris, France  (Z.M.); IIS-Fundación Jiménez Díaz, Universidad Autónoma de Madrid, Fundación Renal  Iñigo Alvarez de Toledo, Madrid, Spain (A.O.); Inserm, Centre d&amp;apos;Investigations  Cliniques-Plurithématique 1433, Inserm U1116, Nancy, France (P.R.); CHU Nancy,  Département de Cardiologie, Institut Lorrain du Cœur et des Vaisseaux, Vandoeuvre  lès; From the Department of Medicine and Surgery, University of Milano-Bicocca, Milan,  Italy (G.P., J.E.O.); Department of Cardiovascular, Neural and Metabolic Sciences,  San Luca Hospital, IRCCS Istituto Auxologico Italiano, Milan, Italy (G.P., J.E.O.,  G.B.); Indiana University and VAMC, Indianapolis (R.A.); Clinic of Nephrology, C. I.  Parhon University Hospital, Gr. T. Popa University of Medicine and Pharmacy, Iasi,  Romania (A.C.); Department of Clinical Epidemiology, Leiden University Medical  Center, Leiden, The Netherlands (F.W.D.); Department of Internal Medicine IV,  Saarland University Medical Centre, Homburg, Saarland, Germany (D.F., G.H.H.);  European Renal Association-European Dialysis and Transplant Association (ERA-EDTA)  Registry, Department of Medical Informatics, Academic Medical Center, University of  Amsterdam, Amsterdam, The Netherlands (K.J.J.); CNR, Institute of Clinical  Physiology, Pisa, Italy (L.G., E.P., R.S.); Division of Nephrology, Department of  Medicine, Koc University School of Medicine, Istanbul, Turkey (M.K.); Nephrology,  Dialysis and Transplantation Unit and CNR-IFC Clinical Epidemiology and  Pathophysiology of Renal Diseases and Hypertension, Reggio Calabria, Italy (F.M.,  C.Z.); Division of Nephrology, Ambroise Paré Hospital, Assistance Publique Hôpitaux  de Paris, Boulogne-Billancourt, Paris, France; University of Paris  Ouest-Versailles-Saint-Quentin-en-Yvelines (UVSQ), and Inserm U-1018, Centre de  recherche en épidémiologie et santé des populations (CESP), Equipe 5, Villejuif;  Paris-Sud University (PSU) and University of Paris  Ouest-Versailles-Saint-Quentin-en-Yvelines (UVSQ), F-CRIN-INI-CRCT, Paris, France  (Z.M.); IIS-Fundación Jiménez Díaz, Universidad Autónoma de Madrid, Fundación Renal  Iñigo Alvarez de Toledo, Madrid, Spain (A.O.); Inserm, Centre d&amp;apos;Investigations  Cliniques-Plurithématique 1433, Inserm U1116, Nancy, France (P.R.); CHU Nancy,  Département de Cardiologie, Institut Lorrain du Cœur et des Vaisseaux, Vandoeuvre  lès; From the Department of Medicine and Surgery, University of Milano-Bicocca, Milan,  Italy (G.P., J.E.O.); Department of Cardiovascular, Neural and Metabolic Sciences,  San Luca Hospital, IRCCS Istituto Auxologico Italiano, Milan, Italy (G.P., J.E.O.,  G.B.); Indiana University and VAMC, Indianapolis (R.A.); Clinic of Nephrology, C. I.  Parhon University Hospital, Gr. T. Popa University of Medicine and Pharmacy, Iasi,  Romania (A.C.); Department of Clinical Epidemiology, Leiden University Medical  Center, Leiden, The Netherlands (F.W.D.); Department of Internal Medicine IV,  Saarland University Medical Centre, Homburg, Saarland, Germany (D.F., G.H.H.);  European Renal Association-European Dialysis and Transplant Association (ERA-EDTA)  Registry, Department of Medical Informatics, Academic Medical Center, University of  Amsterdam, Amsterdam, The Netherlands (K.J.J.); CNR, Institute of Clinical  Physiology, Pisa, Italy (L.G., E.P., R.S.); Division of Nephrology, Department of  Medicine, Koc University School of Medicine, Istanbul, Turkey (M.K.); Nephrology,  Dialysis and Transplantation Unit and CNR-IFC Clinical Epidemiology and  Pathophysiology of Renal Diseases and Hypertension, Reggio Calabria, Italy (F.M.,  C.Z.); Division of Nephrology, Ambroise Paré Hospital, Assistance Publique Hôpitaux  de Paris, Boulogne-Billancourt, Paris, France; University of Paris  Ouest-Versailles-Saint-Quentin-en-Yvelines (UVSQ), and Inserm U-1018, Centre de  recherche en épidémiologie et santé des populations (CESP), Equipe 5, Villejuif;  Paris-Sud University (PSU) and University of Paris  Ouest-Versailles-Saint-Quentin-en-Yvelines (UVSQ), F-CRIN-INI-CRCT, Paris, France  (Z.M.); IIS-Fundación Jiménez Díaz, Universidad Autónoma de Madrid, Fundación Renal  Iñigo Alvarez de Toledo, Madrid, Spain (A.O.); Inserm, Centre d&amp;apos;Investigations  Cliniques-Plurithématique 1433, Inserm U1116, Nancy, France (P.R.); CHU Nancy,  Département de Cardiologie, Institut Lorrain du Cœur et des Vaisseaux, Vandoeuvre  lès; From the Department of Medicine and Surgery, University of Milano-Bicocca, Milan,  Italy (G.P., J.E.O.); Department of Cardiovascular, Neural and Metabolic Sciences,  San Luca Hospital, IRCCS Istituto Auxologico Italiano, Milan, Italy (G.P., J.E.O.,  G.B.); Indiana University and VAMC, Indianapolis (R.A.); Clinic of Nephrology, C. I.  Parhon University Hospital, Gr. T. Popa University of Medicine and Pharmacy, Iasi,  Romania (A.C.); Department of Clinical Epidemiology, Leiden University Medical  Center, Leiden, The Netherlands (F.W.D.); Department of Internal Medicine IV,  Saarland University Medical Centre, Homburg, Saarland, Germany (D.F., G.H.H.);  European Renal Association-European Dialysis and Transplant Association (ERA-EDTA)  Registry, Department of Medical Informatics, Academic Medical Center, University of  Amsterdam, Amsterdam, The Netherlands (K.J.J.); CNR, Institute of Clinical  Physiology, Pisa, Italy (L.G., E.P., R.S.); Division of Nephrology, Department of  Medicine, Koc University School of Medicine, Istanbul, Turkey (M.K.); Nephrology,  Dialysis and Transplantation Unit and CNR-IFC Clinical Epidemiology and  Pathophysiology of Renal Diseases and Hypertension, Reggio Calabria, Italy (F.M.,  C.Z.); Division of Nephrology, Ambroise Paré Hospital, Assistance Publique Hôpitaux  de Paris, Boulogne-Billancourt, Paris, France; University of Paris  Ouest-Versailles-Saint-Quentin-en-Yvelines (UVSQ), and Inserm U-1018, Centre de  recherche en épidémiologie et santé des populations (CESP), Equipe 5, Villejuif;  Paris-Sud University (PSU) and University of Paris  Ouest-Versailles-Saint-Quentin-en-Yvelines (UVSQ), F-CRIN-INI-CRCT, Paris, France  (Z.M.); IIS-Fundación Jiménez Díaz, Universidad Autónoma de Madrid, Fundación Renal  Iñigo Alvarez de Toledo, Madrid, Spain (A.O.); Inserm, Centre d&amp;apos;Investigations  Cliniques-Plurithématique 1433, Inserm U1116, Nancy, France (P.R.); CHU Nancy,  Département de Cardiologie, Institut Lorrain du Cœur et des Vaisseaux, Vandoeuvre  lès; From the Department of Medicine and Surgery, University of Milano-Bicocca, Milan,  Italy (G.P., J.E.O.); Department of Cardiovascular, Neural and Metabolic Sciences,  San Luca Hospital, IRCCS Istituto Auxologico Italiano, Milan, Italy (G.P., J.E.O.,  G.B.); Indiana University and VAMC, Indianapolis (R.A.); Clinic of Nephrology, C. I.  Parhon University Hospital, Gr. T. Popa University of Medicine and Pharmacy, Iasi,  Romania (A.C.); Department of Clinical Epidemiology, Leiden University Medical  Center, Leiden, The Netherlands (F.W.D.); Department of Internal Medicine IV,  Saarland University Medical Centre, Homburg, Saarland, Germany (D.F., G.H.H.);  European Renal Association-European Dialysis and Transplant Association (ERA-EDTA)  Registry, Department of Medical Informatics, Academic Medical Center, University of  Amsterdam, Amsterdam, The Netherlands (K.J.J.); CNR, Institute of Clinical  Physiology, Pisa, Italy (L.G., E.P., R.S.); Division of Nephrology, Department of  Medicine, Koc University School of Medicine, Istanbul, Turkey (M.K.); Nephrology,  Dialysis and Transplantation Unit and CNR-IFC Clinical Epidemiology and  Pathophysiology of Renal Diseases and Hypertension, Reggio Calabria, Italy (F.M.,  C.Z.); Division of Nephrology, Ambroise Paré Hospital, Assistance Publique Hôpitaux  de Paris, Boulogne-Billancourt, Paris, France; University of Paris  Ouest-Versailles-Saint-Quentin-en-Yvelines (UVSQ), and Inserm U-1018, Centre de  recherche en épidémiologie et santé des populations (CESP), Equipe 5, Villejuif;  Paris-Sud University (PSU) and University of Paris  Ouest-Versailles-Saint-Quentin-en-Yvelines (UVSQ), F-CRIN-INI-CRCT, Paris, France  (Z.M.); IIS-Fundación Jiménez Díaz, Universidad Autónoma de Madrid, Fundación Renal  Iñigo Alvarez de Toledo, Madrid, Spain (A.O.); Inserm, Centre d&amp;apos;Investigations  Cliniques-Plurithématique 1433, Inserm U1116, Nancy, France (P.R.); CHU Nancy,  Département de Cardiologie, Institut Lorrain du Cœur et des Vaisseaux, Vandoeuvre  lès; From the Department of Medicine and Surgery, University of Milano-Bicocca, Milan,  Italy (G.P., J.E.O.); Department of Cardiovascular, Neural and Metabolic Sciences,  San Luca Hospital, IRCCS Istituto Auxologico Italiano, Milan, Italy (G.P., J.E.O.,  G.B.); Indiana University and VAMC, Indianapolis (R.A.); Clinic of Nephrology, C. I.  Parhon University Hospital, Gr. T. Popa University of Medicine and Pharmacy, Iasi,  Romania (A.C.); Department of Clinical Epidemiology, Leiden University Medical  Center, Leiden, The Netherlands (F.W.D.); Department of Internal Medicine IV,  Saarland University Medical Centre, Homburg, Saarland, Germany (D.F., G.H.H.);  European Renal Association-European Dialysis and Transplant Association (ERA-EDTA)  Registry, Department of Medical Informatics, Academic Medical Center, University of  Amsterdam, Amsterdam, The Netherlands (K.J.J.); CNR, Institute of Clinical  Physiology, Pisa, Italy (L.G., E.P., R.S.); Division of Nephrology, Department of  Medicine, Koc University School of Medicine, Istanbul, Turkey (M.K.); Nephrology,  Dialysis and Transplantation Unit and CNR-IFC Clinical Epidemiology and  Pathophysiology of Renal Diseases and Hypertension, Reggio Calabria, Italy (F.M.,  C.Z.); Division of Nephrology, Ambroise Paré Hospital, Assistance Publique Hôpitaux  de Paris, Boulogne-Billancourt, Paris, France; University of Paris  Ouest-Versailles-Saint-Quentin-en-Yvelines (UVSQ), and Inserm U-1018, Centre de  recherche en épidémiologie et santé des populations (CESP), Equipe 5, Villejuif;  Paris-Sud University (PSU) and University of Paris  Ouest-Versailles-Saint-Quentin-en-Yvelines (UVSQ), F-CRIN-INI-CRCT, Paris, France  (Z.M.); IIS-Fundación Jiménez Díaz, Universidad Autónoma de Madrid, Fundación Renal  Iñigo Alvarez de Toledo, Madrid, Spain (A.O.); Inserm, Centre d&amp;apos;Investigations  Cliniques-Plurithématique 1433, Inserm U1116, Nancy, France (P.R.); CHU Nancy,  Département de Cardiologie, Institut Lorrain du Cœur et des Vaisseaux, Vandoeuvre  lès; From the Department of Medicine and Surgery, University of Milano-Bicocca, Milan,  Italy (G.P., J.E.O.); Department of Cardiovascular, Neural and Metabolic Sciences,  San Luca Hospital, IRCCS Istituto Auxologico Italiano, Milan, Italy (G.P., J.E.O.,  G.B.); Indiana University and VAMC, Indianapolis (R.A.); Clinic of Nephrology, C. I.  Parhon University Hospital, Gr. T. Popa University of Medicine and Pharmacy, Iasi,  Romania (A.C.); Department of Clinical Epidemiology, Leiden University Medical  Center, Leiden, The Netherlands (F.W.D.); Department of Internal Medicine IV,  Saarland University Medical Centre, Homburg, Saarland, Germany (D.F., G.H.H.);  European Renal Association-European Dialysis and Transplant Association (ERA-EDTA)  Registry, Department of Medical Informatics, Academic Medical Center, University of  Amsterdam, Amsterdam, The Netherlands (K.J.J.); CNR, Institute of Clinical  Physiology, Pisa, Italy (L.G., E.P., R.S.); Division of Nephrology, Department of  Medicine, Koc University School of Medicine, Istanbul, Turkey (M.K.); Nephrology,  Dialysis and Transplantation Unit and CNR-IFC Clinical Epidemiology and  Pathophysiology of Renal Diseases and Hypertension, Reggio Calabria, Italy (F.M.,  C.Z.); Division of Nephrology, Ambroise Paré Hospital, Assistance Publique Hôpitaux  de Paris, Boulogne-Billancourt, Paris, France; University of Paris  Ouest-Versailles-Saint-Quentin-en-Yvelines (UVSQ), and Inserm U-1018, Centre de  recherche en épidémiologie et santé des populations (CESP), Equipe 5, Villejuif;  Paris-Sud University (PSU) and University of Paris  Ouest-Versailles-Saint-Quentin-en-Yvelines (UVSQ), F-CRIN-INI-CRCT, Paris, France  (Z.M.); IIS-Fundación Jiménez Díaz, Universidad Autónoma de Madrid, Fundación Renal  Iñigo Alvarez de Toledo, Madrid, Spain (A.O.); Inserm, Centre d&amp;apos;Investigations  Cliniques-Plurithématique 1433, Inserm U1116, Nancy, France (P.R.); CHU Nancy,  Département de Cardiologie, Institut Lorrain du Cœur et des Vaisseaux, Vandoeuvre  lès; From the Department of Medicine and Surgery, University of Milano-Bicocca, Milan,  Italy (G.P., J.E.O.); Department of Cardiovascular, Neural and Metabolic Sciences,  San Luca Hospital, IRCCS Istituto Auxologico Italiano, Milan, Italy (G.P., J.E.O.,  G.B.); Indiana University and VAMC, Indianapolis (R.A.); Clinic of Nephrology, C. I.  Parhon University Hospital, Gr. T. Popa University of Medicine and Pharmacy, Iasi,  Romania (A.C.); Department of Clinical Epidemiology, Leiden University Medical  Center, Leiden, The Netherlands (F.W.D.); Department of Internal Medicine IV,  Saarland University Medical Centre, Homburg, Saarland, Germany (D.F., G.H.H.);  European Renal Association-European Dialysis and Transplant Association (ERA-EDTA)  Registry, Department of Medical Informatics, Academic Medical Center, University of  Amsterdam, Amsterdam, The Netherlands (K.J.J.); CNR, Institute of Clinical  Physiology, Pisa, Italy (L.G., E.P., R.S.); Division of Nephrology, Department of  Medicine, Koc University School of Medicine, Istanbul, Turkey (M.K.); Nephrology,  Dialysis and Transplantation Unit and CNR-IFC Clinical Epidemiology and  Pathophysiology of Renal Diseases and Hypertension, Reggio Calabria, Italy (F.M.,  C.Z.); Division of Nephrology, Ambroise Paré Hospital, Assistance Publique Hôpitaux  de Paris, Boulogne-Billancourt, Paris, France; University of Paris  Ouest-Versailles-Saint-Quentin-en-Yvelines (UVSQ), and Inserm U-1018, Centre de  recherche en épidémiologie et santé des populations (CESP), Equipe 5, Villejuif;  Paris-Sud University (PSU) and University of Paris  Ouest-Versailles-Saint-Quentin-en-Yvelines (UVSQ), F-CRIN-INI-CRCT, Paris, France  (Z.M.); IIS-Fundación Jiménez Díaz, Universidad Autónoma de Madrid, Fundación Renal  Iñigo Alvarez de Toledo, Madrid, Spain (A.O.); Inserm, Centre d&amp;apos;Investigations  Cliniques-Plurithématique 1433, Inserm U1116, Nancy, France (P.R.); CHU Nancy,  Département de Cardiologie, Institut Lorrain du Cœur et des Vaisseaux, Vandoeuvre  lès; From the Department of Medicine and Surgery, University of Milano-Bicocca, Milan,  Italy (G.P., J.E.O.); Department of Cardiovascular, Neural and Metabolic Sciences,  San Luca Hospital, IRCCS Istituto Auxologico Italiano, Milan, Italy (G.P., J.E.O.,  G.B.); Indiana University and VAMC, Indianapolis (R.A.); Clinic of Nephrology, C. I.  Parhon University Hospital, Gr. T. Popa University of Medicine and Pharmacy, Iasi,  Romania (A.C.); Department of Clinical Epidemiology, Leiden University Medical  Center, Leiden, The Netherlands (F.W.D.); Department of Internal Medicine IV,  Saarland University Medical Centre, Homburg, Saarland, Germany (D.F., G.H.H.);  European Renal Association-European Dialysis and Transplant Association (ERA-EDTA)  Registry, Department of Medical Informatics, Academic Medical Center, University of  Amsterdam, Amsterdam, The Netherlands (K.J.J.); CNR, Institute of Clinical  Physiology, Pisa, Italy (L.G., E.P., R.S.); Division of Nephrology, Department of  Medicine, Koc University School of Medicine, Istanbul, Turkey (M.K.); Nephrology,  Dialysis and Transplantation Unit and CNR-IFC Clinical Epidemiology and  Pathophysiology of Renal Diseases and Hypertension, Reggio Calabria, Italy (F.M.,  C.Z.); Division of Nephrology, Ambroise Paré Hospital, Assistance Publique Hôpitaux  de Paris, Boulogne-Billancourt, Paris, France; University of Paris  Ouest-Versailles-Saint-Quentin-en-Yvelines (UVSQ), and Inserm U-1018, Centre de  recherche en épidémiologie et santé des populations (CESP), Equipe 5, Villejuif;  Paris-Sud University (PSU) and University of Paris  Ouest-Versailles-Saint-Quentin-en-Yvelines (UVSQ), F-CRIN-INI-CRCT, Paris, France  (Z.M.); IIS-Fundación Jiménez Díaz, Universidad Autónoma de Madrid, Fundación Renal  Iñigo Alvarez de Toledo, Madrid, Spain (A.O.); Inserm, Centre d&amp;apos;Investigations  Cliniques-Plurithématique 1433, Inserm U1116, Nancy, France (P.R.); CHU Nancy,  Département de Cardiologie, Institut Lorrain du Cœur et des Vaisseaux, Vandoeuvre  lès; From the Department of Medicine and Surgery, University of Milano-Bicocca, Milan,  Italy (G.P., J.E.O.); Department of Cardiovascular, Neural and Metabolic Sciences,  San Luca Hospital, IRCCS Istituto Auxologico Italiano, Milan, Italy (G.P., J.E.O.,  G.B.); Indiana University and VAMC, Indianapolis (R.A.); Clinic of Nephrology, C. I.  Parhon University Hospital, Gr. T. Popa University of Medicine and Pharmacy, Iasi,  Romania (A.C.); Department of Clinical Epidemiology, Leiden University Medical  Center, Leiden, The Netherlands (F.W.D.); Department of Internal Medicine IV,  Saarland University Medical Centre, Homburg, Saarland, Germany (D.F., G.H.H.);  European Renal Association-European Dialysis and Transplant Association (ERA-EDTA)  Registry, Department of Medical Informatics, Academic Medical Center, University of  Amsterdam, Amsterdam, The Netherlands (K.J.J.); CNR, Institute of Clinical  Physiology, Pisa, Italy (L.G., E.P., R.S.); Division of Nephrology, Department of  Medicine, Koc University School of Medicine, Istanbul, Turkey (M.K.); Nephrology,  Dialysis and Transplantation Unit and CNR-IFC Clinical Epidemiology and  Pathophysiology of Renal Diseases and Hypertension, Reggio Calabria, Italy (F.M.,  C.Z.); Division of Nephrology, Ambroise Paré Hospital, Assistance Publique Hôpitaux  de Paris, Boulogne-Billancourt, Paris, France; University of Paris  Ouest-Versailles-Saint-Quentin-en-Yvelines (UVSQ), and Inserm U-1018, Centre de  recherche en épidémiologie et santé des populations (CESP), Equipe 5, Villejuif;  Paris-Sud University (PSU) and University of Paris  Ouest-Versailles-Saint-Quentin-en-Yvelines (UVSQ), F-CRIN-INI-CRCT, Paris, France  (Z.M.); IIS-Fundación Jiménez Díaz, Universidad Autónoma de Madrid, Fundación Renal  Iñigo Alvarez de Toledo, Madrid, Spain (A.O.); Inserm, Centre d&amp;apos;Investigations  Cliniques-Plurithématique 1433, Inserm U1116, Nancy, France (P.R.); CHU Nancy,  Département de Cardiologie, Institut Lorrain du Cœur et des Vaisseaux, Vandoeuvre  lès&lt;/_author_adr&gt;&lt;_collection_scope&gt;SCI;SCIE&lt;/_collection_scope&gt;&lt;_created&gt;63468712&lt;/_created&gt;&lt;_date&gt;2016-06-01&lt;/_date&gt;&lt;_date_display&gt;2016 Jun&lt;/_date_display&gt;&lt;_doi&gt;10.1161/HYPERTENSIONAHA.115.06895&lt;/_doi&gt;&lt;_impact_factor&gt;   7.713&lt;/_impact_factor&gt;&lt;_isbn&gt;1524-4563 (Electronic); 0194-911X (Linking)&lt;/_isbn&gt;&lt;_issue&gt;6&lt;/_issue&gt;&lt;_journal&gt;Hypertension&lt;/_journal&gt;&lt;_language&gt;eng&lt;/_language&gt;&lt;_modified&gt;63468712&lt;/_modified&gt;&lt;_pages&gt;1093-101&lt;/_pages&gt;&lt;_subject_headings&gt;Blood Pressure/drug effects; *Blood Pressure Determination/methods/standards; Blood Pressure Monitoring, Ambulatory/*methods; Europe/epidemiology; Humans; *Hypertension/diagnosis/epidemiology/therapy; International Cooperation; Medication Therapy Management/*organization &amp;amp; administration; Prognosis; Renal Dialysis/*methods; *Renal Insufficiency, Chronic/physiopathology/therapy; Risk Factors&lt;/_subject_headings&gt;&lt;_tertiary_title&gt;Hypertension (Dallas, Tex. : 1979)&lt;/_tertiary_title&gt;&lt;_type_work&gt;Journal Article; Review&lt;/_type_work&gt;&lt;_url&gt;http://www.ncbi.nlm.nih.gov/entrez/query.fcgi?cmd=Retrieve&amp;amp;db=pubmed&amp;amp;dopt=Abstract&amp;amp;list_uids=27141058&amp;amp;query_hl=1&lt;/_url&gt;&lt;_volume&gt;67&lt;/_volume&gt;&lt;/Details&gt;&lt;Extra&gt;&lt;DBUID&gt;{749A27AD-B5E1-4ED6-ABD8-A7B8F16E1CAE}&lt;/DBUID&gt;&lt;/Extra&gt;&lt;/Item&gt;&lt;/References&gt;&lt;/Group&gt;&lt;Group&gt;&lt;References&gt;&lt;Item&gt;&lt;ID&gt;124&lt;/ID&gt;&lt;UID&gt;{067ECEA4-8D7C-430F-8143-E0D37B6F6671}&lt;/UID&gt;&lt;Title&gt;Assessment and Management of Hypertension in Patients on Dialysis&lt;/Title&gt;&lt;Template&gt;Journal Article&lt;/Template&gt;&lt;Star&gt;0&lt;/Star&gt;&lt;Tag&gt;5&lt;/Tag&gt;&lt;Author&gt;Agarwal, R; Flynn, J; Pogue, V; Rahman, M; Reisin, E; Weir, M R&lt;/Author&gt;&lt;Year&gt;2014&lt;/Year&gt;&lt;Details&gt;&lt;_collection_scope&gt;SCI;SCIE&lt;/_collection_scope&gt;&lt;_created&gt;63468592&lt;/_created&gt;&lt;_impact_factor&gt;   9.274&lt;/_impact_factor&gt;&lt;_issue&gt;8&lt;/_issue&gt;&lt;_journal&gt;Journal of the American Society of Nephrology&lt;/_journal&gt;&lt;_modified&gt;63468592&lt;/_modified&gt;&lt;_pages&gt;1630-1646&lt;/_pages&gt;&lt;_volume&gt;25&lt;/_volume&gt;&lt;/Details&gt;&lt;Extra&gt;&lt;DBUID&gt;{749A27AD-B5E1-4ED6-ABD8-A7B8F16E1CAE}&lt;/DBUID&gt;&lt;/Extra&gt;&lt;/Item&gt;&lt;/References&gt;&lt;/Group&gt;&lt;Group&gt;&lt;References&gt;&lt;Item&gt;&lt;ID&gt;133&lt;/ID&gt;&lt;UID&gt;{87A500A7-9CF3-4272-A2AF-ED22924B7EFB}&lt;/UID&gt;&lt;Title&gt;Hypertension in dialysis patients: a consensus document by the European Renal and Cardiovascular Medicine (EURECA-m) working group of the European Renal Association - European Dialysis and Transplant Association (ERA-EDTA) and the Hypertension and the Kidney working group of the European Society of Hypertension (ESH).&lt;/Title&gt;&lt;Template&gt;Journal Article&lt;/Template&gt;&lt;Star&gt;0&lt;/Star&gt;&lt;Tag&gt;0&lt;/Tag&gt;&lt;Author&gt;Sarafidis, Pantelis A; Alexandre, Persu; Rajiv, Agarwal; Michel, Burnier; Peter, De Leeuw; Ferro, Charles J; Jean-Michel, Halimi; Heine, Gunnar H; Michel, Jadoul; Faical, Jarraya&lt;/Author&gt;&lt;Year&gt;0&lt;/Year&gt;&lt;Details&gt;&lt;_created&gt;63468714&lt;/_created&gt;&lt;_issue&gt;4&lt;/_issue&gt;&lt;_journal&gt;Nephrol Dial Transplant&lt;/_journal&gt;&lt;_modified&gt;63468714&lt;/_modified&gt;&lt;_pages&gt;620-640&lt;/_pages&gt;&lt;/Details&gt;&lt;Extra&gt;&lt;DBUID&gt;{749A27AD-B5E1-4ED6-ABD8-A7B8F16E1CAE}&lt;/DBUID&gt;&lt;/Extra&gt;&lt;/Item&gt;&lt;/References&gt;&lt;/Group&gt;&lt;/Citation&gt;_x000a_"/>
    <w:docVar w:name="NE.Ref{4FB87A63-567F-4E4F-A0E6-2EBE6BDA7AB5}" w:val=" ADDIN NE.Ref.{4FB87A63-567F-4E4F-A0E6-2EBE6BDA7AB5}&lt;Citation&gt;&lt;Group&gt;&lt;References&gt;&lt;Item&gt;&lt;ID&gt;48&lt;/ID&gt;&lt;UID&gt;{E26546D5-3A60-4D71-9E36-B0B8712ED6A3}&lt;/UID&gt;&lt;Title&gt;慢性肾脏病高血压诊治:指南和争议&lt;/Title&gt;&lt;Template&gt;Journal Article&lt;/Template&gt;&lt;Star&gt;0&lt;/Star&gt;&lt;Tag&gt;0&lt;/Tag&gt;&lt;Author&gt;蒋潇; 陈楠&lt;/Author&gt;&lt;Year&gt;2014&lt;/Year&gt;&lt;Details&gt;&lt;_author_aff&gt;上海交通大学医学院附属瑞金医院肾脏科;&lt;/_author_aff&gt;&lt;_date&gt;2014-06-01&lt;/_date&gt;&lt;_db_provider&gt;CNKI: 期刊&lt;/_db_provider&gt;&lt;_issue&gt;06&lt;/_issue&gt;&lt;_journal&gt;中国实用内科杂志&lt;/_journal&gt;&lt;_keywords&gt;慢性肾脏病;高血压;指南;心血管疾病&lt;/_keywords&gt;&lt;_pages&gt;572-575&lt;/_pages&gt;&lt;_url&gt;http://kns.cnki.net/KCMS/detail/detail.aspx?FileName=SYNK201406008&amp;amp;DbName=CJFQ2014&lt;/_url&gt;&lt;_volume&gt;34&lt;/_volume&gt;&lt;_created&gt;63405280&lt;/_created&gt;&lt;_modified&gt;63405280&lt;/_modified&gt;&lt;_db_updated&gt;CNKI - Reference&lt;/_db_updated&gt;&lt;_collection_scope&gt;CSCD;PKU&lt;/_collection_scope&gt;&lt;_translated_author&gt;Jiang, Xiao;Chen, Nan&lt;/_translated_author&gt;&lt;/Details&gt;&lt;Extra&gt;&lt;DBUID&gt;{749A27AD-B5E1-4ED6-ABD8-A7B8F16E1CAE}&lt;/DBUID&gt;&lt;/Extra&gt;&lt;/Item&gt;&lt;/References&gt;&lt;/Group&gt;&lt;/Citation&gt;_x000a_"/>
    <w:docVar w:name="NE.Ref{50CCFAE7-2961-4D70-B21E-5DE4CF149033}" w:val=" ADDIN NE.Ref.{50CCFAE7-2961-4D70-B21E-5DE4CF149033}&lt;Citation&gt;&lt;Group&gt;&lt;References&gt;&lt;Item&gt;&lt;ID&gt;171&lt;/ID&gt;&lt;UID&gt;{33ADE6EA-95C3-47BB-8117-E05BFB1D1FD7}&lt;/UID&gt;&lt;Title&gt;Prevalence of chronic kidney disease in China: a cross-sectional survey&lt;/Title&gt;&lt;Template&gt;Journal Article&lt;/Template&gt;&lt;Star&gt;0&lt;/Star&gt;&lt;Tag&gt;0&lt;/Tag&gt;&lt;Author&gt;Zhang, L; Wang, F; Wang, L; Wang, W; Liu, B; Liu, J; Chen, M; He, Q; Liao, Y; Yu, X; Chen, N; Zhang, J E; Hu, Z; Liu, F; Hong, D; Ma, L; Liu, H; Zhou, X; Chen, J; Pan, L; Chen, W; Wang, W; Li, X; Wang, H&lt;/Author&gt;&lt;Year&gt;2012&lt;/Year&gt;&lt;Details&gt;&lt;_accession_num&gt;22386035&lt;/_accession_num&gt;&lt;_author_adr&gt;Peking University Institute of Nephrology, Division of Nephrology, Peking University  First Hospital, Beijing, China.&lt;/_author_adr&gt;&lt;_date_display&gt;2012 Mar 3&lt;/_date_display&gt;&lt;_date&gt;2012-03-03&lt;/_date&gt;&lt;_doi&gt;10.1016/S0140-6736(12)60033-6&lt;/_doi&gt;&lt;_isbn&gt;1474-547X (Electronic); 0140-6736 (Linking)&lt;/_isbn&gt;&lt;_issue&gt;9818&lt;/_issue&gt;&lt;_journal&gt;Lancet&lt;/_journal&gt;&lt;_language&gt;eng&lt;/_language&gt;&lt;_ori_publication&gt;Copyright Â© 2012 Elsevier Ltd. All rights reserved.&lt;/_ori_publication&gt;&lt;_pages&gt;815-22&lt;/_pages&gt;&lt;_subject_headings&gt;Adult; Aged; Albuminuria/etiology; China/epidemiology; Cross-Sectional Studies; Female; *Glomerular Filtration Rate; Health Surveys; Humans; Logistic Models; Male; Middle Aged; Prevalence; Renal Insufficiency, Chronic/complications/diagnosis/*epidemiology/physiopathology; Risk Factors; Surveys and Questionnaires&lt;/_subject_headings&gt;&lt;_tertiary_title&gt;Lancet (London, England)&lt;/_tertiary_title&gt;&lt;_type_work&gt;Journal Article; Research Support, Non-U.S. Gov&amp;apos;t&lt;/_type_work&gt;&lt;_url&gt;http://www.ncbi.nlm.nih.gov/entrez/query.fcgi?cmd=Retrieve&amp;amp;db=pubmed&amp;amp;dopt=Abstract&amp;amp;list_uids=22386035&amp;amp;query_hl=1&lt;/_url&gt;&lt;_volume&gt;379&lt;/_volume&gt;&lt;_created&gt;63760873&lt;/_created&gt;&lt;_modified&gt;63760873&lt;/_modified&gt;&lt;_impact_factor&gt;  60.392&lt;/_impact_factor&gt;&lt;_collection_scope&gt;SCI;SCIE&lt;/_collection_scope&gt;&lt;/Details&gt;&lt;Extra&gt;&lt;DBUID&gt;{749A27AD-B5E1-4ED6-ABD8-A7B8F16E1CAE}&lt;/DBUID&gt;&lt;/Extra&gt;&lt;/Item&gt;&lt;/References&gt;&lt;/Group&gt;&lt;/Citation&gt;_x000a_"/>
    <w:docVar w:name="NE.Ref{5112A2D7-7A8B-4E49-ABD2-67C5F3BDC1A1}" w:val=" ADDIN NE.Ref.{5112A2D7-7A8B-4E49-ABD2-67C5F3BDC1A1}&lt;Citation&gt;&lt;Group&gt;&lt;References&gt;&lt;Item&gt;&lt;ID&gt;46&lt;/ID&gt;&lt;UID&gt;{4144EA78-37FA-45A2-9179-9A05C20CF2E5}&lt;/UID&gt;&lt;Title&gt;Use of ACE inhibitors or angiotensin receptor blockers and survival in patients on peritoneal dialysis*&lt;/Title&gt;&lt;Template&gt;Journal Article&lt;/Template&gt;&lt;Star&gt;0&lt;/Star&gt;&lt;Tag&gt;0&lt;/Tag&gt;&lt;Author&gt;Wei, Fang; Oreopoulos, Dimitrios G; Bargman, Joanne M&lt;/Author&gt;&lt;Year&gt;2008&lt;/Year&gt;&lt;Details&gt;&lt;_collection_scope&gt;SCI;SCIE&lt;/_collection_scope&gt;&lt;_created&gt;63405238&lt;/_created&gt;&lt;_impact_factor&gt;   4.531&lt;/_impact_factor&gt;&lt;_issue&gt;11&lt;/_issue&gt;&lt;_journal&gt;Nephrology Dialysis Transplantation&lt;/_journal&gt;&lt;_modified&gt;63405238&lt;/_modified&gt;&lt;_pages&gt;11&lt;/_pages&gt;&lt;/Details&gt;&lt;Extra&gt;&lt;DBUID&gt;{749A27AD-B5E1-4ED6-ABD8-A7B8F16E1CAE}&lt;/DBUID&gt;&lt;/Extra&gt;&lt;/Item&gt;&lt;/References&gt;&lt;/Group&gt;&lt;Group&gt;&lt;References&gt;&lt;Item&gt;&lt;ID&gt;47&lt;/ID&gt;&lt;UID&gt;{CF8A9397-DFCE-4192-8D11-FA7BD259F0CA}&lt;/UID&gt;&lt;Title&gt;Effects of angiotensin-converting enzyme inhibitors and angiotensin receptor blockers on cardiovascular events and residual renal function in dialysis patients: a meta-analysis of randomised controlled trials&lt;/Title&gt;&lt;Template&gt;Journal Article&lt;/Template&gt;&lt;Star&gt;0&lt;/Star&gt;&lt;Tag&gt;0&lt;/Tag&gt;&lt;Author&gt;Liu, Youxia; Ma, Xinxin; Zheng, Jie; Jia, Junya; Yan, Tiekun&lt;/Author&gt;&lt;Year&gt;2017&lt;/Year&gt;&lt;Details&gt;&lt;_accessed&gt;63405279&lt;/_accessed&gt;&lt;_accession_num&gt;28666408&lt;/_accession_num&gt;&lt;_author_adr&gt;Department of Nephrology, General Hospital of Tianjin Medical University, NO. 154, Anshan road, Heping District, Tianjin, China.; Division of Nephrology, Department of Medicine, The Third Affiliated Hospital of  Sun Yat-sen University, Guangzhou, People&amp;apos;s Republic of China.; Radiology Department, General Hospital of Tianjin Medical University, Tianjin, People&amp;apos;s Republic of China.; Department of Nephrology, General Hospital of Tianjin Medical University, NO. 154, Anshan road, Heping District, Tianjin, China.; Department of Nephrology, General Hospital of Tianjin Medical University, NO. 154, Anshan road, Heping District, Tianjin, China. tiekunyan@163.com.&lt;/_author_adr&gt;&lt;_collection_scope&gt;SCIE&lt;/_collection_scope&gt;&lt;_created&gt;63405250&lt;/_created&gt;&lt;_date&gt;2017-06-30&lt;/_date&gt;&lt;_date_display&gt;2017 Jun 30&lt;/_date_display&gt;&lt;_db_updated&gt;CrossRef&lt;/_db_updated&gt;&lt;_doi&gt;10.1186/s12882-017-0605-7&lt;/_doi&gt;&lt;_impact_factor&gt;   1.913&lt;/_impact_factor&gt;&lt;_isbn&gt;1471-2369&lt;/_isbn&gt;&lt;_issue&gt;1&lt;/_issue&gt;&lt;_journal&gt;BMC Nephrology&lt;/_journal&gt;&lt;_keywords&gt;Angiotensin receptor blockers; Angiotensin-converting enzyme inhibitors; Cardiovascular events; Dialysis; Meta-analysis; Residual renal function&lt;/_keywords&gt;&lt;_language&gt;eng&lt;/_language&gt;&lt;_modified&gt;63405279&lt;/_modified&gt;&lt;_pages&gt;206&lt;/_pages&gt;&lt;_subject_headings&gt;Angiotensin Receptor Antagonists/*therapeutic use; Angiotensin-Converting Enzyme Inhibitors/*therapeutic use; Cardiovascular Diseases/*drug therapy/epidemiology/physiopathology; Humans; Kidney/drug effects/physiology; Randomized Controlled Trials as Topic/*methods; Renal Dialysis/adverse effects/*trends; Renal Insufficiency, Chronic/epidemiology/physiopathology/*therapy; Treatment Outcome&lt;/_subject_headings&gt;&lt;_tertiary_title&gt;BMC Nephrol&lt;/_tertiary_title&gt;&lt;_type_work&gt;Journal Article; Meta-Analysis; Review&lt;/_type_work&gt;&lt;_url&gt;http://bmcnephrol.biomedcentral.com/articles/10.1186/s12882-017-0605-7_x000d__x000a_http://link.springer.com/content/pdf/10.1186/s12882-017-0605-7.pdf&lt;/_url&gt;&lt;_volume&gt;18&lt;/_volume&gt;&lt;/Details&gt;&lt;Extra&gt;&lt;DBUID&gt;{749A27AD-B5E1-4ED6-ABD8-A7B8F16E1CAE}&lt;/DBUID&gt;&lt;/Extra&gt;&lt;/Item&gt;&lt;/References&gt;&lt;/Group&gt;&lt;/Citation&gt;_x000a_"/>
    <w:docVar w:name="NE.Ref{5117C7EE-4162-434C-9548-FB519CC2E8E6}" w:val=" ADDIN NE.Ref.{5117C7EE-4162-434C-9548-FB519CC2E8E6}&lt;Citation&gt;&lt;Group&gt;&lt;References&gt;&lt;Item&gt;&lt;ID&gt;123&lt;/ID&gt;&lt;UID&gt;{B0237203-421F-42DE-B14A-A89B2DE70546}&lt;/UID&gt;&lt;Title&gt;Acute effects of low and high intravenous doses of furosemide on myocardial function  in anuric haemodialysis patients: a tissue Doppler study&lt;/Title&gt;&lt;Template&gt;Journal Article&lt;/Template&gt;&lt;Star&gt;0&lt;/Star&gt;&lt;Tag&gt;0&lt;/Tag&gt;&lt;Author&gt;Hayashi, S Y; Seeberger, A; Lind, B; Gunnes, S; Alvestrand, A; Do, Nascimento MM; Lindholm, B; Brodin, L A&lt;/Author&gt;&lt;Year&gt;2008&lt;/Year&gt;&lt;Details&gt;&lt;_accession_num&gt;18048421&lt;/_accession_num&gt;&lt;_author_adr&gt;Division of Renal Medicine K56, Department of Clinical Science, Intervention and  Technology, Karolinska Institutet, Karolinska University Hospital at Huddinge, 141  86 Stockholm, Sweden.&lt;/_author_adr&gt;&lt;_created&gt;63468590&lt;/_created&gt;&lt;_date&gt;2008-04-01&lt;/_date&gt;&lt;_date_display&gt;2008 Apr&lt;/_date_display&gt;&lt;_doi&gt;10.1093/ndt/gfm805&lt;/_doi&gt;&lt;_impact_factor&gt;   4.531&lt;/_impact_factor&gt;&lt;_isbn&gt;1460-2385 (Electronic); 0931-0509 (Linking)&lt;/_isbn&gt;&lt;_issue&gt;4&lt;/_issue&gt;&lt;_journal&gt;Nephrol Dial Transplant&lt;/_journal&gt;&lt;_language&gt;eng&lt;/_language&gt;&lt;_modified&gt;63468590&lt;/_modified&gt;&lt;_pages&gt;1355-61&lt;/_pages&gt;&lt;_subject_headings&gt;Anuria/complications/*therapy; Diuretics/administration &amp;amp; dosage; Dose-Response Relationship, Drug; Echocardiography, Doppler/*methods; Female; Follow-Up Studies; Furosemide/*administration &amp;amp; dosage; Humans; Injections, Intravenous; Male; Middle Aged; Myocardial Contraction/drug effects/*physiology; Myocardial Infarction/complications/diagnostic imaging/*physiopathology; Pulmonary Edema/etiology/prevention &amp;amp; control; Renal Dialysis/*methods; Stroke Volume/drug effects/physiology; Treatment Outcome; Ventricular Function/drug effects/*physiology&lt;/_subject_headings&gt;&lt;_tertiary_title&gt;Nephrology, dialysis, transplantation : official publication of the European _x000d__x000a_      Dialysis and Transplant Association - European Renal Association&lt;/_tertiary_title&gt;&lt;_type_work&gt;Comparative Study; Journal Article&lt;/_type_work&gt;&lt;_url&gt;http://www.ncbi.nlm.nih.gov/entrez/query.fcgi?cmd=Retrieve&amp;amp;db=pubmed&amp;amp;dopt=Abstract&amp;amp;list_uids=18048421&amp;amp;query_hl=1&lt;/_url&gt;&lt;_volume&gt;23&lt;/_volume&gt;&lt;/Details&gt;&lt;Extra&gt;&lt;DBUID&gt;{749A27AD-B5E1-4ED6-ABD8-A7B8F16E1CAE}&lt;/DBUID&gt;&lt;/Extra&gt;&lt;/Item&gt;&lt;/References&gt;&lt;/Group&gt;&lt;/Citation&gt;_x000a_"/>
    <w:docVar w:name="NE.Ref{51624F74-927D-4FA6-B549-3E1816EF7F0A}" w:val=" ADDIN NE.Ref.{51624F74-927D-4FA6-B549-3E1816EF7F0A}&lt;Citation&gt;&lt;Group&gt;&lt;References&gt;&lt;Item&gt;&lt;ID&gt;81&lt;/ID&gt;&lt;UID&gt;{5C949BE9-AC36-463C-BD1F-3967C2EE873A}&lt;/UID&gt;&lt;Title&gt;Hypertension Control in Adults With CKD in China: Baseline Results From the Chinese  Cohort Study of Chronic Kidney Disease (C-STRIDE)&lt;/Title&gt;&lt;Template&gt;Journal Article&lt;/Template&gt;&lt;Star&gt;0&lt;/Star&gt;&lt;Tag&gt;0&lt;/Tag&gt;&lt;Author&gt;Yan, Z; Wang, Y; Li, S; Wang, J; Zhang, L; Tan, H; Li, S; Yang, L; Pei, H; Zhang, L; Wang, Y; Duan, J; Jiao, S; Zhao, M; Fu, S&lt;/Author&gt;&lt;Year&gt;2018&lt;/Year&gt;&lt;Details&gt;&lt;_accession_num&gt;29304216&lt;/_accession_num&gt;&lt;_author_adr&gt;Renal Division, Department of Medicine, The Second Hospital of Hebei Medical  University.; Renal Division, Department of Medicine, Peking University First Hospital.; Renal Division, Department of Medicine, The Second Hospital of Hebei Medical  University.; Renal Division, Department of Medicine, Peking University First Hospital.; Renal Division, Department of Medicine, Peking University First Hospital.; Renal Division, Department of Medicine, The Second Hospital of Hebei Medical  University.; Renal Division, Department of Medicine, The Second Hospital of Hebei Medical  University.; Renal Division, Department of Medicine, The Second Hospital of Hebei Medical  University.; Renal Division, Department of Medicine, The Second Hospital of Hebei Medical  University.; Renal Division, Department of Medicine, The Second Hospital of Hebei Medical  University.; Renal Division, Department of Medicine, The Second Hospital of Hebei Medical  University.; Renal Division, Department of Medicine, The Second Hospital of Hebei Medical  University.; Renal Division, Department of Medicine, The Second Hospital of Hebei Medical  University.; Renal Division, Department of Medicine, Peking University First Hospital.; Renal Division, Department of Medicine, The Second Hospital of Hebei Medical  University.&lt;/_author_adr&gt;&lt;_date_display&gt;2018 Mar 10&lt;/_date_display&gt;&lt;_date&gt;2018-03-10&lt;/_date&gt;&lt;_doi&gt;10.1093/ajh/hpx222&lt;/_doi&gt;&lt;_isbn&gt;1941-7225 (Electronic); 0895-7061 (Linking)&lt;/_isbn&gt;&lt;_issue&gt;4&lt;/_issue&gt;&lt;_journal&gt;Am J Hypertens&lt;/_journal&gt;&lt;_language&gt;eng&lt;/_language&gt;&lt;_pages&gt;486-494&lt;/_pages&gt;&lt;_subject_headings&gt;Adolescent; Adult; Aged; Antihypertensive Agents/*therapeutic use; *Blood Pressure; China/epidemiology; Clinical Decision-Making; Comorbidity; Cross-Sectional Studies; Drug Prescriptions; Drug Therapy, Combination; Female; Humans; Hypertension/diagnosis/*drug therapy/epidemiology/physiopathology; Male; Middle Aged; *Practice Patterns, Physicians&amp;apos;; Prospective Studies; Renal Insufficiency, Chronic/diagnosis/*epidemiology/physiopathology; Risk Factors; Treatment Outcome; Young Adult&lt;/_subject_headings&gt;&lt;_tertiary_title&gt;American journal of hypertension&lt;/_tertiary_title&gt;&lt;_type_work&gt;Journal Article; Multicenter Study; Research Support, Non-U.S. Gov&amp;apos;t&lt;/_type_work&gt;&lt;_url&gt;http://www.ncbi.nlm.nih.gov/entrez/query.fcgi?cmd=Retrieve&amp;amp;db=pubmed&amp;amp;dopt=Abstract&amp;amp;list_uids=29304216&amp;amp;query_hl=1&lt;/_url&gt;&lt;_volume&gt;31&lt;/_volume&gt;&lt;_created&gt;63426761&lt;/_created&gt;&lt;_modified&gt;63426761&lt;/_modified&gt;&lt;_impact_factor&gt;   2.669&lt;/_impact_factor&gt;&lt;_collection_scope&gt;SCI;SCIE&lt;/_collection_scope&gt;&lt;/Details&gt;&lt;Extra&gt;&lt;DBUID&gt;{749A27AD-B5E1-4ED6-ABD8-A7B8F16E1CAE}&lt;/DBUID&gt;&lt;/Extra&gt;&lt;/Item&gt;&lt;/References&gt;&lt;/Group&gt;&lt;/Citation&gt;_x000a_"/>
    <w:docVar w:name="NE.Ref{5391DD4C-7E05-4A6C-BBC0-5BFC96D30B21}" w:val=" ADDIN NE.Ref.{5391DD4C-7E05-4A6C-BBC0-5BFC96D30B21}&lt;Citation&gt;&lt;Group&gt;&lt;References&gt;&lt;Item&gt;&lt;ID&gt;79&lt;/ID&gt;&lt;UID&gt;{982E46CC-0BD1-4EB1-87D2-A7566C78D957}&lt;/UID&gt;&lt;Title&gt;A Randomized Trial of Intensive versus Standard Blood-Pressure Control&lt;/Title&gt;&lt;Template&gt;Journal Article&lt;/Template&gt;&lt;Star&gt;0&lt;/Star&gt;&lt;Tag&gt;0&lt;/Tag&gt;&lt;Author&gt;SPRINT, Research Group; Wright, Jackson T Jr; Williamson, Jeff D; Whelton, Paul K; Snyder, Joni K; Sink, Kaycee M; Rocco, Michael V; Reboussin, David M; Rahman, Mahboob; Oparil, Suzanne; Lewis, Cora E; Kimmel, Paul L; Johnson, Karen C; Goff, David C Jr; Fine, Lawrence J; Cutler, Jeffrey A; Cushman, William C; Cheung, Alfred K; Ambrosius, Walter T&lt;/Author&gt;&lt;Year&gt;2015&lt;/Year&gt;&lt;Details&gt;&lt;_created&gt;63408243&lt;/_created&gt;&lt;_date&gt;2015-11-26&lt;/_date&gt;&lt;_date_display&gt;2015/11/26&lt;/_date_display&gt;&lt;_doi&gt;10.1056/NEJMoa1511939&lt;/_doi&gt;&lt;_isbn&gt;1533-4406&lt;/_isbn&gt;&lt;_issue&gt;22&lt;/_issue&gt;&lt;_journal&gt;The New England journal of medicine&lt;/_journal&gt;&lt;_keywords&gt;Age Factors; Aged; Antihypertensive Agents/*administration &amp;amp; dosage/adverse effects; *Blood Pressure; Cardiovascular Diseases/prevention &amp;amp; control; Cause of Death; Female; Goals; Humans; Hypertension/*drug therapy; Male; Middle Aged; *Practice Guidelines as Topic; Risk Factors&lt;/_keywords&gt;&lt;_modified&gt;63408243&lt;/_modified&gt;&lt;_pages&gt;2103-2116&lt;/_pages&gt;&lt;_url&gt;https://pubmed.ncbi.nlm.nih.gov/26551272_x000d__x000a_https://www.ncbi.nlm.nih.gov/pmc/articles/PMC4689591/&lt;/_url&gt;&lt;_volume&gt;373&lt;/_volume&gt;&lt;/Details&gt;&lt;Extra&gt;&lt;DBUID&gt;{749A27AD-B5E1-4ED6-ABD8-A7B8F16E1CAE}&lt;/DBUID&gt;&lt;/Extra&gt;&lt;/Item&gt;&lt;/References&gt;&lt;/Group&gt;&lt;/Citation&gt;_x000a_"/>
    <w:docVar w:name="NE.Ref{539370E7-8F04-4D58-8CDE-1EFBBE5F4423}" w:val=" ADDIN NE.Ref.{539370E7-8F04-4D58-8CDE-1EFBBE5F4423}&lt;Citation&gt;&lt;Group&gt;&lt;References&gt;&lt;Item&gt;&lt;ID&gt;131&lt;/ID&gt;&lt;UID&gt;{6AC7C16C-1CF2-4BC3-B463-CEE15AF618EA}&lt;/UID&gt;&lt;Title&gt;The role of ambulatory blood pressure monitoring in chronic and end-stage renal disease.&lt;/Title&gt;&lt;Template&gt;Journal Article&lt;/Template&gt;&lt;Star&gt;0&lt;/Star&gt;&lt;Tag&gt;0&lt;/Tag&gt;&lt;Author&gt;Thompson, A M; Pickering, T G&lt;/Author&gt;&lt;Year&gt;2006&lt;/Year&gt;&lt;Details&gt;&lt;_issue&gt;6&lt;/_issue&gt;&lt;_journal&gt;Kidney International&lt;/_journal&gt;&lt;_pages&gt;1000-1007&lt;/_pages&gt;&lt;_volume&gt;70&lt;/_volume&gt;&lt;_created&gt;63468708&lt;/_created&gt;&lt;_modified&gt;63468708&lt;/_modified&gt;&lt;_impact_factor&gt;   8.945&lt;/_impact_factor&gt;&lt;_collection_scope&gt;SCI;SCIE&lt;/_collection_scope&gt;&lt;/Details&gt;&lt;Extra&gt;&lt;DBUID&gt;{749A27AD-B5E1-4ED6-ABD8-A7B8F16E1CAE}&lt;/DBUID&gt;&lt;/Extra&gt;&lt;/Item&gt;&lt;/References&gt;&lt;/Group&gt;&lt;/Citation&gt;_x000a_"/>
    <w:docVar w:name="NE.Ref{557B9EC0-04E9-406F-AC3C-A430677C2330}" w:val=" ADDIN NE.Ref.{557B9EC0-04E9-406F-AC3C-A430677C2330}&lt;Citation&gt;&lt;Group&gt;&lt;References&gt;&lt;Item&gt;&lt;ID&gt;75&lt;/ID&gt;&lt;UID&gt;{092FD3DA-02D3-44D6-9364-47B93C0A38A3}&lt;/UID&gt;&lt;Title&gt;中国肾性高血压管理指南2016(简版)&lt;/Title&gt;&lt;Template&gt;Journal Article&lt;/Template&gt;&lt;Star&gt;0&lt;/Star&gt;&lt;Tag&gt;0&lt;/Tag&gt;&lt;Author&gt;中国医师协会肾脏内科医师分会; 中国中西医结合学会肾脏疾病专业委员会&lt;/Author&gt;&lt;Year&gt;2017&lt;/Year&gt;&lt;Details&gt;&lt;_issue&gt;20&lt;/_issue&gt;&lt;_journal&gt;中华医学杂志&lt;/_journal&gt;&lt;_created&gt;63405729&lt;/_created&gt;&lt;_modified&gt;63405729&lt;/_modified&gt;&lt;_collection_scope&gt;CSCD;PKU&lt;/_collection_scope&gt;&lt;_translated_author&gt;Zhong, Guoyishixiehuishenzangneikeyishifenhui;Zhong, Guozhongxiyijiehexuehuishenzangjibingzhuanyeweiyuanhui&lt;/_translated_author&gt;&lt;/Details&gt;&lt;Extra&gt;&lt;DBUID&gt;{749A27AD-B5E1-4ED6-ABD8-A7B8F16E1CAE}&lt;/DBUID&gt;&lt;/Extra&gt;&lt;/Item&gt;&lt;/References&gt;&lt;/Group&gt;&lt;/Citation&gt;_x000a_"/>
    <w:docVar w:name="NE.Ref{559D581B-3690-4A41-9327-0AECDA9632D3}" w:val=" ADDIN NE.Ref.{559D581B-3690-4A41-9327-0AECDA9632D3}&lt;Citation&gt;&lt;Group&gt;&lt;References&gt;&lt;Item&gt;&lt;ID&gt;88&lt;/ID&gt;&lt;UID&gt;{FD28CA67-A47A-444B-BE29-AEAC909A3408}&lt;/UID&gt;&lt;Title&gt;The Japanese Society of Hypertension Guidelines for the Management of Hypertension  (JSH 2019)&lt;/Title&gt;&lt;Template&gt;Journal Article&lt;/Template&gt;&lt;Star&gt;0&lt;/Star&gt;&lt;Tag&gt;0&lt;/Tag&gt;&lt;Author&gt;Umemura, S; Arima, H; Arima, S; Asayama, K; Dohi, Y; Hirooka, Y; Horio, T; Hoshide, S; Ikeda, S; Ishimitsu, T; Ito, M; Ito, S; Iwashima, Y; Kai, H; Kamide, K; Kanno, Y; Kashihara, N; Kawano, Y; Kikuchi, T; Kitamura, K; Kitazono, T; Kohara, K; Kudo, M; Kumagai, H; Matsumura, K; Matsuura, H; Miura, K; Mukoyama, M; Nakamura, S; Ohkubo, T; Ohya, Y; Okura, T; Rakugi, H; Saitoh, S; Shibata, H; Shimosawa, T; Suzuki, H; Takahashi, S; Tamura, K; Tomiyama, H; Tsuchihashi, T; Ueda, S; Uehara, Y; Urata, H; Hirawa, N&lt;/Author&gt;&lt;Year&gt;2019&lt;/Year&gt;&lt;Details&gt;&lt;_accession_num&gt;31375757&lt;/_accession_num&gt;&lt;_author_adr&gt;Yokohama Rosai Hospital, Kanagawa, Japan.; Fukuoka University, Fukuoka, Japan.; Kindai University, Osaka, Japan.; Teikyo University, Tokyo, Japan.; Nagoya Gakuin University, Nagoya, Japan.; Takagi Hospital / International University of Health and Welfare, Otawara, Japan.; Ishikiriseiki Hospital, Osaka, Japan.; Jichi Medical University, Shimotsuke, Japan.; International University of Health and Welfare, Otawara, Japan.; Dokkyo Medical University, Mibu, Japan.; Mie University, Mie, Japan.; Tohoku University, Sendai, Japan.; Dokkyo Medical University, Mibu, Japan.; Kurume University Medical Center, Kurume, Japan.; Osaka University, Suita, Japan.; Tokyo Medical University, Tokyo, Japan.; Kawasaki Medical School, Matsushima, Japan.; Teikyo University Fukuoka, Fukuoka, Japan.; Saitama Medical University, Saitama, Japan.; University of Miyazaki, Miyazaki, Japan.; Kyushu University, Fukuoka, Japan.; Ehime University, Ehime, Japan.; Tohoku University, Sendai, Japan.; National Defense Medical College, Saitama, Japan.; Kitakyushu Wakasugi Hospital, Fukuoka, Japan.; Saiseikai Kure Hospital, Hiroshima, Japan.; Shiga University of Medical Science, Shiga, Japan.; Kumamoto University, Kumamoto, Japan.; Kansai University of Welfare Sciences, Osaka, Japan.; Teikyo University, Tokyo, Japan.; University of the Ryukyus, Nishihara, Japan.; Ehime University, Ehime, Japan.; Osaka University, Suita, Japan.; Sapporo Medical University, Sapporo, Japan.; Oita University, Oita, Japan.; International University of Health and Welfare, Otawara, Japan.; Musashino Tokushukai Hospital, Tokyo, Japan.; Itabashi Chuo Medical Center, Tokyo, Japan.; Yokohama City University Graduate School of Medicine, Yokohama, Japan.; Tokyo Medical University, Tokyo, Japan.; Steel Memorial Yawata Hospital, Fukuoka, Japan.; University of the Ryukyus, Nishihara, Japan.; Fukuoka University, Fukuoka, Japan.; Fukuoka University Chikushi Hospital, Fukuoka, Japan.; Yokohama City University Medical Center, Yokohama, Japan. hirawa@yokohama-cu.ac.jp.&lt;/_author_adr&gt;&lt;_collection_scope&gt;SCIE&lt;/_collection_scope&gt;&lt;_created&gt;63426928&lt;/_created&gt;&lt;_date&gt;2019-09-01&lt;/_date&gt;&lt;_date_display&gt;2019 Sep&lt;/_date_display&gt;&lt;_doi&gt;10.1038/s41440-019-0284-9&lt;/_doi&gt;&lt;_impact_factor&gt;   2.941&lt;/_impact_factor&gt;&lt;_isbn&gt;1348-4214 (Electronic); 0916-9636 (Linking)&lt;/_isbn&gt;&lt;_issue&gt;9&lt;/_issue&gt;&lt;_journal&gt;Hypertens Res&lt;/_journal&gt;&lt;_language&gt;eng&lt;/_language&gt;&lt;_modified&gt;63426928&lt;/_modified&gt;&lt;_pages&gt;1235-1481&lt;/_pages&gt;&lt;_tertiary_title&gt;Hypertension research : official journal of the Japanese Society of Hypertension&lt;/_tertiary_title&gt;&lt;_type_work&gt;Journal Article; Review&lt;/_type_work&gt;&lt;_url&gt;http://www.ncbi.nlm.nih.gov/entrez/query.fcgi?cmd=Retrieve&amp;amp;db=pubmed&amp;amp;dopt=Abstract&amp;amp;list_uids=31375757&amp;amp;query_hl=1&lt;/_url&gt;&lt;_volume&gt;42&lt;/_volume&gt;&lt;/Details&gt;&lt;Extra&gt;&lt;DBUID&gt;{749A27AD-B5E1-4ED6-ABD8-A7B8F16E1CAE}&lt;/DBUID&gt;&lt;/Extra&gt;&lt;/Item&gt;&lt;/References&gt;&lt;/Group&gt;&lt;Group&gt;&lt;References&gt;&lt;Item&gt;&lt;ID&gt;89&lt;/ID&gt;&lt;UID&gt;{B39653D8-ABB5-40DD-9295-2D96BC3369A9}&lt;/UID&gt;&lt;Title&gt;2020 International Society of Hypertension global hypertension practice guidelines&lt;/Title&gt;&lt;Template&gt;Journal Article&lt;/Template&gt;&lt;Star&gt;0&lt;/Star&gt;&lt;Tag&gt;0&lt;/Tag&gt;&lt;Author&gt;Unger, T; Borghi, C; Charchar, F; Khan, N A; Poulter, N R; Prabhakaran, D; Ramirez, A; Schlaich, M; Stergiou, G S; Tomaszewski, M; Wainford, R D; Williams, B; Schutte, A E&lt;/Author&gt;&lt;Year&gt;2020&lt;/Year&gt;&lt;Details&gt;&lt;_accession_num&gt;32371787&lt;/_accession_num&gt;&lt;_author_adr&gt;CARIM - School for Cardiovascular Diseases, Maastricht University, Maastricht, The  Netherlands.; Department of Medical and Surgical Sciences, University of Bologna, Bologna, Italy.; Federation University Australia, School of Health and Life Sciences, Ballarat.; Department of Physiology, University of Melbourne, Melbourne, Australia.; Department of Cardiovascular Sciences, University of Leicester, Leicester, UK.; University of British Columbia.; Center for Health Evaluation and Outcomes Sciences, Vancouver, Canada.; Imperial Clinical Trials Unit, Imperial College London, UK.; Public Health Foundation of India.; Centre for Chronic Disease Control, New Delhi, India.; London School of Hygiene and Tropical Medicine, UK.; Hypertension and Metabolic Unit, University Hospital, Favaloro Foundation, Buenos  Aires, Argentina.; Dobney Hypertension Centre, School of Medicine, Royal Perth Hospital Unit,  University of Western Australia, Perth.; Neurovascular Hypertension &amp;amp; Kidney Disease Laboratory, Baker Heart and Diabetes  Institute, Melbourne, Victoria, Australia.; Hypertension Center STRIDE-7, School of Medicine, Third Department of Medicine,  Sotiria Hospital, National and Kapodistrian University of Athens, Athens, Greece.; Division of Cardiovascular Sciences, Faculty of Medicine, Biology and Health,  University of Manchester.; Division of Medicine and Manchester Academic Health Science Centre, Manchester  University NHS Foundation Trust Manchester, Manchester, UK.; Department of Pharmacology and Experimental Therapeutics, Boston University School  of Medicine, Boston.; The Whitaker Cardiovascular Institute, Boston University.; Department of Health Sciences, Boston University Sargent College, Boston,  Massachusetts, USA.; University College London, NHR University College London, Hospitals Biomedical  Research Centre, London, UK.; Faculty of Medicine, University of New South Wales, The George Institute for Global  Health, Sydney, Australia.; Hypertension in Africa Research Team, South African MRC Unit for Hypertension and  Cardiovascular Disease, North-West University, Potchefstroom, South Africa.&lt;/_author_adr&gt;&lt;_collection_scope&gt;SCI;SCIE&lt;/_collection_scope&gt;&lt;_created&gt;63426944&lt;/_created&gt;&lt;_date&gt;2020-06-01&lt;/_date&gt;&lt;_date_display&gt;2020 Jun&lt;/_date_display&gt;&lt;_doi&gt;10.1097/HJH.0000000000002453&lt;/_doi&gt;&lt;_impact_factor&gt;   4.171&lt;/_impact_factor&gt;&lt;_isbn&gt;1473-5598 (Electronic); 0263-6352 (Linking)&lt;/_isbn&gt;&lt;_issue&gt;6&lt;/_issue&gt;&lt;_journal&gt;J Hypertens&lt;/_journal&gt;&lt;_language&gt;eng&lt;/_language&gt;&lt;_modified&gt;63426944&lt;/_modified&gt;&lt;_pages&gt;982-1004&lt;/_pages&gt;&lt;_tertiary_title&gt;Journal of hypertension&lt;/_tertiary_title&gt;&lt;_type_work&gt;Journal Article&lt;/_type_work&gt;&lt;_url&gt;http://www.ncbi.nlm.nih.gov/entrez/query.fcgi?cmd=Retrieve&amp;amp;db=pubmed&amp;amp;dopt=Abstract&amp;amp;list_uids=32371787&amp;amp;query_hl=1&lt;/_url&gt;&lt;_volume&gt;38&lt;/_volume&gt;&lt;/Details&gt;&lt;Extra&gt;&lt;DBUID&gt;{749A27AD-B5E1-4ED6-ABD8-A7B8F16E1CAE}&lt;/DBUID&gt;&lt;/Extra&gt;&lt;/Item&gt;&lt;/References&gt;&lt;/Group&gt;&lt;/Citation&gt;_x000a_"/>
    <w:docVar w:name="NE.Ref{55FECD1B-D39F-48F4-9AA8-4826EB2AF7D1}" w:val=" ADDIN NE.Ref.{55FECD1B-D39F-48F4-9AA8-4826EB2AF7D1}&lt;Citation&gt;&lt;Group&gt;&lt;References&gt;&lt;Item&gt;&lt;ID&gt;34&lt;/ID&gt;&lt;UID&gt;{ADE3F23D-1222-454D-A35E-1F22E183499B}&lt;/UID&gt;&lt;Title&gt;Mineralocorticoid antagonists in chronic kidney disease&lt;/Title&gt;&lt;Template&gt;Journal Article&lt;/Template&gt;&lt;Star&gt;0&lt;/Star&gt;&lt;Tag&gt;0&lt;/Tag&gt;&lt;Author&gt;Dhaybi, Omar Al; Bakris, George&lt;/Author&gt;&lt;Year&gt;2017&lt;/Year&gt;&lt;Details&gt;&lt;_created&gt;63405181&lt;/_created&gt;&lt;_issue&gt;1&lt;/_issue&gt;&lt;_journal&gt;Current Opinion in Nephrology &amp;amp; Hypertension&lt;/_journal&gt;&lt;_modified&gt;63405181&lt;/_modified&gt;&lt;_pages&gt;50&lt;/_pages&gt;&lt;_volume&gt;26&lt;/_volume&gt;&lt;/Details&gt;&lt;Extra&gt;&lt;DBUID&gt;{749A27AD-B5E1-4ED6-ABD8-A7B8F16E1CAE}&lt;/DBUID&gt;&lt;/Extra&gt;&lt;/Item&gt;&lt;/References&gt;&lt;/Group&gt;&lt;/Citation&gt;_x000a_"/>
    <w:docVar w:name="NE.Ref{561F5936-FB05-4E06-9249-440CEA537B19}" w:val=" ADDIN NE.Ref.{561F5936-FB05-4E06-9249-440CEA537B19}&lt;Citation&gt;&lt;Group&gt;&lt;References&gt;&lt;Item&gt;&lt;ID&gt;143&lt;/ID&gt;&lt;UID&gt;{442B9431-8F18-4AD0-9B35-4827E9ABBED2}&lt;/UID&gt;&lt;Title&gt;2018 ESC/ESH Guidelines for the management of arterial hypertension: The Task Force for the management of arterial hypertension of the European Society of Cardiology and the European Society of Hypertension&lt;/Title&gt;&lt;Template&gt;Journal Article&lt;/Template&gt;&lt;Star&gt;0&lt;/Star&gt;&lt;Tag&gt;0&lt;/Tag&gt;&lt;Author&gt;Williams, Bryan; Mancia, Giuseppe; Spiering, Wilko; Agabiti Rosei, Enrico; Azizi, Michel; Burnier, Michel; Clement, Denis L; Coca, Antonio; De Simone, Giovanni; Dominiczak, Anna&lt;/Author&gt;&lt;Year&gt;2018&lt;/Year&gt;&lt;Details&gt;&lt;_collection_scope&gt;SCI;SCIE&lt;/_collection_scope&gt;&lt;_created&gt;63468958&lt;/_created&gt;&lt;_impact_factor&gt;   4.171&lt;/_impact_factor&gt;&lt;_issue&gt;10&lt;/_issue&gt;&lt;_journal&gt;Journal of Hypertension&lt;/_journal&gt;&lt;_modified&gt;63468958&lt;/_modified&gt;&lt;_pages&gt;1953-2041&lt;/_pages&gt;&lt;_volume&gt;36&lt;/_volume&gt;&lt;/Details&gt;&lt;Extra&gt;&lt;DBUID&gt;{749A27AD-B5E1-4ED6-ABD8-A7B8F16E1CAE}&lt;/DBUID&gt;&lt;/Extra&gt;&lt;/Item&gt;&lt;/References&gt;&lt;/Group&gt;&lt;/Citation&gt;_x000a_"/>
    <w:docVar w:name="NE.Ref{5879880A-49D9-4A8B-9635-D063C882407E}" w:val=" ADDIN NE.Ref.{5879880A-49D9-4A8B-9635-D063C882407E}&lt;Citation&gt;&lt;Group&gt;&lt;References&gt;&lt;Item&gt;&lt;ID&gt;52&lt;/ID&gt;&lt;UID&gt;{46600BCB-0255-4C40-9A78-70837B63AC86}&lt;/UID&gt;&lt;Title&gt;中国高血压防治指南2018年修订版&lt;/Title&gt;&lt;Template&gt;Journal Article&lt;/Template&gt;&lt;Star&gt;0&lt;/Star&gt;&lt;Tag&gt;0&lt;/Tag&gt;&lt;Author&gt;中国高血压防治指南修订委员会&lt;/Author&gt;&lt;Year&gt;2019&lt;/Year&gt;&lt;Details&gt;&lt;_accessed&gt;63408433&lt;/_accessed&gt;&lt;_created&gt;63405566&lt;/_created&gt;&lt;_issue&gt;001&lt;/_issue&gt;&lt;_journal&gt;心脑血管病防治&lt;/_journal&gt;&lt;_modified&gt;63408433&lt;/_modified&gt;&lt;_pages&gt;1-44&lt;/_pages&gt;&lt;_volume&gt;019&lt;/_volume&gt;&lt;_translated_author&gt;Zhong, Guogaoxueyafangzhizhinanxiudingweiyuanhui&lt;/_translated_author&gt;&lt;/Details&gt;&lt;Extra&gt;&lt;DBUID&gt;{749A27AD-B5E1-4ED6-ABD8-A7B8F16E1CAE}&lt;/DBUID&gt;&lt;/Extra&gt;&lt;/Item&gt;&lt;/References&gt;&lt;/Group&gt;&lt;/Citation&gt;_x000a_"/>
    <w:docVar w:name="NE.Ref{5A2D1B67-0C9B-45CF-883A-1A95DB6C8C41}" w:val=" ADDIN NE.Ref.{5A2D1B67-0C9B-45CF-883A-1A95DB6C8C41}&lt;Citation&gt;&lt;Group&gt;&lt;References&gt;&lt;Item&gt;&lt;ID&gt;107&lt;/ID&gt;&lt;UID&gt;{4C118E79-8B02-4DEA-BE28-78BE21883C78}&lt;/UID&gt;&lt;Title&gt;Hypertension in hemodialysis patients treated with atenolol or lisinopril: a randomized controlled trial&lt;/Title&gt;&lt;Template&gt;Journal Article&lt;/Template&gt;&lt;Star&gt;0&lt;/Star&gt;&lt;Tag&gt;0&lt;/Tag&gt;&lt;Author&gt;Rajiv, Agarwal; Sinha, Arjun D; Pappas, Maria K; Abraham, Terri N; Tegegne, Getachew G&lt;/Author&gt;&lt;Year&gt;2014&lt;/Year&gt;&lt;Details&gt;&lt;_created&gt;63434386&lt;/_created&gt;&lt;_issue&gt;3&lt;/_issue&gt;&lt;_journal&gt;Nephrology, dialysis, transplantation : official publication of the European Dialysis and Transplant Association - European Renal Association&lt;/_journal&gt;&lt;_modified&gt;63434386&lt;/_modified&gt;&lt;_volume&gt;29&lt;/_volume&gt;&lt;/Details&gt;&lt;Extra&gt;&lt;DBUID&gt;{749A27AD-B5E1-4ED6-ABD8-A7B8F16E1CAE}&lt;/DBUID&gt;&lt;/Extra&gt;&lt;/Item&gt;&lt;/References&gt;&lt;/Group&gt;&lt;/Citation&gt;_x000a_"/>
    <w:docVar w:name="NE.Ref{5CB06600-43CF-415A-BFE6-AA0E0DB73458}" w:val=" ADDIN NE.Ref.{5CB06600-43CF-415A-BFE6-AA0E0DB73458}&lt;Citation&gt;&lt;Group&gt;&lt;References&gt;&lt;Item&gt;&lt;ID&gt;171&lt;/ID&gt;&lt;UID&gt;{33ADE6EA-95C3-47BB-8117-E05BFB1D1FD7}&lt;/UID&gt;&lt;Title&gt;Prevalence of chronic kidney disease in China: a cross-sectional survey&lt;/Title&gt;&lt;Template&gt;Journal Article&lt;/Template&gt;&lt;Star&gt;0&lt;/Star&gt;&lt;Tag&gt;0&lt;/Tag&gt;&lt;Author&gt;Zhang, L; Wang, F; Wang, L; Wang, W; Liu, B; Liu, J; Chen, M; He, Q; Liao, Y; Yu, X; Chen, N; Zhang, J E; Hu, Z; Liu, F; Hong, D; Ma, L; Liu, H; Zhou, X; Chen, J; Pan, L; Chen, W; Wang, W; Li, X; Wang, H&lt;/Author&gt;&lt;Year&gt;2012&lt;/Year&gt;&lt;Details&gt;&lt;_accession_num&gt;22386035&lt;/_accession_num&gt;&lt;_author_adr&gt;Peking University Institute of Nephrology, Division of Nephrology, Peking University  First Hospital, Beijing, China.&lt;/_author_adr&gt;&lt;_collection_scope&gt;SCI;SCIE&lt;/_collection_scope&gt;&lt;_created&gt;63760873&lt;/_created&gt;&lt;_date&gt;2012-03-03&lt;/_date&gt;&lt;_date_display&gt;2012 Mar 3&lt;/_date_display&gt;&lt;_doi&gt;10.1016/S0140-6736(12)60033-6&lt;/_doi&gt;&lt;_impact_factor&gt;  60.392&lt;/_impact_factor&gt;&lt;_isbn&gt;1474-547X (Electronic); 0140-6736 (Linking)&lt;/_isbn&gt;&lt;_issue&gt;9818&lt;/_issue&gt;&lt;_journal&gt;Lancet&lt;/_journal&gt;&lt;_language&gt;eng&lt;/_language&gt;&lt;_modified&gt;63760873&lt;/_modified&gt;&lt;_ori_publication&gt;Copyright Â© 2012 Elsevier Ltd. All rights reserved.&lt;/_ori_publication&gt;&lt;_pages&gt;815-22&lt;/_pages&gt;&lt;_subject_headings&gt;Adult; Aged; Albuminuria/etiology; China/epidemiology; Cross-Sectional Studies; Female; *Glomerular Filtration Rate; Health Surveys; Humans; Logistic Models; Male; Middle Aged; Prevalence; Renal Insufficiency, Chronic/complications/diagnosis/*epidemiology/physiopathology; Risk Factors; Surveys and Questionnaires&lt;/_subject_headings&gt;&lt;_tertiary_title&gt;Lancet (London, England)&lt;/_tertiary_title&gt;&lt;_type_work&gt;Journal Article; Research Support, Non-U.S. Gov&amp;apos;t&lt;/_type_work&gt;&lt;_url&gt;http://www.ncbi.nlm.nih.gov/entrez/query.fcgi?cmd=Retrieve&amp;amp;db=pubmed&amp;amp;dopt=Abstract&amp;amp;list_uids=22386035&amp;amp;query_hl=1&lt;/_url&gt;&lt;_volume&gt;379&lt;/_volume&gt;&lt;/Details&gt;&lt;Extra&gt;&lt;DBUID&gt;{749A27AD-B5E1-4ED6-ABD8-A7B8F16E1CAE}&lt;/DBUID&gt;&lt;/Extra&gt;&lt;/Item&gt;&lt;/References&gt;&lt;/Group&gt;&lt;/Citation&gt;_x000a_"/>
    <w:docVar w:name="NE.Ref{5D1D5AB7-4432-42DA-A0DD-045A2BE81F0E}" w:val=" ADDIN NE.Ref.{5D1D5AB7-4432-42DA-A0DD-045A2BE81F0E}&lt;Citation&gt;&lt;Group&gt;&lt;References&gt;&lt;Item&gt;&lt;ID&gt;54&lt;/ID&gt;&lt;UID&gt;{134A48F7-ECB0-4054-89B9-975B6D3ACACB}&lt;/UID&gt;&lt;Title&gt;Telmisartan, ramipril, or both in patients at high risk for vascular events.&lt;/Title&gt;&lt;Template&gt;Journal Article&lt;/Template&gt;&lt;Star&gt;0&lt;/Star&gt;&lt;Tag&gt;0&lt;/Tag&gt;&lt;Author&gt;Salim; Yusuf; Koon; K; Teo; Janice; Pogue; Leanne; Dyal; Ingrid&lt;/Author&gt;&lt;Year&gt;2008&lt;/Year&gt;&lt;Details&gt;&lt;_collection_scope&gt;SCI;SCIE&lt;/_collection_scope&gt;&lt;_created&gt;63405600&lt;/_created&gt;&lt;_impact_factor&gt;  74.699&lt;/_impact_factor&gt;&lt;_journal&gt;New England Journal of Medicine&lt;/_journal&gt;&lt;_modified&gt;63405600&lt;/_modified&gt;&lt;/Details&gt;&lt;Extra&gt;&lt;DBUID&gt;{749A27AD-B5E1-4ED6-ABD8-A7B8F16E1CAE}&lt;/DBUID&gt;&lt;/Extra&gt;&lt;/Item&gt;&lt;/References&gt;&lt;/Group&gt;&lt;/Citation&gt;_x000a_"/>
    <w:docVar w:name="NE.Ref{5FD8955A-2C49-43C3-BF38-1B7F425861D9}" w:val=" ADDIN NE.Ref.{5FD8955A-2C49-43C3-BF38-1B7F425861D9}&lt;Citation&gt;&lt;Group&gt;&lt;References&gt;&lt;Item&gt;&lt;ID&gt;124&lt;/ID&gt;&lt;UID&gt;{067ECEA4-8D7C-430F-8143-E0D37B6F6671}&lt;/UID&gt;&lt;Title&gt;Assessment and Management of Hypertension in Patients on Dialysis&lt;/Title&gt;&lt;Template&gt;Journal Article&lt;/Template&gt;&lt;Star&gt;0&lt;/Star&gt;&lt;Tag&gt;5&lt;/Tag&gt;&lt;Author&gt;Agarwal, R; Flynn, J; Pogue, V; Rahman, M; Reisin, E; Weir, M R&lt;/Author&gt;&lt;Year&gt;2014&lt;/Year&gt;&lt;Details&gt;&lt;_collection_scope&gt;SCI;SCIE&lt;/_collection_scope&gt;&lt;_created&gt;63468592&lt;/_created&gt;&lt;_impact_factor&gt;   9.274&lt;/_impact_factor&gt;&lt;_issue&gt;8&lt;/_issue&gt;&lt;_journal&gt;Journal of the American Society of Nephrology&lt;/_journal&gt;&lt;_modified&gt;63468592&lt;/_modified&gt;&lt;_pages&gt;1630-1646&lt;/_pages&gt;&lt;_volume&gt;25&lt;/_volume&gt;&lt;/Details&gt;&lt;Extra&gt;&lt;DBUID&gt;{749A27AD-B5E1-4ED6-ABD8-A7B8F16E1CAE}&lt;/DBUID&gt;&lt;/Extra&gt;&lt;/Item&gt;&lt;/References&gt;&lt;/Group&gt;&lt;Group&gt;&lt;References&gt;&lt;Item&gt;&lt;ID&gt;125&lt;/ID&gt;&lt;UID&gt;{FF0C285F-35AA-46E5-A480-4E0829379853}&lt;/UID&gt;&lt;Title&gt;Blood pressure and volume management in dialysis: conclusions from a Kidney Disease:  Improving Global Outcomes (KDIGO) Controversies Conference&lt;/Title&gt;&lt;Template&gt;Journal Article&lt;/Template&gt;&lt;Star&gt;0&lt;/Star&gt;&lt;Tag&gt;0&lt;/Tag&gt;&lt;Author&gt;Flythe, J E; Chang, T I; Gallagher, M P; Lindley, E; Madero, M; Sarafidis, P A; Unruh, M L; Wang, A Y; Weiner, D E; Cheung, M; Jadoul, M; Winkelmayer, W C; Polkinghorne, K R&lt;/Author&gt;&lt;Year&gt;2020&lt;/Year&gt;&lt;Details&gt;&lt;_accessed&gt;63791433&lt;/_accessed&gt;&lt;_accession_num&gt;32278617&lt;/_accession_num&gt;&lt;_author_adr&gt;University of North Carolina Kidney Center, Division of Nephrology and Hypertension,  Department of Medicine, UNC School of Medicine, Chapel Hill, North Carolina, USA;  Cecil G. Sheps Center for Health Services Research, University of North Carolina,  Chapel Hill, North Carolina, USA. Electronic address: jflythe@med.unc.edu.; Division of Nephrology, Stanford University School of Medicine, Palo Alto,  California, USA.; George Institute for Global Health, Renal and Metabolic Division, Camperdown,  Australia; Concord Repatriation General Hospital, Department of Renal Medicine,  Sydney, Australia.; Department of Renal Medicine, Leeds Teaching Hospitals NHS Trust, Leeds, UK.; Department of Medicine, Division of Nephrology, National Institute of Cardiology  &amp;quot;Ignacio Chávez&amp;quot;, Mexico City, Mexico.; Department of Nephrology, Hippokration Hospital, Aristotle University of  Thessaloniki, Thessaloniki, Greece.; Department of Internal Medicine, University of New Mexico School of Medicine,  Albuquerque, New Mexico, USA.; Department of Medicine, Queen Mary Hospital, University of Hong Kong, Hong Kong,  China.; William B. Schwartz Division of Nephrology, Tufts Medical Center, Boston,  Massachusetts, USA.; KDIGO, Brussels, Belgium.; Department of Nephrology, Cliniques universitaires Saint-Luc, Université catholique  de Louvain, Brussels, Belgium.; Selzman Institute for Kidney Health, Section of Nephrology, Department of Medicine,  Baylor College of Medicine, Houston, Texas, USA.; Department of Nephrology, Monash Health, Clayton, Melbourne, Australia; Department  of Medicine, Monash University, Clayton, Melbourne, Australia; Department of  Epidemiology and Preventive Medicine, Monash University, Prahan, Melbourne,  Australia. Electronic address: kevan.polkinghorne@monash.edu.&lt;/_author_adr&gt;&lt;_collection_scope&gt;SCI;SCIE&lt;/_collection_scope&gt;&lt;_created&gt;63468683&lt;/_created&gt;&lt;_date&gt;2020-05-01&lt;/_date&gt;&lt;_date_display&gt;2020 May&lt;/_date_display&gt;&lt;_doi&gt;10.1016/j.kint.2020.01.046&lt;/_doi&gt;&lt;_impact_factor&gt;   8.945&lt;/_impact_factor&gt;&lt;_isbn&gt;1523-1755 (Electronic); 0085-2538 (Print); 0085-2538 (Linking)&lt;/_isbn&gt;&lt;_issue&gt;5&lt;/_issue&gt;&lt;_journal&gt;Kidney Int&lt;/_journal&gt;&lt;_keywords&gt;hemodialysis; patient-reported outcome measures; peritoneal dialysis; quality of life; residual kidney function&lt;/_keywords&gt;&lt;_language&gt;eng&lt;/_language&gt;&lt;_modified&gt;63791433&lt;/_modified&gt;&lt;_ori_publication&gt;Copyright © 2020 International Society of Nephrology. Published by Elsevier Inc. All _x000d__x000a_      rights reserved.&lt;/_ori_publication&gt;&lt;_pages&gt;861-876&lt;/_pages&gt;&lt;_tertiary_title&gt;Kidney international&lt;/_tertiary_title&gt;&lt;_type_work&gt;Practice Guideline&lt;/_type_work&gt;&lt;_url&gt;http://www.ncbi.nlm.nih.gov/entrez/query.fcgi?cmd=Retrieve&amp;amp;db=pubmed&amp;amp;dopt=Abstract&amp;amp;list_uids=32278617&amp;amp;query_hl=1&lt;/_url&gt;&lt;_volume&gt;97&lt;/_volume&gt;&lt;/Details&gt;&lt;Extra&gt;&lt;DBUID&gt;{749A27AD-B5E1-4ED6-ABD8-A7B8F16E1CAE}&lt;/DBUID&gt;&lt;/Extra&gt;&lt;/Item&gt;&lt;/References&gt;&lt;/Group&gt;&lt;/Citation&gt;_x000a_"/>
    <w:docVar w:name="NE.Ref{60A39118-68F2-40E0-8FFF-5721BE7AE277}" w:val=" ADDIN NE.Ref.{60A39118-68F2-40E0-8FFF-5721BE7AE277}&lt;Citation&gt;&lt;Group&gt;&lt;References&gt;&lt;Item&gt;&lt;ID&gt;50&lt;/ID&gt;&lt;UID&gt;{58E9F32A-674A-4CDD-8465-0BDE199E69C8}&lt;/UID&gt;&lt;Title&gt;Community-based study on CKD subjects and the associated risk factors&lt;/Title&gt;&lt;Template&gt;Journal Article&lt;/Template&gt;&lt;Star&gt;0&lt;/Star&gt;&lt;Tag&gt;0&lt;/Tag&gt;&lt;Author&gt;Nan, Chen; Wang, Weiming; Huang, Yanping; Shen, Pingyan; Pei, Daoling; Yu, Haijin; Hao, Shi; Zhang, Qianying; Jing, Xu; Lv, Yilun&lt;/Author&gt;&lt;Year&gt;2009&lt;/Year&gt;&lt;Details&gt;&lt;_issue&gt;7&lt;/_issue&gt;&lt;_journal&gt;Nephrol Dial Transplant&lt;/_journal&gt;&lt;_pages&gt;2117-2123&lt;/_pages&gt;&lt;_created&gt;63405340&lt;/_created&gt;&lt;_modified&gt;63405340&lt;/_modified&gt;&lt;/Details&gt;&lt;Extra&gt;&lt;DBUID&gt;{749A27AD-B5E1-4ED6-ABD8-A7B8F16E1CAE}&lt;/DBUID&gt;&lt;/Extra&gt;&lt;/Item&gt;&lt;/References&gt;&lt;/Group&gt;&lt;/Citation&gt;_x000a_"/>
    <w:docVar w:name="NE.Ref{621A0428-258F-4A3B-A273-0F641DCFD55E}" w:val=" ADDIN NE.Ref.{621A0428-258F-4A3B-A273-0F641DCFD55E}&lt;Citation&gt;&lt;Group&gt;&lt;References&gt;&lt;Item&gt;&lt;ID&gt;112&lt;/ID&gt;&lt;UID&gt;{42A6D6D1-7225-4BBD-A768-77A155B5284F}&lt;/UID&gt;&lt;Title&gt;Do elderly systolic heart failure patients benefit from beta blockers to the same  extent as the non-elderly? Meta-analysis of &amp;gt;12,000 patients in large-scale clinical  trials&lt;/Title&gt;&lt;Template&gt;Journal Article&lt;/Template&gt;&lt;Star&gt;0&lt;/Star&gt;&lt;Tag&gt;0&lt;/Tag&gt;&lt;Author&gt;Dulin, B R; Haas, S J; Abraham, W T; Krum, H&lt;/Author&gt;&lt;Year&gt;2005&lt;/Year&gt;&lt;Details&gt;&lt;_accession_num&gt;15781028&lt;/_accession_num&gt;&lt;_author_adr&gt;NHMRC Centre of Clinical Research Excellence in Therapeutics, Departments of  Epidemiology and Preventive Medicine and Medicine, Monash University, Alfred  Hospital, Melbourne, Australia. brian.dulin@aya.yale.edu&lt;/_author_adr&gt;&lt;_collection_scope&gt;SCI;SCIE&lt;/_collection_scope&gt;&lt;_created&gt;63454242&lt;/_created&gt;&lt;_date&gt;2005-04-01&lt;/_date&gt;&lt;_date_display&gt;2005 Apr 1&lt;/_date_display&gt;&lt;_doi&gt;10.1016/j.amjcard.2004.11.052&lt;/_doi&gt;&lt;_impact_factor&gt;   2.570&lt;/_impact_factor&gt;&lt;_isbn&gt;0002-9149 (Print); 0002-9149 (Linking)&lt;/_isbn&gt;&lt;_issue&gt;7&lt;/_issue&gt;&lt;_journal&gt;Am J Cardiol&lt;/_journal&gt;&lt;_language&gt;eng&lt;/_language&gt;&lt;_modified&gt;63454242&lt;/_modified&gt;&lt;_pages&gt;896-8&lt;/_pages&gt;&lt;_subject_headings&gt;Adrenergic beta-Antagonists/*therapeutic use; Age Factors; Aged; Heart Failure/*drug therapy/mortality; Humans; Middle Aged; Systole; Treatment Outcome&lt;/_subject_headings&gt;&lt;_tertiary_title&gt;The American journal of cardiology&lt;/_tertiary_title&gt;&lt;_type_work&gt;Journal Article; Meta-Analysis&lt;/_type_work&gt;&lt;_url&gt;http://www.ncbi.nlm.nih.gov/entrez/query.fcgi?cmd=Retrieve&amp;amp;db=pubmed&amp;amp;dopt=Abstract&amp;amp;list_uids=15781028&amp;amp;query_hl=1&lt;/_url&gt;&lt;_volume&gt;95&lt;/_volume&gt;&lt;/Details&gt;&lt;Extra&gt;&lt;DBUID&gt;{749A27AD-B5E1-4ED6-ABD8-A7B8F16E1CAE}&lt;/DBUID&gt;&lt;/Extra&gt;&lt;/Item&gt;&lt;/References&gt;&lt;/Group&gt;&lt;/Citation&gt;_x000a_"/>
    <w:docVar w:name="NE.Ref{6273B0AD-CFF0-4C45-9882-CD4F0B90B2E8}" w:val=" ADDIN NE.Ref.{6273B0AD-CFF0-4C45-9882-CD4F0B90B2E8}&lt;Citation&gt;&lt;Group&gt;&lt;References&gt;&lt;Item&gt;&lt;ID&gt;52&lt;/ID&gt;&lt;UID&gt;{46600BCB-0255-4C40-9A78-70837B63AC86}&lt;/UID&gt;&lt;Title&gt;中国高血压防治指南2018年修订版&lt;/Title&gt;&lt;Template&gt;Journal Article&lt;/Template&gt;&lt;Star&gt;0&lt;/Star&gt;&lt;Tag&gt;0&lt;/Tag&gt;&lt;Author&gt;中国高血压防治指南修订委员会&lt;/Author&gt;&lt;Year&gt;2019&lt;/Year&gt;&lt;Details&gt;&lt;_accessed&gt;63408433&lt;/_accessed&gt;&lt;_created&gt;63405566&lt;/_created&gt;&lt;_issue&gt;001&lt;/_issue&gt;&lt;_journal&gt;心脑血管病防治&lt;/_journal&gt;&lt;_modified&gt;63408433&lt;/_modified&gt;&lt;_pages&gt;1-44&lt;/_pages&gt;&lt;_volume&gt;019&lt;/_volume&gt;&lt;_translated_author&gt;Zhong, Guogaoxueyafangzhizhinanxiudingweiyuanhui&lt;/_translated_author&gt;&lt;/Details&gt;&lt;Extra&gt;&lt;DBUID&gt;{749A27AD-B5E1-4ED6-ABD8-A7B8F16E1CAE}&lt;/DBUID&gt;&lt;/Extra&gt;&lt;/Item&gt;&lt;/References&gt;&lt;/Group&gt;&lt;/Citation&gt;_x000a_"/>
    <w:docVar w:name="NE.Ref{6283319A-C97D-4C53-ACA7-614DD4D1D948}" w:val=" ADDIN NE.Ref.{6283319A-C97D-4C53-ACA7-614DD4D1D948}&lt;Citation&gt;&lt;Group&gt;&lt;References&gt;&lt;Item&gt;&lt;ID&gt;141&lt;/ID&gt;&lt;UID&gt;{C1977962-3C27-4B0E-B59D-0990FE5C52BC}&lt;/UID&gt;&lt;Title&gt;Diagnosing hypertension by intradialytic blood pressure recordings.&lt;/Title&gt;&lt;Template&gt;Journal Article&lt;/Template&gt;&lt;Star&gt;0&lt;/Star&gt;&lt;Tag&gt;0&lt;/Tag&gt;&lt;Author&gt;Agarwal, R; Metiku, T; Tegegne, G G; Light, R P; Bunaye, Z; Bekele, D M; Kelley, K&lt;/Author&gt;&lt;Year&gt;2008&lt;/Year&gt;&lt;Details&gt;&lt;_created&gt;63468942&lt;/_created&gt;&lt;_issue&gt;5&lt;/_issue&gt;&lt;_journal&gt;Clinical Journal of the American Society of Nephrology Cjasn&lt;/_journal&gt;&lt;_modified&gt;63469062&lt;/_modified&gt;&lt;_pages&gt;1364&lt;/_pages&gt;&lt;_volume&gt;3&lt;/_volume&gt;&lt;/Details&gt;&lt;Extra&gt;&lt;DBUID&gt;{749A27AD-B5E1-4ED6-ABD8-A7B8F16E1CAE}&lt;/DBUID&gt;&lt;/Extra&gt;&lt;/Item&gt;&lt;/References&gt;&lt;/Group&gt;&lt;/Citation&gt;_x000a_"/>
    <w:docVar w:name="NE.Ref{62E1EDD3-0773-4898-9329-190631E3CAE0}" w:val=" ADDIN NE.Ref.{62E1EDD3-0773-4898-9329-190631E3CAE0}&lt;Citation&gt;&lt;Group&gt;&lt;References&gt;&lt;Item&gt;&lt;ID&gt;51&lt;/ID&gt;&lt;UID&gt;{7C18551B-7F27-42AD-9B3A-307D21EF0BE2}&lt;/UID&gt;&lt;Title&gt;Hypertension Awareness, Treatment, and Control in Adults With CKD: Results From the Chronic Renal Insufficiency Cohort (CRIC) Study&lt;/Title&gt;&lt;Template&gt;Journal Article&lt;/Template&gt;&lt;Star&gt;0&lt;/Star&gt;&lt;Tag&gt;0&lt;/Tag&gt;&lt;Author&gt;Muntner, Paul; Anderson, Amanda; Charleston, Jeanne; Chen, Zhen; Ford, Virginia; Makos, Gail; O&amp;apos;Connor, Andrew; Perumal, Kalyani; Rahman, Mahboob; Steigerwalt, Susan; Teal, Valerie; Townsend, Raymond; Weir, Matthew; Wright, Jackson T; Chronic, Renal Insufficiency Cohort CRIC&lt;/Author&gt;&lt;Year&gt;2010&lt;/Year&gt;&lt;Details&gt;&lt;_accessed&gt;63405349&lt;/_accessed&gt;&lt;_collection_scope&gt;SCI;SCIE&lt;/_collection_scope&gt;&lt;_created&gt;63405349&lt;/_created&gt;&lt;_date&gt;57854880&lt;/_date&gt;&lt;_date_display&gt;2010&lt;/_date_display&gt;&lt;_db_updated&gt;PKU Search&lt;/_db_updated&gt;&lt;_doi&gt;10.1053/j.ajkd.2009.09.014&lt;/_doi&gt;&lt;_impact_factor&gt;   6.618&lt;/_impact_factor&gt;&lt;_isbn&gt;0272-6386&lt;/_isbn&gt;&lt;_issue&gt;3&lt;/_issue&gt;&lt;_journal&gt;American Journal of Kidney Diseases&lt;/_journal&gt;&lt;_keywords&gt;Nephrology; Hypertension; treatment; chronic kidney disease; control; awareness; Humans; Middle Aged; Hypertension - drug therapy; Male; Young Adult; Hypertension - complications; Hypertension - prevention &amp;amp; control; Adult; Female; Renal Insufficiency - complications; Aged; Kidney Diseases - complications; Chronic Disease&lt;/_keywords&gt;&lt;_modified&gt;63405349&lt;/_modified&gt;&lt;_number&gt;1&lt;/_number&gt;&lt;_ori_publication&gt;Elsevier BV&lt;/_ori_publication&gt;&lt;_pages&gt;441-451&lt;/_pages&gt;&lt;_place_published&gt;United States&lt;/_place_published&gt;&lt;_url&gt;http://pku.summon.serialssolutions.com/2.0.0/link/0/eLvHCXMwnV1LT9wwELaAQ9ULhVIopSAfQWwg8SOJe4PAiqeEeAiJi-WNHe0uana12VXVM3-cmTygW0FFkXyIYie27PH4G834G0I42_G9v3QCaEA4OqSIVMci6ZVkkY0tB9Msi0yVQvLuPD67YO1DeTJDWq849CXf7e-Y_r2tiSahlEmsOYBypHg82H8m3OWVn5JFzAMZC-sLMy__YvpQwtjMFADfy-fTdOzkH4dR-9P_jXuBzNegk-5VUrJIZlz-mXw4r93qS-ThCKzRURnLPsjp3i-8IAYasEWvmzD0FjW5pUkV10570Ah5Owp62xt3aXJ68INeuqJ80x4NflJAlbSm3YUK7Ps4LyYlWwVe9YQfdQH2083k8jjZohjL-PsLuWkfXidHXp2dwQMlKZRnuWNZJwOMoXwujXDcGMWsEKlSYN2m1rGwA9ZcGAQ8800qU4YprbkKUpOGYcyXyVw-yN1XQo3MOLOA9WOTikAJUAVGMhcqblQmmFgl283y6GFFwqFL57nkYLzgvGI2TaWxBNi6WcE3tY6aRdbNZVRQn66o93KhA10w7esrFCWUJB8gFDzwVSKfvqzhSgVDNKz9P3tcqUToeXQwSyz2YxjLlHA9NUAO8OmavNctucAZ8hUG4ts7x7JGPlbhEBhU953MjUcTt05mh_eTjXI7PQJv6hu4&lt;/_url&gt;&lt;_volume&gt;55&lt;/_volume&gt;&lt;/Details&gt;&lt;Extra&gt;&lt;DBUID&gt;{749A27AD-B5E1-4ED6-ABD8-A7B8F16E1CAE}&lt;/DBUID&gt;&lt;/Extra&gt;&lt;/Item&gt;&lt;/References&gt;&lt;/Group&gt;&lt;/Citation&gt;_x000a_"/>
    <w:docVar w:name="NE.Ref{6322EBF3-6B6A-4E1D-9209-D8C02BBB9C57}" w:val=" ADDIN NE.Ref.{6322EBF3-6B6A-4E1D-9209-D8C02BBB9C57}&lt;Citation&gt;&lt;Group&gt;&lt;References&gt;&lt;Item&gt;&lt;ID&gt;82&lt;/ID&gt;&lt;UID&gt;{071FFC2E-19E1-4666-BFEF-69307288FC9E}&lt;/UID&gt;&lt;Title&gt;Trends in Chronic Kidney Disease in China.&lt;/Title&gt;&lt;Template&gt;Journal Article&lt;/Template&gt;&lt;Star&gt;0&lt;/Star&gt;&lt;Tag&gt;0&lt;/Tag&gt;&lt;Author&gt;Zhang, Luxia; Long, Jianyan; Jiang, Wenshi; Shi, Ying; He, Xiangxiang; Zhou, Zhiye; Li, Yanwei; Yeung, Roseanne O; Wang, Jinwei; Matsushita, Kunihiro&lt;/Author&gt;&lt;Year&gt;2016&lt;/Year&gt;&lt;Details&gt;&lt;_issue&gt;9&lt;/_issue&gt;&lt;_journal&gt;N Engl J Med&lt;/_journal&gt;&lt;_pages&gt;905-906&lt;/_pages&gt;&lt;_volume&gt;375&lt;/_volume&gt;&lt;_created&gt;63426784&lt;/_created&gt;&lt;_modified&gt;63426784&lt;/_modified&gt;&lt;/Details&gt;&lt;Extra&gt;&lt;DBUID&gt;{749A27AD-B5E1-4ED6-ABD8-A7B8F16E1CAE}&lt;/DBUID&gt;&lt;/Extra&gt;&lt;/Item&gt;&lt;/References&gt;&lt;/Group&gt;&lt;/Citation&gt;_x000a_"/>
    <w:docVar w:name="NE.Ref{654694AA-7427-45B8-96B7-32019865740C}" w:val=" ADDIN NE.Ref.{654694AA-7427-45B8-96B7-32019865740C}&lt;Citation&gt;&lt;Group&gt;&lt;References&gt;&lt;Item&gt;&lt;ID&gt;122&lt;/ID&gt;&lt;UID&gt;{E968CA93-2B70-49E8-AF3E-E43D66866703}&lt;/UID&gt;&lt;Title&gt;Drug therapy for hypertension in hemodialysis patients&lt;/Title&gt;&lt;Template&gt;Journal Article&lt;/Template&gt;&lt;Star&gt;0&lt;/Star&gt;&lt;Tag&gt;0&lt;/Tag&gt;&lt;Author&gt;Hörl, M P; Hörl, W H&lt;/Author&gt;&lt;Year&gt;2004&lt;/Year&gt;&lt;Details&gt;&lt;_accession_num&gt;15250920&lt;/_accession_num&gt;&lt;_author_adr&gt;University Hospital Benjamin Franklin, Free University Berlin, Germany.&lt;/_author_adr&gt;&lt;_created&gt;63468558&lt;/_created&gt;&lt;_date&gt;2004-07-01&lt;/_date&gt;&lt;_date_display&gt;2004 Jul-Aug&lt;/_date_display&gt;&lt;_doi&gt;10.1111/j.0894-0959.2004.17329.x&lt;/_doi&gt;&lt;_impact_factor&gt;   2.164&lt;/_impact_factor&gt;&lt;_isbn&gt;0894-0959 (Print); 0894-0959 (Linking)&lt;/_isbn&gt;&lt;_issue&gt;4&lt;/_issue&gt;&lt;_journal&gt;Semin Dial&lt;/_journal&gt;&lt;_language&gt;eng&lt;/_language&gt;&lt;_modified&gt;63468558&lt;/_modified&gt;&lt;_pages&gt;288-94&lt;/_pages&gt;&lt;_subject_headings&gt;Adrenergic beta-Antagonists/adverse effects/therapeutic use; Angiotensin II; Angiotensin Receptor Antagonists; Angiotensin-Converting Enzyme Inhibitors/adverse effects/therapeutic use; Antihypertensive Agents/adverse effects/therapeutic use; Humans; Hypertension/*drug therapy; *Renal Dialysis&lt;/_subject_headings&gt;&lt;_tertiary_title&gt;Seminars in dialysis&lt;/_tertiary_title&gt;&lt;_type_work&gt;Journal Article; Review&lt;/_type_work&gt;&lt;_url&gt;http://www.ncbi.nlm.nih.gov/entrez/query.fcgi?cmd=Retrieve&amp;amp;db=pubmed&amp;amp;dopt=Abstract&amp;amp;list_uids=15250920&amp;amp;query_hl=1&lt;/_url&gt;&lt;_volume&gt;17&lt;/_volume&gt;&lt;/Details&gt;&lt;Extra&gt;&lt;DBUID&gt;{749A27AD-B5E1-4ED6-ABD8-A7B8F16E1CAE}&lt;/DBUID&gt;&lt;/Extra&gt;&lt;/Item&gt;&lt;/References&gt;&lt;/Group&gt;&lt;/Citation&gt;_x000a_"/>
    <w:docVar w:name="NE.Ref{65AD7F64-A2A0-4975-B32B-2E2F84A3B5E3}" w:val=" ADDIN NE.Ref.{65AD7F64-A2A0-4975-B32B-2E2F84A3B5E3}&lt;Citation&gt;&lt;Group&gt;&lt;References&gt;&lt;Item&gt;&lt;ID&gt;113&lt;/ID&gt;&lt;UID&gt;{44CBC28C-194A-4BBD-A8E9-265C4DF21214}&lt;/UID&gt;&lt;Title&gt;Renoprotective effect of renin-angiotensin-aldosterone system blockade in patients  with predialysis advanced chronic kidney disease, hypertension, and anemia&lt;/Title&gt;&lt;Template&gt;Journal Article&lt;/Template&gt;&lt;Star&gt;0&lt;/Star&gt;&lt;Tag&gt;5&lt;/Tag&gt;&lt;Author&gt;Hsu, T W; Liu, J S; Hung, S C; Kuo, K L; Chang, Y K; Chen, Y C; Hsu, C C; Tarng, D C&lt;/Author&gt;&lt;Year&gt;2014&lt;/Year&gt;&lt;Details&gt;&lt;_accession_num&gt;24343093&lt;/_accession_num&gt;&lt;_author_adr&gt;Division of Nephrology, Department of Internal Medicine, National Yang-Ming  University Hospital, Ilan City, Taiwan.; Division of Geriatrics and Gerontology, Institute of Population Health Sciences,  National Health Research Institutes, Zhunan, Taiwan.; Division of Nephrology, Buddhist Tzu Chi Hospital Taipei Branch, New Taipei, Taiwan.; Division of Nephrology, Buddhist Tzu Chi Hospital Taipei Branch, New Taipei, Taiwan.; Division of Geriatrics and Gerontology, Institute of Population Health Sciences,  National Health Research Institutes, Zhunan, Taiwan.; Department and Institute of Nursing, School of Nursing, National Yang-Ming  University, Taipei, Taiwan.; Division of Geriatrics and Gerontology, Institute of Population Health Sciences,  National Health Research Institutes, Zhunan, Taiwan5Department of Health Services  Administration, China Medical University and Hospital, Taichung, Taiwan.; Division of Nephrology, Department of Medicine, Taipei Veterans General Hospital,  Taipei, Taiwan7Institutes of Physiology and Clinical Medicine, National Yang-Ming  University, Taipei, Taiwan.&lt;/_author_adr&gt;&lt;_date_display&gt;2014 Mar&lt;/_date_display&gt;&lt;_date&gt;2014-03-01&lt;/_date&gt;&lt;_doi&gt;10.1001/jamainternmed.2013.12700&lt;/_doi&gt;&lt;_isbn&gt;2168-6114 (Electronic); 2168-6106 (Linking)&lt;/_isbn&gt;&lt;_issue&gt;3&lt;/_issue&gt;&lt;_journal&gt;JAMA Intern Med&lt;/_journal&gt;&lt;_language&gt;eng&lt;/_language&gt;&lt;_pages&gt;347-54&lt;/_pages&gt;&lt;_subject_headings&gt;Aged; Anemia/complications/*drug therapy; Angiotensin Receptor Antagonists/pharmacology/*therapeutic use; Angiotensin-Converting Enzyme Inhibitors/pharmacology/*therapeutic use; Disease Progression; Female; Humans; Hypertension/complications/*drug therapy; Kidney/*drug effects; Male; Middle Aged; Prospective Studies; Renal Dialysis; Renal Insufficiency, Chronic/complications/*drug therapy/therapy; Renin-Angiotensin System/*drug effects; Risk Factors; Taiwan&lt;/_subject_headings&gt;&lt;_tertiary_title&gt;JAMA internal medicine&lt;/_tertiary_title&gt;&lt;_type_work&gt;Journal Article; Research Support, Non-U.S. Gov&amp;apos;t&lt;/_type_work&gt;&lt;_url&gt;http://www.ncbi.nlm.nih.gov/entrez/query.fcgi?cmd=Retrieve&amp;amp;db=pubmed&amp;amp;dopt=Abstract&amp;amp;list_uids=24343093&amp;amp;query_hl=1&lt;/_url&gt;&lt;_volume&gt;174&lt;/_volume&gt;&lt;_created&gt;63457236&lt;/_created&gt;&lt;_modified&gt;63457418&lt;/_modified&gt;&lt;_impact_factor&gt;  18.652&lt;/_impact_factor&gt;&lt;_collection_scope&gt;SCI;SCIE&lt;/_collection_scope&gt;&lt;/Details&gt;&lt;Extra&gt;&lt;DBUID&gt;{749A27AD-B5E1-4ED6-ABD8-A7B8F16E1CAE}&lt;/DBUID&gt;&lt;/Extra&gt;&lt;/Item&gt;&lt;/References&gt;&lt;/Group&gt;&lt;/Citation&gt;_x000a_"/>
    <w:docVar w:name="NE.Ref{6719F4A7-54C2-408B-A826-ED0508C9F3FB}" w:val=" ADDIN NE.Ref.{6719F4A7-54C2-408B-A826-ED0508C9F3FB}&lt;Citation&gt;&lt;Group&gt;&lt;References&gt;&lt;Item&gt;&lt;ID&gt;184&lt;/ID&gt;&lt;UID&gt;{B50E0A20-8CF9-40A9-AA9C-BE6B657E3747}&lt;/UID&gt;&lt;Title&gt;β -Blocker Dialyzability in Maintenance Hemodialysis Patients: A Randomized Clinical Trial&lt;/Title&gt;&lt;Template&gt;Journal Article&lt;/Template&gt;&lt;Star&gt;0&lt;/Star&gt;&lt;Tag&gt;0&lt;/Tag&gt;&lt;Author&gt;Tieu, A; Velenosi, T J; Kucey, A S; Weir, M A; Urquhart, B L&lt;/Author&gt;&lt;Year&gt;2018&lt;/Year&gt;&lt;Details&gt;&lt;_collection_scope&gt;SCIE&lt;/_collection_scope&gt;&lt;_created&gt;63806040&lt;/_created&gt;&lt;_impact_factor&gt;   6.628&lt;/_impact_factor&gt;&lt;_issue&gt;4&lt;/_issue&gt;&lt;_journal&gt;Clinical Journal of the American Society of Nephrology&lt;/_journal&gt;&lt;_modified&gt;63806040&lt;/_modified&gt;&lt;_pages&gt;CJN.07470717&lt;/_pages&gt;&lt;_volume&gt;13&lt;/_volume&gt;&lt;/Details&gt;&lt;Extra&gt;&lt;DBUID&gt;{749A27AD-B5E1-4ED6-ABD8-A7B8F16E1CAE}&lt;/DBUID&gt;&lt;/Extra&gt;&lt;/Item&gt;&lt;/References&gt;&lt;/Group&gt;&lt;/Citation&gt;_x000a_"/>
    <w:docVar w:name="NE.Ref{6752B006-42F5-4AF1-8D34-95BA975DA66E}" w:val=" ADDIN NE.Ref.{6752B006-42F5-4AF1-8D34-95BA975DA66E}&lt;Citation&gt;&lt;Group&gt;&lt;References&gt;&lt;Item&gt;&lt;ID&gt;105&lt;/ID&gt;&lt;UID&gt;{9F1B909B-8C16-4160-B894-00A1ED222391}&lt;/UID&gt;&lt;Title&gt;Comparison of the effects of an ACE inhibitor and alphabeta blocker on the progression of renal failure with left ventricular hypertrophy: preliminary report.&lt;/Title&gt;&lt;Template&gt;Journal Article&lt;/Template&gt;&lt;Star&gt;0&lt;/Star&gt;&lt;Tag&gt;0&lt;/Tag&gt;&lt;Author&gt;H, Suzuki; K, Moriwaki; Y, Kanno; H, Nakamoto; H, Okada; X M, Chen&lt;/Author&gt;&lt;Year&gt;2001&lt;/Year&gt;&lt;Details&gt;&lt;_created&gt;63434380&lt;/_created&gt;&lt;_db_provider&gt;北京万方数据股份有限公司&lt;/_db_provider&gt;&lt;_issue&gt;2&lt;/_issue&gt;&lt;_journal&gt;Hypertension research : official journal of the Japanese Society of Hypertension&lt;/_journal&gt;&lt;_modified&gt;63434380&lt;/_modified&gt;&lt;_volume&gt;24&lt;/_volume&gt;&lt;/Details&gt;&lt;Extra&gt;&lt;DBUID&gt;{749A27AD-B5E1-4ED6-ABD8-A7B8F16E1CAE}&lt;/DBUID&gt;&lt;/Extra&gt;&lt;/Item&gt;&lt;/References&gt;&lt;/Group&gt;&lt;/Citation&gt;_x000a_"/>
    <w:docVar w:name="NE.Ref{6832A592-1D74-46AE-8DED-3F9DC81223F8}" w:val=" ADDIN NE.Ref.{6832A592-1D74-46AE-8DED-3F9DC81223F8}&lt;Citation&gt;&lt;Group&gt;&lt;References&gt;&lt;Item&gt;&lt;ID&gt;89&lt;/ID&gt;&lt;UID&gt;{B39653D8-ABB5-40DD-9295-2D96BC3369A9}&lt;/UID&gt;&lt;Title&gt;2020 International Society of Hypertension global hypertension practice guidelines&lt;/Title&gt;&lt;Template&gt;Journal Article&lt;/Template&gt;&lt;Star&gt;0&lt;/Star&gt;&lt;Tag&gt;0&lt;/Tag&gt;&lt;Author&gt;Unger, T; Borghi, C; Charchar, F; Khan, N A; Poulter, N R; Prabhakaran, D; Ramirez, A; Schlaich, M; Stergiou, G S; Tomaszewski, M; Wainford, R D; Williams, B; Schutte, A E&lt;/Author&gt;&lt;Year&gt;2020&lt;/Year&gt;&lt;Details&gt;&lt;_accession_num&gt;32371787&lt;/_accession_num&gt;&lt;_author_adr&gt;CARIM - School for Cardiovascular Diseases, Maastricht University, Maastricht, The  Netherlands.; Department of Medical and Surgical Sciences, University of Bologna, Bologna, Italy.; Federation University Australia, School of Health and Life Sciences, Ballarat.; Department of Physiology, University of Melbourne, Melbourne, Australia.; Department of Cardiovascular Sciences, University of Leicester, Leicester, UK.; University of British Columbia.; Center for Health Evaluation and Outcomes Sciences, Vancouver, Canada.; Imperial Clinical Trials Unit, Imperial College London, UK.; Public Health Foundation of India.; Centre for Chronic Disease Control, New Delhi, India.; London School of Hygiene and Tropical Medicine, UK.; Hypertension and Metabolic Unit, University Hospital, Favaloro Foundation, Buenos  Aires, Argentina.; Dobney Hypertension Centre, School of Medicine, Royal Perth Hospital Unit,  University of Western Australia, Perth.; Neurovascular Hypertension &amp;amp; Kidney Disease Laboratory, Baker Heart and Diabetes  Institute, Melbourne, Victoria, Australia.; Hypertension Center STRIDE-7, School of Medicine, Third Department of Medicine,  Sotiria Hospital, National and Kapodistrian University of Athens, Athens, Greece.; Division of Cardiovascular Sciences, Faculty of Medicine, Biology and Health,  University of Manchester.; Division of Medicine and Manchester Academic Health Science Centre, Manchester  University NHS Foundation Trust Manchester, Manchester, UK.; Department of Pharmacology and Experimental Therapeutics, Boston University School  of Medicine, Boston.; The Whitaker Cardiovascular Institute, Boston University.; Department of Health Sciences, Boston University Sargent College, Boston,  Massachusetts, USA.; University College London, NHR University College London, Hospitals Biomedical  Research Centre, London, UK.; Faculty of Medicine, University of New South Wales, The George Institute for Global  Health, Sydney, Australia.; Hypertension in Africa Research Team, South African MRC Unit for Hypertension and  Cardiovascular Disease, North-West University, Potchefstroom, South Africa.&lt;/_author_adr&gt;&lt;_date_display&gt;2020 Jun&lt;/_date_display&gt;&lt;_date&gt;2020-06-01&lt;/_date&gt;&lt;_doi&gt;10.1097/HJH.0000000000002453&lt;/_doi&gt;&lt;_isbn&gt;1473-5598 (Electronic); 0263-6352 (Linking)&lt;/_isbn&gt;&lt;_issue&gt;6&lt;/_issue&gt;&lt;_journal&gt;J Hypertens&lt;/_journal&gt;&lt;_language&gt;eng&lt;/_language&gt;&lt;_pages&gt;982-1004&lt;/_pages&gt;&lt;_tertiary_title&gt;Journal of hypertension&lt;/_tertiary_title&gt;&lt;_type_work&gt;Journal Article&lt;/_type_work&gt;&lt;_url&gt;http://www.ncbi.nlm.nih.gov/entrez/query.fcgi?cmd=Retrieve&amp;amp;db=pubmed&amp;amp;dopt=Abstract&amp;amp;list_uids=32371787&amp;amp;query_hl=1&lt;/_url&gt;&lt;_volume&gt;38&lt;/_volume&gt;&lt;_created&gt;63426944&lt;/_created&gt;&lt;_modified&gt;63426944&lt;/_modified&gt;&lt;_impact_factor&gt;   4.171&lt;/_impact_factor&gt;&lt;_collection_scope&gt;SCI;SCIE&lt;/_collection_scope&gt;&lt;/Details&gt;&lt;Extra&gt;&lt;DBUID&gt;{749A27AD-B5E1-4ED6-ABD8-A7B8F16E1CAE}&lt;/DBUID&gt;&lt;/Extra&gt;&lt;/Item&gt;&lt;/References&gt;&lt;/Group&gt;&lt;/Citation&gt;_x000a_"/>
    <w:docVar w:name="NE.Ref{68EC422F-4EE7-49EB-B1CA-661C6C64240C}" w:val=" ADDIN NE.Ref.{68EC422F-4EE7-49EB-B1CA-661C6C64240C}&lt;Citation&gt;&lt;Group&gt;&lt;References&gt;&lt;Item&gt;&lt;ID&gt;118&lt;/ID&gt;&lt;UID&gt;{02DB0F82-CD7A-4BC0-81C0-823830988679}&lt;/UID&gt;&lt;Title&gt;Blood pressure in chronic kidney disease stage 5D-report from a Kidney Disease:  Improving Global Outcomes controversies conference&lt;/Title&gt;&lt;Template&gt;Journal Article&lt;/Template&gt;&lt;Star&gt;0&lt;/Star&gt;&lt;Tag&gt;0&lt;/Tag&gt;&lt;Author&gt;Levin, N W; Kotanko, P; Eckardt, K U; Kasiske, B L; Chazot, C; Cheung, A K; Redon, J; Wheeler, D C; Zoccali, C; London, G M&lt;/Author&gt;&lt;Year&gt;2010&lt;/Year&gt;&lt;Details&gt;&lt;_accession_num&gt;20016467&lt;/_accession_num&gt;&lt;_author_adr&gt;Renal Research Institute, New York 10128, USA. nlevin@rriny.com&lt;/_author_adr&gt;&lt;_collection_scope&gt;SCI;SCIE&lt;/_collection_scope&gt;&lt;_created&gt;63467632&lt;/_created&gt;&lt;_date&gt;2010-02-01&lt;/_date&gt;&lt;_date_display&gt;2010 Feb&lt;/_date_display&gt;&lt;_doi&gt;10.1038/ki.2009.469&lt;/_doi&gt;&lt;_impact_factor&gt;   8.945&lt;/_impact_factor&gt;&lt;_isbn&gt;1523-1755 (Electronic); 0085-2538 (Linking)&lt;/_isbn&gt;&lt;_issue&gt;4&lt;/_issue&gt;&lt;_journal&gt;Kidney Int&lt;/_journal&gt;&lt;_language&gt;eng&lt;/_language&gt;&lt;_modified&gt;63467632&lt;/_modified&gt;&lt;_pages&gt;273-84&lt;/_pages&gt;&lt;_subject_headings&gt;*Blood Pressure; Chronic Disease; Humans; Hypertension/*complications/therapy; Kidney Diseases/*complications/*physiopathology&lt;/_subject_headings&gt;&lt;_tertiary_title&gt;Kidney international&lt;/_tertiary_title&gt;&lt;_type_work&gt;Congress; Research Support, Non-U.S. Gov&amp;apos;t&lt;/_type_work&gt;&lt;_url&gt;http://www.ncbi.nlm.nih.gov/entrez/query.fcgi?cmd=Retrieve&amp;amp;db=pubmed&amp;amp;dopt=Abstract&amp;amp;list_uids=20016467&amp;amp;query_hl=1&lt;/_url&gt;&lt;_volume&gt;77&lt;/_volume&gt;&lt;/Details&gt;&lt;Extra&gt;&lt;DBUID&gt;{749A27AD-B5E1-4ED6-ABD8-A7B8F16E1CAE}&lt;/DBUID&gt;&lt;/Extra&gt;&lt;/Item&gt;&lt;/References&gt;&lt;/Group&gt;&lt;/Citation&gt;_x000a_"/>
    <w:docVar w:name="NE.Ref{6B047E10-5371-4231-AB25-7294076FDDDA}" w:val=" ADDIN NE.Ref.{6B047E10-5371-4231-AB25-7294076FDDDA}&lt;Citation&gt;&lt;Group&gt;&lt;References&gt;&lt;Item&gt;&lt;ID&gt;165&lt;/ID&gt;&lt;UID&gt;{5984CFD0-1363-4E99-92FE-F6B406D4A231}&lt;/UID&gt;&lt;Title&gt;The Safety of Eplerenone in Hemodialysis Patients: A Noninferiority Randomized Controlled Trial&lt;/Title&gt;&lt;Template&gt;Journal Article&lt;/Template&gt;&lt;Star&gt;0&lt;/Star&gt;&lt;Tag&gt;0&lt;/Tag&gt;&lt;Author&gt;Walsh, Michael; Manns, Braden; Garg, Amit X; Bueti, Joe; Rabbat, Christian; Smyth, Andrew; Tyrwhitt, Jessica; Bosch, Jackie; Gao, Peggy; Devereaux, P J&lt;/Author&gt;&lt;Year&gt;2015&lt;/Year&gt;&lt;Details&gt;&lt;_issue&gt;9&lt;/_issue&gt;&lt;_journal&gt;Clinical Journal of the American Society of Nephrology&lt;/_journal&gt;&lt;_pages&gt;1602&lt;/_pages&gt;&lt;_volume&gt;10&lt;/_volume&gt;&lt;_created&gt;63659015&lt;/_created&gt;&lt;_modified&gt;63659015&lt;/_modified&gt;&lt;_impact_factor&gt;   6.628&lt;/_impact_factor&gt;&lt;_collection_scope&gt;SCIE&lt;/_collection_scope&gt;&lt;/Details&gt;&lt;Extra&gt;&lt;DBUID&gt;{749A27AD-B5E1-4ED6-ABD8-A7B8F16E1CAE}&lt;/DBUID&gt;&lt;/Extra&gt;&lt;/Item&gt;&lt;/References&gt;&lt;/Group&gt;&lt;/Citation&gt;_x000a_"/>
    <w:docVar w:name="NE.Ref{6B8DD0CE-083E-4279-866A-ED66DAEDEC95}" w:val=" ADDIN NE.Ref.{6B8DD0CE-083E-4279-866A-ED66DAEDEC95}&lt;Citation&gt;&lt;Group&gt;&lt;References&gt;&lt;Item&gt;&lt;ID&gt;177&lt;/ID&gt;&lt;UID&gt;{782A59E2-FBCA-4FBE-874A-C2E409DC0FB7}&lt;/UID&gt;&lt;Title&gt;Safety and efficacy of LCZ696, a first-in-class angiotensin receptor neprilysin inhibitor, in Japanese patients with hypertension and renal dysfunction&lt;/Title&gt;&lt;Template&gt;Journal Article&lt;/Template&gt;&lt;Star&gt;0&lt;/Star&gt;&lt;Tag&gt;0&lt;/Tag&gt;&lt;Author&gt;Ito, S; Satoh, M; Tamaki, Y; Gotou, H; Charney, A; Okino, N; Akahori, M; Zhang, J&lt;/Author&gt;&lt;Year&gt;2015&lt;/Year&gt;&lt;Details&gt;&lt;_created&gt;63805563&lt;/_created&gt;&lt;_issue&gt;4&lt;/_issue&gt;&lt;_journal&gt;Hypertension Research Official Journal of the Japanese Society of Hypertension&lt;/_journal&gt;&lt;_modified&gt;63805563&lt;/_modified&gt;&lt;_pages&gt;269-275&lt;/_pages&gt;&lt;_volume&gt;38&lt;/_volume&gt;&lt;/Details&gt;&lt;Extra&gt;&lt;DBUID&gt;{749A27AD-B5E1-4ED6-ABD8-A7B8F16E1CAE}&lt;/DBUID&gt;&lt;/Extra&gt;&lt;/Item&gt;&lt;/References&gt;&lt;/Group&gt;&lt;Group&gt;&lt;References&gt;&lt;Item&gt;&lt;ID&gt;178&lt;/ID&gt;&lt;UID&gt;{F5869B30-8223-424B-BE9A-3B3D76E03F27}&lt;/UID&gt;&lt;Title&gt;After having changed the treatment of heart failure with reduced ejection fraction: What are the latest evidences with sacubitril valsartan?&lt;/Title&gt;&lt;Template&gt;Journal Article&lt;/Template&gt;&lt;Star&gt;0&lt;/Star&gt;&lt;Tag&gt;0&lt;/Tag&gt;&lt;Author&gt;Kaplinsky, E&lt;/Author&gt;&lt;Year&gt;2019&lt;/Year&gt;&lt;Details&gt;&lt;_collection_scope&gt;SCIE;CSCD&lt;/_collection_scope&gt;&lt;_created&gt;63805564&lt;/_created&gt;&lt;_impact_factor&gt;   2.491&lt;/_impact_factor&gt;&lt;_issue&gt;2&lt;/_issue&gt;&lt;_journal&gt;Journal of Geriatric Cardiology&lt;/_journal&gt;&lt;_modified&gt;63805564&lt;/_modified&gt;&lt;_pages&gt;151-155&lt;/_pages&gt;&lt;_volume&gt;16&lt;/_volume&gt;&lt;/Details&gt;&lt;Extra&gt;&lt;DBUID&gt;{749A27AD-B5E1-4ED6-ABD8-A7B8F16E1CAE}&lt;/DBUID&gt;&lt;/Extra&gt;&lt;/Item&gt;&lt;/References&gt;&lt;/Group&gt;&lt;Group&gt;&lt;References&gt;&lt;Item&gt;&lt;ID&gt;179&lt;/ID&gt;&lt;UID&gt;{B004ED32-DBE1-48BC-A8EB-DB4E09EF6EA7}&lt;/UID&gt;&lt;Title&gt;Effect of neprilysin inhibition on renal function in patients with type 2 diabetes and chronic heart failure who are receiving target doses of inhibitors of the renin-angiotensin system: a secondary analysis of the PARADIGM-HF trial&lt;/Title&gt;&lt;Template&gt;Journal Article&lt;/Template&gt;&lt;Star&gt;0&lt;/Star&gt;&lt;Tag&gt;0&lt;/Tag&gt;&lt;Author&gt;Packer, M; Claggett, B; Lefkowitz, M P; Mcmurray, Jjv; Rouleau, J L; Solomon, S D; Zile, M R&lt;/Author&gt;&lt;Year&gt;2018&lt;/Year&gt;&lt;Details&gt;&lt;_created&gt;63805572&lt;/_created&gt;&lt;_journal&gt;Lancet Diabetes Endocrinol&lt;/_journal&gt;&lt;_modified&gt;63805572&lt;/_modified&gt;&lt;_pages&gt;S2213858718301001&lt;/_pages&gt;&lt;/Details&gt;&lt;Extra&gt;&lt;DBUID&gt;{749A27AD-B5E1-4ED6-ABD8-A7B8F16E1CAE}&lt;/DBUID&gt;&lt;/Extra&gt;&lt;/Item&gt;&lt;/References&gt;&lt;/Group&gt;&lt;/Citation&gt;_x000a_"/>
    <w:docVar w:name="NE.Ref{6F2C1063-88D4-4C2D-B776-8A53A63FB762}" w:val=" ADDIN NE.Ref.{6F2C1063-88D4-4C2D-B776-8A53A63FB762}&lt;Citation&gt;&lt;Group&gt;&lt;References&gt;&lt;Item&gt;&lt;ID&gt;118&lt;/ID&gt;&lt;UID&gt;{02DB0F82-CD7A-4BC0-81C0-823830988679}&lt;/UID&gt;&lt;Title&gt;Blood pressure in chronic kidney disease stage 5D-report from a Kidney Disease:  Improving Global Outcomes controversies conference&lt;/Title&gt;&lt;Template&gt;Journal Article&lt;/Template&gt;&lt;Star&gt;0&lt;/Star&gt;&lt;Tag&gt;0&lt;/Tag&gt;&lt;Author&gt;Levin, N W; Kotanko, P; Eckardt, K U; Kasiske, B L; Chazot, C; Cheung, A K; Redon, J; Wheeler, D C; Zoccali, C; London, G M&lt;/Author&gt;&lt;Year&gt;2010&lt;/Year&gt;&lt;Details&gt;&lt;_accession_num&gt;20016467&lt;/_accession_num&gt;&lt;_author_adr&gt;Renal Research Institute, New York 10128, USA. nlevin@rriny.com&lt;/_author_adr&gt;&lt;_date_display&gt;2010 Feb&lt;/_date_display&gt;&lt;_date&gt;2010-02-01&lt;/_date&gt;&lt;_doi&gt;10.1038/ki.2009.469&lt;/_doi&gt;&lt;_isbn&gt;1523-1755 (Electronic); 0085-2538 (Linking)&lt;/_isbn&gt;&lt;_issue&gt;4&lt;/_issue&gt;&lt;_journal&gt;Kidney Int&lt;/_journal&gt;&lt;_language&gt;eng&lt;/_language&gt;&lt;_pages&gt;273-84&lt;/_pages&gt;&lt;_subject_headings&gt;*Blood Pressure; Chronic Disease; Humans; Hypertension/*complications/therapy; Kidney Diseases/*complications/*physiopathology&lt;/_subject_headings&gt;&lt;_tertiary_title&gt;Kidney international&lt;/_tertiary_title&gt;&lt;_type_work&gt;Congress; Research Support, Non-U.S. Gov&amp;apos;t&lt;/_type_work&gt;&lt;_url&gt;http://www.ncbi.nlm.nih.gov/entrez/query.fcgi?cmd=Retrieve&amp;amp;db=pubmed&amp;amp;dopt=Abstract&amp;amp;list_uids=20016467&amp;amp;query_hl=1&lt;/_url&gt;&lt;_volume&gt;77&lt;/_volume&gt;&lt;_created&gt;63467632&lt;/_created&gt;&lt;_modified&gt;63467632&lt;/_modified&gt;&lt;_impact_factor&gt;   8.945&lt;/_impact_factor&gt;&lt;_collection_scope&gt;SCI;SCIE&lt;/_collection_scope&gt;&lt;/Details&gt;&lt;Extra&gt;&lt;DBUID&gt;{749A27AD-B5E1-4ED6-ABD8-A7B8F16E1CAE}&lt;/DBUID&gt;&lt;/Extra&gt;&lt;/Item&gt;&lt;/References&gt;&lt;/Group&gt;&lt;/Citation&gt;_x000a_"/>
    <w:docVar w:name="NE.Ref{7014D465-8C8F-4C60-9F04-656F26727A85}" w:val=" ADDIN NE.Ref.{7014D465-8C8F-4C60-9F04-656F26727A85}&lt;Citation&gt;&lt;Group&gt;&lt;References&gt;&lt;Item&gt;&lt;ID&gt;113&lt;/ID&gt;&lt;UID&gt;{44CBC28C-194A-4BBD-A8E9-265C4DF21214}&lt;/UID&gt;&lt;Title&gt;Renoprotective effect of renin-angiotensin-aldosterone system blockade in patients  with predialysis advanced chronic kidney disease, hypertension, and anemia&lt;/Title&gt;&lt;Template&gt;Journal Article&lt;/Template&gt;&lt;Star&gt;0&lt;/Star&gt;&lt;Tag&gt;5&lt;/Tag&gt;&lt;Author&gt;Hsu, T W; Liu, J S; Hung, S C; Kuo, K L; Chang, Y K; Chen, Y C; Hsu, C C; Tarng, D C&lt;/Author&gt;&lt;Year&gt;2014&lt;/Year&gt;&lt;Details&gt;&lt;_accession_num&gt;24343093&lt;/_accession_num&gt;&lt;_author_adr&gt;Division of Nephrology, Department of Internal Medicine, National Yang-Ming  University Hospital, Ilan City, Taiwan.; Division of Geriatrics and Gerontology, Institute of Population Health Sciences,  National Health Research Institutes, Zhunan, Taiwan.; Division of Nephrology, Buddhist Tzu Chi Hospital Taipei Branch, New Taipei, Taiwan.; Division of Nephrology, Buddhist Tzu Chi Hospital Taipei Branch, New Taipei, Taiwan.; Division of Geriatrics and Gerontology, Institute of Population Health Sciences,  National Health Research Institutes, Zhunan, Taiwan.; Department and Institute of Nursing, School of Nursing, National Yang-Ming  University, Taipei, Taiwan.; Division of Geriatrics and Gerontology, Institute of Population Health Sciences,  National Health Research Institutes, Zhunan, Taiwan5Department of Health Services  Administration, China Medical University and Hospital, Taichung, Taiwan.; Division of Nephrology, Department of Medicine, Taipei Veterans General Hospital,  Taipei, Taiwan7Institutes of Physiology and Clinical Medicine, National Yang-Ming  University, Taipei, Taiwan.&lt;/_author_adr&gt;&lt;_date_display&gt;2014 Mar&lt;/_date_display&gt;&lt;_date&gt;2014-03-01&lt;/_date&gt;&lt;_doi&gt;10.1001/jamainternmed.2013.12700&lt;/_doi&gt;&lt;_isbn&gt;2168-6114 (Electronic); 2168-6106 (Linking)&lt;/_isbn&gt;&lt;_issue&gt;3&lt;/_issue&gt;&lt;_journal&gt;JAMA Intern Med&lt;/_journal&gt;&lt;_language&gt;eng&lt;/_language&gt;&lt;_pages&gt;347-54&lt;/_pages&gt;&lt;_subject_headings&gt;Aged; Anemia/complications/*drug therapy; Angiotensin Receptor Antagonists/pharmacology/*therapeutic use; Angiotensin-Converting Enzyme Inhibitors/pharmacology/*therapeutic use; Disease Progression; Female; Humans; Hypertension/complications/*drug therapy; Kidney/*drug effects; Male; Middle Aged; Prospective Studies; Renal Dialysis; Renal Insufficiency, Chronic/complications/*drug therapy/therapy; Renin-Angiotensin System/*drug effects; Risk Factors; Taiwan&lt;/_subject_headings&gt;&lt;_tertiary_title&gt;JAMA internal medicine&lt;/_tertiary_title&gt;&lt;_type_work&gt;Journal Article; Research Support, Non-U.S. Gov&amp;apos;t&lt;/_type_work&gt;&lt;_url&gt;http://www.ncbi.nlm.nih.gov/entrez/query.fcgi?cmd=Retrieve&amp;amp;db=pubmed&amp;amp;dopt=Abstract&amp;amp;list_uids=24343093&amp;amp;query_hl=1&lt;/_url&gt;&lt;_volume&gt;174&lt;/_volume&gt;&lt;_created&gt;63457236&lt;/_created&gt;&lt;_modified&gt;63457418&lt;/_modified&gt;&lt;_impact_factor&gt;  18.652&lt;/_impact_factor&gt;&lt;_collection_scope&gt;SCI;SCIE&lt;/_collection_scope&gt;&lt;/Details&gt;&lt;Extra&gt;&lt;DBUID&gt;{749A27AD-B5E1-4ED6-ABD8-A7B8F16E1CAE}&lt;/DBUID&gt;&lt;/Extra&gt;&lt;/Item&gt;&lt;/References&gt;&lt;/Group&gt;&lt;/Citation&gt;_x000a_"/>
    <w:docVar w:name="NE.Ref{71AA3F09-2233-4E21-B04E-91DF2D94E118}" w:val=" ADDIN NE.Ref.{71AA3F09-2233-4E21-B04E-91DF2D94E118}&lt;Citation&gt;&lt;Group&gt;&lt;References&gt;&lt;Item&gt;&lt;ID&gt;161&lt;/ID&gt;&lt;UID&gt;{C09BFD29-C17B-4FD3-9B48-9D1A4CCC5379}&lt;/UID&gt;&lt;Title&gt; KDIGO clinical practice guideline on the management of blood pressure in chronic kidney disease（public review draft）&lt;/Title&gt;&lt;Template&gt;Journal Article&lt;/Template&gt;&lt;Star&gt;0&lt;/Star&gt;&lt;Tag&gt;0&lt;/Tag&gt;&lt;Author/&gt;&lt;Year&gt;2020&lt;/Year&gt;&lt;Details&gt;&lt;_created&gt;63495977&lt;/_created&gt;&lt;_modified&gt;63495991&lt;/_modified&gt;&lt;/Details&gt;&lt;Extra&gt;&lt;DBUID&gt;{749A27AD-B5E1-4ED6-ABD8-A7B8F16E1CAE}&lt;/DBUID&gt;&lt;/Extra&gt;&lt;/Item&gt;&lt;/References&gt;&lt;/Group&gt;&lt;/Citation&gt;_x000a_"/>
    <w:docVar w:name="NE.Ref{7559441D-6667-464D-952C-D3F971F83E8E}" w:val=" ADDIN NE.Ref.{7559441D-6667-464D-952C-D3F971F83E8E}&lt;Citation&gt;&lt;Group&gt;&lt;References&gt;&lt;Item&gt;&lt;ID&gt;52&lt;/ID&gt;&lt;UID&gt;{46600BCB-0255-4C40-9A78-70837B63AC86}&lt;/UID&gt;&lt;Title&gt;中国高血压防治指南2018年修订版&lt;/Title&gt;&lt;Template&gt;Journal Article&lt;/Template&gt;&lt;Star&gt;0&lt;/Star&gt;&lt;Tag&gt;0&lt;/Tag&gt;&lt;Author&gt;中国高血压防治指南修订委员会&lt;/Author&gt;&lt;Year&gt;2019&lt;/Year&gt;&lt;Details&gt;&lt;_accessed&gt;63408433&lt;/_accessed&gt;&lt;_created&gt;63405566&lt;/_created&gt;&lt;_issue&gt;001&lt;/_issue&gt;&lt;_journal&gt;心脑血管病防治&lt;/_journal&gt;&lt;_modified&gt;63408433&lt;/_modified&gt;&lt;_pages&gt;1-44&lt;/_pages&gt;&lt;_volume&gt;019&lt;/_volume&gt;&lt;_translated_author&gt;Zhong, Guogaoxueyafangzhizhinanxiudingweiyuanhui&lt;/_translated_author&gt;&lt;/Details&gt;&lt;Extra&gt;&lt;DBUID&gt;{749A27AD-B5E1-4ED6-ABD8-A7B8F16E1CAE}&lt;/DBUID&gt;&lt;/Extra&gt;&lt;/Item&gt;&lt;/References&gt;&lt;/Group&gt;&lt;/Citation&gt;_x000a_"/>
    <w:docVar w:name="NE.Ref{7617611A-B559-4168-B260-417893F67FE0}" w:val=" ADDIN NE.Ref.{7617611A-B559-4168-B260-417893F67FE0}&lt;Citation&gt;&lt;Group&gt;&lt;References&gt;&lt;Item&gt;&lt;ID&gt;164&lt;/ID&gt;&lt;UID&gt;{5326AD5E-440E-4BCA-A486-36DB5A0FD7A5}&lt;/UID&gt;&lt;Title&gt;Safety evaluation and cardiovascular effect of additional use of spironolactone in hemodialysis patients: a meta-analysis&lt;/Title&gt;&lt;Template&gt;Journal Article&lt;/Template&gt;&lt;Star&gt;0&lt;/Star&gt;&lt;Tag&gt;0&lt;/Tag&gt;&lt;Author&gt;Zeng, Qing; Zhou, Xiao Duo; Xu, Ge&lt;/Author&gt;&lt;Year&gt;2019&lt;/Year&gt;&lt;Details&gt;&lt;_journal&gt;Drug Design, Development and Therapy&lt;/_journal&gt;&lt;_pages&gt;1487-1499&lt;/_pages&gt;&lt;_volume&gt;Volume 13&lt;/_volume&gt;&lt;_created&gt;63659011&lt;/_created&gt;&lt;_modified&gt;63659011&lt;/_modified&gt;&lt;/Details&gt;&lt;Extra&gt;&lt;DBUID&gt;{749A27AD-B5E1-4ED6-ABD8-A7B8F16E1CAE}&lt;/DBUID&gt;&lt;/Extra&gt;&lt;/Item&gt;&lt;/References&gt;&lt;/Group&gt;&lt;Group&gt;&lt;References&gt;&lt;Item&gt;&lt;ID&gt;165&lt;/ID&gt;&lt;UID&gt;{5984CFD0-1363-4E99-92FE-F6B406D4A231}&lt;/UID&gt;&lt;Title&gt;The Safety of Eplerenone in Hemodialysis Patients: A Noninferiority Randomized Controlled Trial&lt;/Title&gt;&lt;Template&gt;Journal Article&lt;/Template&gt;&lt;Star&gt;0&lt;/Star&gt;&lt;Tag&gt;0&lt;/Tag&gt;&lt;Author&gt;Walsh, Michael; Manns, Braden; Garg, Amit X; Bueti, Joe; Rabbat, Christian; Smyth, Andrew; Tyrwhitt, Jessica; Bosch, Jackie; Gao, Peggy; Devereaux, P J&lt;/Author&gt;&lt;Year&gt;2015&lt;/Year&gt;&lt;Details&gt;&lt;_issue&gt;9&lt;/_issue&gt;&lt;_journal&gt;Clinical Journal of the American Society of Nephrology&lt;/_journal&gt;&lt;_pages&gt;1602&lt;/_pages&gt;&lt;_volume&gt;10&lt;/_volume&gt;&lt;_created&gt;63659015&lt;/_created&gt;&lt;_modified&gt;63659015&lt;/_modified&gt;&lt;_impact_factor&gt;   6.628&lt;/_impact_factor&gt;&lt;_collection_scope&gt;SCIE&lt;/_collection_scope&gt;&lt;/Details&gt;&lt;Extra&gt;&lt;DBUID&gt;{749A27AD-B5E1-4ED6-ABD8-A7B8F16E1CAE}&lt;/DBUID&gt;&lt;/Extra&gt;&lt;/Item&gt;&lt;/References&gt;&lt;/Group&gt;&lt;/Citation&gt;_x000a_"/>
    <w:docVar w:name="NE.Ref{76E60FA6-DCD4-43CA-BB80-513B5277B59C}" w:val=" ADDIN NE.Ref.{76E60FA6-DCD4-43CA-BB80-513B5277B59C}&lt;Citation&gt;&lt;Group&gt;&lt;References&gt;&lt;Item&gt;&lt;ID&gt;173&lt;/ID&gt;&lt;UID&gt;{7D4A2A31-AA36-412A-A344-9A0B89EE8196}&lt;/UID&gt;&lt;Title&gt;Pharmacokinetics and pharmacodynamics of LCZ696, a novel dual-acting angiotensin receptor-neprilysin inhibitor (ARNi).&lt;/Title&gt;&lt;Template&gt;Journal Article&lt;/Template&gt;&lt;Star&gt;0&lt;/Star&gt;&lt;Tag&gt;0&lt;/Tag&gt;&lt;Author/&gt;&lt;Year&gt;2010&lt;/Year&gt;&lt;Details&gt;&lt;_collection_scope&gt;SCI;SCIE&lt;/_collection_scope&gt;&lt;_created&gt;63805536&lt;/_created&gt;&lt;_impact_factor&gt;   2.425&lt;/_impact_factor&gt;&lt;_issue&gt;4&lt;/_issue&gt;&lt;_journal&gt;Journal of Clinical Pharmacology&lt;/_journal&gt;&lt;_modified&gt;63805536&lt;/_modified&gt;&lt;_volume&gt;50&lt;/_volume&gt;&lt;/Details&gt;&lt;Extra&gt;&lt;DBUID&gt;{749A27AD-B5E1-4ED6-ABD8-A7B8F16E1CAE}&lt;/DBUID&gt;&lt;/Extra&gt;&lt;/Item&gt;&lt;/References&gt;&lt;/Group&gt;&lt;/Citation&gt;_x000a_"/>
    <w:docVar w:name="NE.Ref{775BFDA9-D8F6-4A45-B481-EAADC312C845}" w:val=" ADDIN NE.Ref.{775BFDA9-D8F6-4A45-B481-EAADC312C845}&lt;Citation&gt;&lt;Group&gt;&lt;References&gt;&lt;Item&gt;&lt;ID&gt;97&lt;/ID&gt;&lt;UID&gt;{6D9F10FA-5978-43C5-83C3-F863538ADA1C}&lt;/UID&gt;&lt;Title&gt;Degree of blood pressure reduction and recurrent stroke: the PROGRESS trial.&lt;/Title&gt;&lt;Template&gt;Journal Article&lt;/Template&gt;&lt;Star&gt;0&lt;/Star&gt;&lt;Tag&gt;0&lt;/Tag&gt;&lt;Author&gt;Arima, H; Anderson, C; Omae, T; Woodward, M; Macmahon, S; Mancia, G; Bousser, M G; Tzourio, C; Harrap, S; Liu, L&lt;/Author&gt;&lt;Year&gt;2014&lt;/Year&gt;&lt;Details&gt;&lt;_issue&gt;11&lt;/_issue&gt;&lt;_journal&gt;Journal of Neurology Neurosurgery &amp;amp; Psychiatry&lt;/_journal&gt;&lt;_pages&gt;1284-5&lt;/_pages&gt;&lt;_volume&gt;85&lt;/_volume&gt;&lt;_created&gt;63428627&lt;/_created&gt;&lt;_modified&gt;63428627&lt;/_modified&gt;&lt;/Details&gt;&lt;Extra&gt;&lt;DBUID&gt;{749A27AD-B5E1-4ED6-ABD8-A7B8F16E1CAE}&lt;/DBUID&gt;&lt;/Extra&gt;&lt;/Item&gt;&lt;/References&gt;&lt;/Group&gt;&lt;/Citation&gt;_x000a_"/>
    <w:docVar w:name="NE.Ref{77C0CAE9-8E54-47FE-BAC5-20870D07224B}" w:val=" ADDIN NE.Ref.{77C0CAE9-8E54-47FE-BAC5-20870D07224B}&lt;Citation&gt;&lt;Group&gt;&lt;References&gt;&lt;Item&gt;&lt;ID&gt;35&lt;/ID&gt;&lt;UID&gt;{F7505257-B7AA-4106-9F84-27AA3384C4E4}&lt;/UID&gt;&lt;Title&gt;Kidney disease: Improving global outcomes (KDIGO) blood pressure work group. KDIGO clinical practice guideline for the management of blood pressure in chronic kidney disease&lt;/Title&gt;&lt;Template&gt;Journal Article&lt;/Template&gt;&lt;Star&gt;0&lt;/Star&gt;&lt;Tag&gt;0&lt;/Tag&gt;&lt;Author&gt;Becker, G J; Wheeler, D C; De Zeeuw, D; Fujita, T; Zoccali, C&lt;/Author&gt;&lt;Year&gt;2012&lt;/Year&gt;&lt;Details&gt;&lt;_issue&gt;5&lt;/_issue&gt;&lt;_journal&gt;Kidney International Supplements&lt;/_journal&gt;&lt;_pages&gt;337-414&lt;/_pages&gt;&lt;_volume&gt;2&lt;/_volume&gt;&lt;_created&gt;63405183&lt;/_created&gt;&lt;_modified&gt;63405183&lt;/_modified&gt;&lt;_impact_factor&gt;  12.818&lt;/_impact_factor&gt;&lt;_collection_scope&gt;SCIE&lt;/_collection_scope&gt;&lt;/Details&gt;&lt;Extra&gt;&lt;DBUID&gt;{749A27AD-B5E1-4ED6-ABD8-A7B8F16E1CAE}&lt;/DBUID&gt;&lt;/Extra&gt;&lt;/Item&gt;&lt;/References&gt;&lt;/Group&gt;&lt;/Citation&gt;_x000a_"/>
    <w:docVar w:name="NE.Ref{7A8DB460-E801-4DC5-979F-C542E50D875B}" w:val=" ADDIN NE.Ref.{7A8DB460-E801-4DC5-979F-C542E50D875B}&lt;Citation&gt;&lt;Group&gt;&lt;References&gt;&lt;Item&gt;&lt;ID&gt;134&lt;/ID&gt;&lt;UID&gt;{78E6042E-69FF-4299-AD1F-906CB91183CB}&lt;/UID&gt;&lt;Title&gt;Hypertension in patients on dialysis: diagnosis, mechanisms, and management.&lt;/Title&gt;&lt;Template&gt;Journal Article&lt;/Template&gt;&lt;Star&gt;0&lt;/Star&gt;&lt;Tag&gt;0&lt;/Tag&gt;&lt;Author&gt;Sérgio; Gardano; Elias; Bucharles; Krissia; K; S; Wallbach; Thyago; A, Proen&lt;/Author&gt;&lt;Year&gt;2018&lt;/Year&gt;&lt;Details&gt;&lt;_journal&gt;Jornal Brasileiro De Nefrologia Orgao Oficial De Sociedades Brasileira E Latino Americana De Nefrologia&lt;/_journal&gt;&lt;_created&gt;63468890&lt;/_created&gt;&lt;_modified&gt;63468890&lt;/_modified&gt;&lt;/Details&gt;&lt;Extra&gt;&lt;DBUID&gt;{749A27AD-B5E1-4ED6-ABD8-A7B8F16E1CAE}&lt;/DBUID&gt;&lt;/Extra&gt;&lt;/Item&gt;&lt;/References&gt;&lt;/Group&gt;&lt;/Citation&gt;_x000a_"/>
    <w:docVar w:name="NE.Ref{7C7D3274-4B6E-4E46-B0EC-173D57BDDCCF}" w:val=" ADDIN NE.Ref.{7C7D3274-4B6E-4E46-B0EC-173D57BDDCCF}&lt;Citation&gt;&lt;Group&gt;&lt;References&gt;&lt;Item&gt;&lt;ID&gt;34&lt;/ID&gt;&lt;UID&gt;{ADE3F23D-1222-454D-A35E-1F22E183499B}&lt;/UID&gt;&lt;Title&gt;Mineralocorticoid antagonists in chronic kidney disease&lt;/Title&gt;&lt;Template&gt;Journal Article&lt;/Template&gt;&lt;Star&gt;0&lt;/Star&gt;&lt;Tag&gt;0&lt;/Tag&gt;&lt;Author&gt;Dhaybi, Omar Al; Bakris, George&lt;/Author&gt;&lt;Year&gt;2017&lt;/Year&gt;&lt;Details&gt;&lt;_issue&gt;1&lt;/_issue&gt;&lt;_journal&gt;Current Opinion in Nephrology &amp;amp; Hypertension&lt;/_journal&gt;&lt;_pages&gt;50&lt;/_pages&gt;&lt;_volume&gt;26&lt;/_volume&gt;&lt;_created&gt;63405181&lt;/_created&gt;&lt;_modified&gt;63405181&lt;/_modified&gt;&lt;/Details&gt;&lt;Extra&gt;&lt;DBUID&gt;{749A27AD-B5E1-4ED6-ABD8-A7B8F16E1CAE}&lt;/DBUID&gt;&lt;/Extra&gt;&lt;/Item&gt;&lt;/References&gt;&lt;/Group&gt;&lt;/Citation&gt;_x000a_"/>
    <w:docVar w:name="NE.Ref{81A04FB6-43E1-4578-AB2D-FDEC76E4B56C}" w:val=" ADDIN NE.Ref.{81A04FB6-43E1-4578-AB2D-FDEC76E4B56C}&lt;Citation&gt;&lt;Group&gt;&lt;References&gt;&lt;Item&gt;&lt;ID&gt;165&lt;/ID&gt;&lt;UID&gt;{5984CFD0-1363-4E99-92FE-F6B406D4A231}&lt;/UID&gt;&lt;Title&gt;The Safety of Eplerenone in Hemodialysis Patients: A Noninferiority Randomized Controlled Trial&lt;/Title&gt;&lt;Template&gt;Journal Article&lt;/Template&gt;&lt;Star&gt;0&lt;/Star&gt;&lt;Tag&gt;0&lt;/Tag&gt;&lt;Author&gt;Walsh, Michael; Manns, Braden; Garg, Amit X; Bueti, Joe; Rabbat, Christian; Smyth, Andrew; Tyrwhitt, Jessica; Bosch, Jackie; Gao, Peggy; Devereaux, P J&lt;/Author&gt;&lt;Year&gt;2015&lt;/Year&gt;&lt;Details&gt;&lt;_collection_scope&gt;SCIE&lt;/_collection_scope&gt;&lt;_created&gt;63659015&lt;/_created&gt;&lt;_impact_factor&gt;   6.628&lt;/_impact_factor&gt;&lt;_issue&gt;9&lt;/_issue&gt;&lt;_journal&gt;Clinical Journal of the American Society of Nephrology&lt;/_journal&gt;&lt;_modified&gt;63659015&lt;/_modified&gt;&lt;_pages&gt;1602&lt;/_pages&gt;&lt;_volume&gt;10&lt;/_volume&gt;&lt;/Details&gt;&lt;Extra&gt;&lt;DBUID&gt;{749A27AD-B5E1-4ED6-ABD8-A7B8F16E1CAE}&lt;/DBUID&gt;&lt;/Extra&gt;&lt;/Item&gt;&lt;/References&gt;&lt;/Group&gt;&lt;/Citation&gt;_x000a_"/>
    <w:docVar w:name="NE.Ref{822EB8D6-59E2-420C-9567-0B2F96ADAF08}" w:val=" ADDIN NE.Ref.{822EB8D6-59E2-420C-9567-0B2F96ADAF08}&lt;Citation&gt;&lt;Group&gt;&lt;References&gt;&lt;Item&gt;&lt;ID&gt;43&lt;/ID&gt;&lt;UID&gt;{9FE3A6E7-C631-46F1-97F4-93ED0C823E17}&lt;/UID&gt;&lt;Title&gt;Superiority of icodextrin compared with 4.25% dextrose for peritoneal ultrafiltration&lt;/Title&gt;&lt;Template&gt;Journal Article&lt;/Template&gt;&lt;Star&gt;0&lt;/Star&gt;&lt;Tag&gt;0&lt;/Tag&gt;&lt;Author&gt;Finkelstein, F; Healy, H; Abu-Alfa, A; Ahmad, S; Brown, F; Gehr, T; Nash, K; Sorkin, M; Mujais, S&lt;/Author&gt;&lt;Year&gt;2005&lt;/Year&gt;&lt;Details&gt;&lt;_accession_num&gt;15625070&lt;/_accession_num&gt;&lt;_author_adr&gt;Yale University School of Medicine, New Haven, CT, USA.&lt;/_author_adr&gt;&lt;_date_display&gt;2005 Feb&lt;/_date_display&gt;&lt;_date&gt;2005-02-01&lt;/_date&gt;&lt;_doi&gt;10.1681/ASN.2004090793&lt;/_doi&gt;&lt;_isbn&gt;1046-6673 (Print); 1046-6673 (Linking)&lt;/_isbn&gt;&lt;_issue&gt;2&lt;/_issue&gt;&lt;_journal&gt;J Am Soc Nephrol&lt;/_journal&gt;&lt;_language&gt;eng&lt;/_language&gt;&lt;_pages&gt;546-54&lt;/_pages&gt;&lt;_subject_headings&gt;Dialysis Solutions/*pharmacology; Double-Blind Method; Female; Follow-Up Studies; Glucans/*pharmacology; Glucose/*pharmacology; Humans; Icodextrin; Kidney Failure, Chronic/diagnosis/*therapy; Kidney Function Tests; Male; Middle Aged; Peritoneal Dialysis/adverse effects/*methods; Probability; Prospective Studies; Reference Values; Risk Assessment; Severity of Illness Index; Treatment Outcome; Ultrafiltration/*methods&lt;/_subject_headings&gt;&lt;_tertiary_title&gt;Journal of the American Society of Nephrology : JASN&lt;/_tertiary_title&gt;&lt;_type_work&gt;Clinical Trial; Comparative Study; Journal Article; Multicenter Study; Randomized Controlled Trial; Research Support, Non-U.S. Gov&amp;apos;t&lt;/_type_work&gt;&lt;_url&gt;http://www.ncbi.nlm.nih.gov/entrez/query.fcgi?cmd=Retrieve&amp;amp;db=pubmed&amp;amp;dopt=Abstract&amp;amp;list_uids=15625070&amp;amp;query_hl=1&lt;/_url&gt;&lt;_volume&gt;16&lt;/_volume&gt;&lt;_created&gt;63405216&lt;/_created&gt;&lt;_modified&gt;63405216&lt;/_modified&gt;&lt;_db_updated&gt;PubMed&lt;/_db_updated&gt;&lt;_impact_factor&gt;   9.274&lt;/_impact_factor&gt;&lt;_collection_scope&gt;SCI;SCIE&lt;/_collection_scope&gt;&lt;/Details&gt;&lt;Extra&gt;&lt;DBUID&gt;{749A27AD-B5E1-4ED6-ABD8-A7B8F16E1CAE}&lt;/DBUID&gt;&lt;/Extra&gt;&lt;/Item&gt;&lt;/References&gt;&lt;/Group&gt;&lt;/Citation&gt;_x000a_"/>
    <w:docVar w:name="NE.Ref{82F04A2D-7F91-403D-8933-1EEBA3F08CC4}" w:val=" ADDIN NE.Ref.{82F04A2D-7F91-403D-8933-1EEBA3F08CC4}&lt;Citation&gt;&lt;Group&gt;&lt;References&gt;&lt;Item&gt;&lt;ID&gt;108&lt;/ID&gt;&lt;UID&gt;{E40D461A-9CFD-4C8E-85C8-1C6450C76C09}&lt;/UID&gt;&lt;Title&gt;Hypertension in dialysis patients: a consensus document by the European Renal and Cardiovascular Medicine (EURECA-m) working group of the European Renal Association - European Dialysis and Transplant Association (ERA-EDTA) and the Hypertension and the Kidn&lt;/Title&gt;&lt;Template&gt;Journal Article&lt;/Template&gt;&lt;Star&gt;0&lt;/Star&gt;&lt;Tag&gt;0&lt;/Tag&gt;&lt;Author&gt;Sarafidis, Pantelis A; Alexandre, Persu; Rajiv, Agarwal; Michel, Burnier; Peter, De Leeuw; Ferro, Charles J; Jean-Michel, Halimi; Heine, Gunnar H; Michel, Jadoul; Faical, Jarraya&lt;/Author&gt;&lt;Year&gt;2017&lt;/Year&gt;&lt;Details&gt;&lt;_created&gt;63434387&lt;/_created&gt;&lt;_issue&gt;4&lt;/_issue&gt;&lt;_journal&gt;Nephrol Dial Transplant&lt;/_journal&gt;&lt;_modified&gt;63434387&lt;/_modified&gt;&lt;_pages&gt;620-640&lt;/_pages&gt;&lt;/Details&gt;&lt;Extra&gt;&lt;DBUID&gt;{749A27AD-B5E1-4ED6-ABD8-A7B8F16E1CAE}&lt;/DBUID&gt;&lt;/Extra&gt;&lt;/Item&gt;&lt;/References&gt;&lt;/Group&gt;&lt;/Citation&gt;_x000a_"/>
    <w:docVar w:name="NE.Ref{8328B33B-10B4-4678-992B-9CA3A4D94210}" w:val=" ADDIN NE.Ref.{8328B33B-10B4-4678-992B-9CA3A4D94210}&lt;Citation&gt;&lt;Group&gt;&lt;References&gt;&lt;Item&gt;&lt;ID&gt;80&lt;/ID&gt;&lt;UID&gt;{57CFA849-24B0-44C9-B6BB-347D0A69C8B9}&lt;/UID&gt;&lt;Title&gt;Prevalence of chronic kidney disease in China&lt;/Title&gt;&lt;Template&gt;Journal Article&lt;/Template&gt;&lt;Star&gt;0&lt;/Star&gt;&lt;Tag&gt;0&lt;/Tag&gt;&lt;Author&gt;Yano, Yuichiro; Fujimoto, Shouichi; Asahi, Koichi; Watanabe, Tsuyoshi&lt;/Author&gt;&lt;Year&gt;2012&lt;/Year&gt;&lt;Details&gt;&lt;_accession_num&gt;22817966&lt;/_accession_num&gt;&lt;_date_display&gt;2012 Jul 21&lt;/_date_display&gt;&lt;_date&gt;2012-07-21&lt;/_date&gt;&lt;_doi&gt;10.1016/S0140-6736(12)61209-4&lt;/_doi&gt;&lt;_isbn&gt;01406736&lt;/_isbn&gt;&lt;_issue&gt;9838&lt;/_issue&gt;&lt;_journal&gt;The Lancet&lt;/_journal&gt;&lt;_language&gt;eng&lt;/_language&gt;&lt;_pages&gt;213-214&lt;/_pages&gt;&lt;_subject_headings&gt;Female; *Glomerular Filtration Rate; Humans; Male; Renal Insufficiency, Chronic/*epidemiology&lt;/_subject_headings&gt;&lt;_tertiary_title&gt;The Lancet&lt;/_tertiary_title&gt;&lt;_type_work&gt;Comment; Letter&lt;/_type_work&gt;&lt;_url&gt;https://linkinghub.elsevier.com/retrieve/pii/S0140673612612094_x000d__x000a_https://api.elsevier.com/content/article/PII:S0140673612612094?httpAccept=text/xml&lt;/_url&gt;&lt;_volume&gt;380&lt;/_volume&gt;&lt;_created&gt;63426755&lt;/_created&gt;&lt;_modified&gt;63426755&lt;/_modified&gt;&lt;_impact_factor&gt;  60.392&lt;/_impact_factor&gt;&lt;_collection_scope&gt;SCI;SCIE&lt;/_collection_scope&gt;&lt;_accessed&gt;63426755&lt;/_accessed&gt;&lt;_db_updated&gt;CrossRef&lt;/_db_updated&gt;&lt;/Details&gt;&lt;Extra&gt;&lt;DBUID&gt;{749A27AD-B5E1-4ED6-ABD8-A7B8F16E1CAE}&lt;/DBUID&gt;&lt;/Extra&gt;&lt;/Item&gt;&lt;/References&gt;&lt;/Group&gt;&lt;Group&gt;&lt;References&gt;&lt;Item&gt;&lt;ID&gt;171&lt;/ID&gt;&lt;UID&gt;{33ADE6EA-95C3-47BB-8117-E05BFB1D1FD7}&lt;/UID&gt;&lt;Title&gt;Prevalence of chronic kidney disease in China: a cross-sectional survey&lt;/Title&gt;&lt;Template&gt;Journal Article&lt;/Template&gt;&lt;Star&gt;0&lt;/Star&gt;&lt;Tag&gt;0&lt;/Tag&gt;&lt;Author&gt;Zhang, L; Wang, F; Wang, L; Wang, W; Liu, B; Liu, J; Chen, M; He, Q; Liao, Y; Yu, X; Chen, N; Zhang, J E; Hu, Z; Liu, F; Hong, D; Ma, L; Liu, H; Zhou, X; Chen, J; Pan, L; Chen, W; Wang, W; Li, X; Wang, H&lt;/Author&gt;&lt;Year&gt;2012&lt;/Year&gt;&lt;Details&gt;&lt;_accession_num&gt;22386035&lt;/_accession_num&gt;&lt;_author_adr&gt;Peking University Institute of Nephrology, Division of Nephrology, Peking University  First Hospital, Beijing, China.&lt;/_author_adr&gt;&lt;_date_display&gt;2012 Mar 3&lt;/_date_display&gt;&lt;_date&gt;2012-03-03&lt;/_date&gt;&lt;_doi&gt;10.1016/S0140-6736(12)60033-6&lt;/_doi&gt;&lt;_isbn&gt;1474-547X (Electronic); 0140-6736 (Linking)&lt;/_isbn&gt;&lt;_issue&gt;9818&lt;/_issue&gt;&lt;_journal&gt;Lancet&lt;/_journal&gt;&lt;_language&gt;eng&lt;/_language&gt;&lt;_ori_publication&gt;Copyright Â© 2012 Elsevier Ltd. All rights reserved.&lt;/_ori_publication&gt;&lt;_pages&gt;815-22&lt;/_pages&gt;&lt;_subject_headings&gt;Adult; Aged; Albuminuria/etiology; China/epidemiology; Cross-Sectional Studies; Female; *Glomerular Filtration Rate; Health Surveys; Humans; Logistic Models; Male; Middle Aged; Prevalence; Renal Insufficiency, Chronic/complications/diagnosis/*epidemiology/physiopathology; Risk Factors; Surveys and Questionnaires&lt;/_subject_headings&gt;&lt;_tertiary_title&gt;Lancet (London, England)&lt;/_tertiary_title&gt;&lt;_type_work&gt;Journal Article; Research Support, Non-U.S. Gov&amp;apos;t&lt;/_type_work&gt;&lt;_url&gt;http://www.ncbi.nlm.nih.gov/entrez/query.fcgi?cmd=Retrieve&amp;amp;db=pubmed&amp;amp;dopt=Abstract&amp;amp;list_uids=22386035&amp;amp;query_hl=1&lt;/_url&gt;&lt;_volume&gt;379&lt;/_volume&gt;&lt;_created&gt;63760873&lt;/_created&gt;&lt;_modified&gt;63760873&lt;/_modified&gt;&lt;_impact_factor&gt;  60.392&lt;/_impact_factor&gt;&lt;_collection_scope&gt;SCI;SCIE&lt;/_collection_scope&gt;&lt;/Details&gt;&lt;Extra&gt;&lt;DBUID&gt;{749A27AD-B5E1-4ED6-ABD8-A7B8F16E1CAE}&lt;/DBUID&gt;&lt;/Extra&gt;&lt;/Item&gt;&lt;/References&gt;&lt;/Group&gt;&lt;/Citation&gt;_x000a_"/>
    <w:docVar w:name="NE.Ref{833DE697-A28A-4678-A194-8607DEA19E43}" w:val=" ADDIN NE.Ref.{833DE697-A28A-4678-A194-8607DEA19E43}&lt;Citation&gt;&lt;Group&gt;&lt;References&gt;&lt;Item&gt;&lt;ID&gt;89&lt;/ID&gt;&lt;UID&gt;{B39653D8-ABB5-40DD-9295-2D96BC3369A9}&lt;/UID&gt;&lt;Title&gt;2020 International Society of Hypertension global hypertension practice guidelines&lt;/Title&gt;&lt;Template&gt;Journal Article&lt;/Template&gt;&lt;Star&gt;0&lt;/Star&gt;&lt;Tag&gt;0&lt;/Tag&gt;&lt;Author&gt;Unger, T; Borghi, C; Charchar, F; Khan, N A; Poulter, N R; Prabhakaran, D; Ramirez, A; Schlaich, M; Stergiou, G S; Tomaszewski, M; Wainford, R D; Williams, B; Schutte, A E&lt;/Author&gt;&lt;Year&gt;2020&lt;/Year&gt;&lt;Details&gt;&lt;_accession_num&gt;32371787&lt;/_accession_num&gt;&lt;_author_adr&gt;CARIM - School for Cardiovascular Diseases, Maastricht University, Maastricht, The  Netherlands.; Department of Medical and Surgical Sciences, University of Bologna, Bologna, Italy.; Federation University Australia, School of Health and Life Sciences, Ballarat.; Department of Physiology, University of Melbourne, Melbourne, Australia.; Department of Cardiovascular Sciences, University of Leicester, Leicester, UK.; University of British Columbia.; Center for Health Evaluation and Outcomes Sciences, Vancouver, Canada.; Imperial Clinical Trials Unit, Imperial College London, UK.; Public Health Foundation of India.; Centre for Chronic Disease Control, New Delhi, India.; London School of Hygiene and Tropical Medicine, UK.; Hypertension and Metabolic Unit, University Hospital, Favaloro Foundation, Buenos  Aires, Argentina.; Dobney Hypertension Centre, School of Medicine, Royal Perth Hospital Unit,  University of Western Australia, Perth.; Neurovascular Hypertension &amp;amp; Kidney Disease Laboratory, Baker Heart and Diabetes  Institute, Melbourne, Victoria, Australia.; Hypertension Center STRIDE-7, School of Medicine, Third Department of Medicine,  Sotiria Hospital, National and Kapodistrian University of Athens, Athens, Greece.; Division of Cardiovascular Sciences, Faculty of Medicine, Biology and Health,  University of Manchester.; Division of Medicine and Manchester Academic Health Science Centre, Manchester  University NHS Foundation Trust Manchester, Manchester, UK.; Department of Pharmacology and Experimental Therapeutics, Boston University School  of Medicine, Boston.; The Whitaker Cardiovascular Institute, Boston University.; Department of Health Sciences, Boston University Sargent College, Boston,  Massachusetts, USA.; University College London, NHR University College London, Hospitals Biomedical  Research Centre, London, UK.; Faculty of Medicine, University of New South Wales, The George Institute for Global  Health, Sydney, Australia.; Hypertension in Africa Research Team, South African MRC Unit for Hypertension and  Cardiovascular Disease, North-West University, Potchefstroom, South Africa.&lt;/_author_adr&gt;&lt;_date_display&gt;2020 Jun&lt;/_date_display&gt;&lt;_date&gt;2020-06-01&lt;/_date&gt;&lt;_doi&gt;10.1097/HJH.0000000000002453&lt;/_doi&gt;&lt;_isbn&gt;1473-5598 (Electronic); 0263-6352 (Linking)&lt;/_isbn&gt;&lt;_issue&gt;6&lt;/_issue&gt;&lt;_journal&gt;J Hypertens&lt;/_journal&gt;&lt;_language&gt;eng&lt;/_language&gt;&lt;_pages&gt;982-1004&lt;/_pages&gt;&lt;_tertiary_title&gt;Journal of hypertension&lt;/_tertiary_title&gt;&lt;_type_work&gt;Journal Article&lt;/_type_work&gt;&lt;_url&gt;http://www.ncbi.nlm.nih.gov/entrez/query.fcgi?cmd=Retrieve&amp;amp;db=pubmed&amp;amp;dopt=Abstract&amp;amp;list_uids=32371787&amp;amp;query_hl=1&lt;/_url&gt;&lt;_volume&gt;38&lt;/_volume&gt;&lt;_created&gt;63426944&lt;/_created&gt;&lt;_modified&gt;63426944&lt;/_modified&gt;&lt;_impact_factor&gt;   4.171&lt;/_impact_factor&gt;&lt;_collection_scope&gt;SCI;SCIE&lt;/_collection_scope&gt;&lt;/Details&gt;&lt;Extra&gt;&lt;DBUID&gt;{749A27AD-B5E1-4ED6-ABD8-A7B8F16E1CAE}&lt;/DBUID&gt;&lt;/Extra&gt;&lt;/Item&gt;&lt;/References&gt;&lt;/Group&gt;&lt;/Citation&gt;_x000a_"/>
    <w:docVar w:name="NE.Ref{84CB9B6E-35E5-4937-A930-750656238F5C}" w:val=" ADDIN NE.Ref.{84CB9B6E-35E5-4937-A930-750656238F5C}&lt;Citation&gt;&lt;Group&gt;&lt;References&gt;&lt;Item&gt;&lt;ID&gt;124&lt;/ID&gt;&lt;UID&gt;{067ECEA4-8D7C-430F-8143-E0D37B6F6671}&lt;/UID&gt;&lt;Title&gt;Assessment and Management of Hypertension in Patients on Dialysis&lt;/Title&gt;&lt;Template&gt;Journal Article&lt;/Template&gt;&lt;Star&gt;0&lt;/Star&gt;&lt;Tag&gt;5&lt;/Tag&gt;&lt;Author&gt;Agarwal, R; Flynn, J; Pogue, V; Rahman, M; Reisin, E; Weir, M R&lt;/Author&gt;&lt;Year&gt;2014&lt;/Year&gt;&lt;Details&gt;&lt;_collection_scope&gt;SCI;SCIE&lt;/_collection_scope&gt;&lt;_created&gt;63468592&lt;/_created&gt;&lt;_impact_factor&gt;   9.274&lt;/_impact_factor&gt;&lt;_issue&gt;8&lt;/_issue&gt;&lt;_journal&gt;Journal of the American Society of Nephrology&lt;/_journal&gt;&lt;_modified&gt;63468592&lt;/_modified&gt;&lt;_pages&gt;1630-1646&lt;/_pages&gt;&lt;_volume&gt;25&lt;/_volume&gt;&lt;/Details&gt;&lt;Extra&gt;&lt;DBUID&gt;{749A27AD-B5E1-4ED6-ABD8-A7B8F16E1CAE}&lt;/DBUID&gt;&lt;/Extra&gt;&lt;/Item&gt;&lt;/References&gt;&lt;/Group&gt;&lt;/Citation&gt;_x000a_"/>
    <w:docVar w:name="NE.Ref{84E45153-7D2C-4650-BD2F-C33283371C87}" w:val=" ADDIN NE.Ref.{84E45153-7D2C-4650-BD2F-C33283371C87}&lt;Citation&gt;&lt;Group&gt;&lt;References&gt;&lt;Item&gt;&lt;ID&gt;146&lt;/ID&gt;&lt;UID&gt;{541353F4-9B7A-4043-8C54-082C15B3B812}&lt;/UID&gt;&lt;Title&gt;Diagnosis, Evaluation, and Management of the Hypertensive Disorders of Pregnancy: Executive Summary&lt;/Title&gt;&lt;Template&gt;Journal Article&lt;/Template&gt;&lt;Star&gt;0&lt;/Star&gt;&lt;Tag&gt;0&lt;/Tag&gt;&lt;Author&gt;Somerset; David&lt;/Author&gt;&lt;Year&gt;2014&lt;/Year&gt;&lt;Details&gt;&lt;_created&gt;63469011&lt;/_created&gt;&lt;_issue&gt;7&lt;/_issue&gt;&lt;_journal&gt;Journal of Obstetrics and Gynaecology Canada&lt;/_journal&gt;&lt;_modified&gt;63469011&lt;/_modified&gt;&lt;_pages&gt;575&lt;/_pages&gt;&lt;_volume&gt;36&lt;/_volume&gt;&lt;/Details&gt;&lt;Extra&gt;&lt;DBUID&gt;{749A27AD-B5E1-4ED6-ABD8-A7B8F16E1CAE}&lt;/DBUID&gt;&lt;/Extra&gt;&lt;/Item&gt;&lt;/References&gt;&lt;/Group&gt;&lt;/Citation&gt;_x000a_"/>
    <w:docVar w:name="NE.Ref{87336882-DEFC-4308-9D75-6E03FD30631D}" w:val=" ADDIN NE.Ref.{87336882-DEFC-4308-9D75-6E03FD30631D}&lt;Citation&gt;&lt;Group&gt;&lt;References&gt;&lt;Item&gt;&lt;ID&gt;64&lt;/ID&gt;&lt;UID&gt;{87F378FE-2CE5-43C4-BF7D-1692CBFC2517}&lt;/UID&gt;&lt;Title&gt;Blood pressure levels and mortality risk among hemodialysis patients in the Dialysis Outcomes and Practice Patterns Study&lt;/Title&gt;&lt;Template&gt;Journal Article&lt;/Template&gt;&lt;Star&gt;0&lt;/Star&gt;&lt;Tag&gt;0&lt;/Tag&gt;&lt;Author&gt;Robinson, B M; Tong, L; Zhang, J; Wolfe, R A; Goodkin, D A; Greenwood, R N; Kerr, P G; Morgenstern, H; Li, Y; Pisoni, R L; Saran, R; Tentori, F; Akizawa, T; Fukuhara, S; Port, F K&lt;/Author&gt;&lt;Year&gt;2012&lt;/Year&gt;&lt;Details&gt;&lt;_accession_num&gt;22718187&lt;/_accession_num&gt;&lt;_author_adr&gt;Arbor Research Collaborative for Health, Ann Arbor, MI, USA. bruce.robinson@arborresearch.org&lt;/_author_adr&gt;&lt;_collection_scope&gt;SCI;SCIE&lt;/_collection_scope&gt;&lt;_created&gt;63405725&lt;/_created&gt;&lt;_date&gt;2012-09-01&lt;/_date&gt;&lt;_date_display&gt;2012 Sep&lt;/_date_display&gt;&lt;_db_updated&gt;PubMed&lt;/_db_updated&gt;&lt;_doi&gt;10.1038/ki.2012.136&lt;/_doi&gt;&lt;_impact_factor&gt;   8.945&lt;/_impact_factor&gt;&lt;_isbn&gt;1523-1755 (Electronic); 0085-2538 (Linking)&lt;/_isbn&gt;&lt;_issue&gt;5&lt;/_issue&gt;&lt;_journal&gt;Kidney Int&lt;/_journal&gt;&lt;_language&gt;eng&lt;/_language&gt;&lt;_modified&gt;63405726&lt;/_modified&gt;&lt;_pages&gt;570-80&lt;/_pages&gt;&lt;_subject_headings&gt;Australia; *Blood Pressure; Comorbidity; Cross-Sectional Studies; Europe; Female; Humans; Hypertension/*mortality/physiopathology; Japan; Kidney Failure, Chronic/mortality/*therapy; Linear Models; Male; Middle Aged; New Zealand; Practice Guidelines as Topic; Practice Patterns, Physicians&amp;apos;/standards/*statistics &amp;amp; numerical data; Proportional Hazards Models; Prospective Studies; Renal Dialysis/adverse effects/*mortality/standards; Risk Assessment; Risk Factors; Treatment Outcome; United States&lt;/_subject_headings&gt;&lt;_tertiary_title&gt;Kidney international&lt;/_tertiary_title&gt;&lt;_type_work&gt;Journal Article; Multicenter Study; Research Support, Non-U.S. Gov&amp;apos;t&lt;/_type_work&gt;&lt;_url&gt;http://www.ncbi.nlm.nih.gov/entrez/query.fcgi?cmd=Retrieve&amp;amp;db=pubmed&amp;amp;dopt=Abstract&amp;amp;list_uids=22718187&amp;amp;query_hl=1&lt;/_url&gt;&lt;_volume&gt;82&lt;/_volume&gt;&lt;/Details&gt;&lt;Extra&gt;&lt;DBUID&gt;{749A27AD-B5E1-4ED6-ABD8-A7B8F16E1CAE}&lt;/DBUID&gt;&lt;/Extra&gt;&lt;/Item&gt;&lt;/References&gt;&lt;/Group&gt;&lt;/Citation&gt;_x000a_"/>
    <w:docVar w:name="NE.Ref{886DC698-B6EE-4151-8229-268F75F549A8}" w:val=" ADDIN NE.Ref.{886DC698-B6EE-4151-8229-268F75F549A8}&lt;Citation&gt;&lt;Group&gt;&lt;References&gt;&lt;Item&gt;&lt;ID&gt;120&lt;/ID&gt;&lt;UID&gt;{7936FB2A-E918-4885-A7AB-F9F40F8A3755}&lt;/UID&gt;&lt;Title&gt;Management of Hyperkalemia: An Update for the Internist&lt;/Title&gt;&lt;Template&gt;Journal Article&lt;/Template&gt;&lt;Star&gt;0&lt;/Star&gt;&lt;Tag&gt;0&lt;/Tag&gt;&lt;Author&gt;Kovesdy, C P&lt;/Author&gt;&lt;Year&gt;2015&lt;/Year&gt;&lt;Details&gt;&lt;_accession_num&gt;26093176&lt;/_accession_num&gt;&lt;_author_adr&gt;University of Tennessee Health Science Center, Memphis, Tenn; Memphis VA Medical  Center, Memphis, Tenn. Electronic address: csaba.kovesdy@va.gov.&lt;/_author_adr&gt;&lt;_collection_scope&gt;SCI;SCIE&lt;/_collection_scope&gt;&lt;_created&gt;63468511&lt;/_created&gt;&lt;_date&gt;2015-12-01&lt;/_date&gt;&lt;_date_display&gt;2015 Dec&lt;/_date_display&gt;&lt;_doi&gt;10.1016/j.amjmed.2015.05.040&lt;/_doi&gt;&lt;_impact_factor&gt;   4.529&lt;/_impact_factor&gt;&lt;_isbn&gt;1555-7162 (Electronic); 0002-9343 (Linking)&lt;/_isbn&gt;&lt;_issue&gt;12&lt;/_issue&gt;&lt;_journal&gt;Am J Med&lt;/_journal&gt;&lt;_keywords&gt;Chronic kidney disease; Glomerular filtration rate; Hyperkalemia; Mortality; Renin-angiotensin-aldosterone system; Serum potassium&lt;/_keywords&gt;&lt;_language&gt;eng&lt;/_language&gt;&lt;_modified&gt;63468511&lt;/_modified&gt;&lt;_ori_publication&gt;Copyright © 2015 Elsevier Inc. All rights reserved.&lt;/_ori_publication&gt;&lt;_pages&gt;1281-7&lt;/_pages&gt;&lt;_subject_headings&gt;Humans; Hyperkalemia/drug therapy/epidemiology/physiopathology/*therapy; Potassium/blood; Risk Factors&lt;/_subject_headings&gt;&lt;_tertiary_title&gt;The American journal of medicine&lt;/_tertiary_title&gt;&lt;_type_work&gt;Journal Article; Review&lt;/_type_work&gt;&lt;_url&gt;http://www.ncbi.nlm.nih.gov/entrez/query.fcgi?cmd=Retrieve&amp;amp;db=pubmed&amp;amp;dopt=Abstract&amp;amp;list_uids=26093176&amp;amp;query_hl=1&lt;/_url&gt;&lt;_volume&gt;128&lt;/_volume&gt;&lt;/Details&gt;&lt;Extra&gt;&lt;DBUID&gt;{749A27AD-B5E1-4ED6-ABD8-A7B8F16E1CAE}&lt;/DBUID&gt;&lt;/Extra&gt;&lt;/Item&gt;&lt;/References&gt;&lt;/Group&gt;&lt;Group&gt;&lt;References&gt;&lt;Item&gt;&lt;ID&gt;122&lt;/ID&gt;&lt;UID&gt;{E968CA93-2B70-49E8-AF3E-E43D66866703}&lt;/UID&gt;&lt;Title&gt;Drug therapy for hypertension in hemodialysis patients&lt;/Title&gt;&lt;Template&gt;Journal Article&lt;/Template&gt;&lt;Star&gt;0&lt;/Star&gt;&lt;Tag&gt;0&lt;/Tag&gt;&lt;Author&gt;Hörl, M P; Hörl, W H&lt;/Author&gt;&lt;Year&gt;2004&lt;/Year&gt;&lt;Details&gt;&lt;_accession_num&gt;15250920&lt;/_accession_num&gt;&lt;_author_adr&gt;University Hospital Benjamin Franklin, Free University Berlin, Germany.&lt;/_author_adr&gt;&lt;_created&gt;63468558&lt;/_created&gt;&lt;_date&gt;2004-07-01&lt;/_date&gt;&lt;_date_display&gt;2004 Jul-Aug&lt;/_date_display&gt;&lt;_doi&gt;10.1111/j.0894-0959.2004.17329.x&lt;/_doi&gt;&lt;_impact_factor&gt;   2.164&lt;/_impact_factor&gt;&lt;_isbn&gt;0894-0959 (Print); 0894-0959 (Linking)&lt;/_isbn&gt;&lt;_issue&gt;4&lt;/_issue&gt;&lt;_journal&gt;Semin Dial&lt;/_journal&gt;&lt;_language&gt;eng&lt;/_language&gt;&lt;_modified&gt;63468558&lt;/_modified&gt;&lt;_pages&gt;288-94&lt;/_pages&gt;&lt;_subject_headings&gt;Adrenergic beta-Antagonists/adverse effects/therapeutic use; Angiotensin II; Angiotensin Receptor Antagonists; Angiotensin-Converting Enzyme Inhibitors/adverse effects/therapeutic use; Antihypertensive Agents/adverse effects/therapeutic use; Humans; Hypertension/*drug therapy; *Renal Dialysis&lt;/_subject_headings&gt;&lt;_tertiary_title&gt;Seminars in dialysis&lt;/_tertiary_title&gt;&lt;_type_work&gt;Journal Article; Review&lt;/_type_work&gt;&lt;_url&gt;http://www.ncbi.nlm.nih.gov/entrez/query.fcgi?cmd=Retrieve&amp;amp;db=pubmed&amp;amp;dopt=Abstract&amp;amp;list_uids=15250920&amp;amp;query_hl=1&lt;/_url&gt;&lt;_volume&gt;17&lt;/_volume&gt;&lt;/Details&gt;&lt;Extra&gt;&lt;DBUID&gt;{749A27AD-B5E1-4ED6-ABD8-A7B8F16E1CAE}&lt;/DBUID&gt;&lt;/Extra&gt;&lt;/Item&gt;&lt;/References&gt;&lt;/Group&gt;&lt;/Citation&gt;_x000a_"/>
    <w:docVar w:name="NE.Ref{8950DE35-1316-407D-908D-ACC869C41F46}" w:val=" ADDIN NE.Ref.{8950DE35-1316-407D-908D-ACC869C41F46}&lt;Citation&gt;&lt;Group&gt;&lt;References&gt;&lt;Item&gt;&lt;ID&gt;51&lt;/ID&gt;&lt;UID&gt;{7C18551B-7F27-42AD-9B3A-307D21EF0BE2}&lt;/UID&gt;&lt;Title&gt;Hypertension Awareness, Treatment, and Control in Adults With CKD: Results From the Chronic Renal Insufficiency Cohort (CRIC) Study&lt;/Title&gt;&lt;Template&gt;Journal Article&lt;/Template&gt;&lt;Star&gt;0&lt;/Star&gt;&lt;Tag&gt;0&lt;/Tag&gt;&lt;Author&gt;Muntner, Paul; Anderson, Amanda; Charleston, Jeanne; Chen, Zhen; Ford, Virginia; Makos, Gail; O&amp;apos;Connor, Andrew; Perumal, Kalyani; Rahman, Mahboob; Steigerwalt, Susan; Teal, Valerie; Townsend, Raymond; Weir, Matthew; Wright, Jackson T; Chronic, Renal Insufficiency Cohort CRIC&lt;/Author&gt;&lt;Year&gt;2010&lt;/Year&gt;&lt;Details&gt;&lt;_issue&gt;3&lt;/_issue&gt;&lt;_journal&gt;American Journal of Kidney Diseases&lt;/_journal&gt;&lt;_pages&gt;441-451&lt;/_pages&gt;&lt;_volume&gt;55&lt;/_volume&gt;&lt;_created&gt;63405349&lt;/_created&gt;&lt;_modified&gt;63405349&lt;/_modified&gt;&lt;_impact_factor&gt;   6.618&lt;/_impact_factor&gt;&lt;_collection_scope&gt;SCI;SCIE&lt;/_collection_scope&gt;&lt;_url&gt;http://pku.summon.serialssolutions.com/2.0.0/link/0/eLvHCXMwnV1LT9wwELaAQ9ULhVIopSAfQWwg8SOJe4PAiqeEeAiJi-WNHe0uana12VXVM3-cmTygW0FFkXyIYie27PH4G834G0I42_G9v3QCaEA4OqSIVMci6ZVkkY0tB9Msi0yVQvLuPD67YO1DeTJDWq849CXf7e-Y_r2tiSahlEmsOYBypHg82H8m3OWVn5JFzAMZC-sLMy__YvpQwtjMFADfy-fTdOzkH4dR-9P_jXuBzNegk-5VUrJIZlz-mXw4r93qS-ThCKzRURnLPsjp3i-8IAYasEWvmzD0FjW5pUkV10570Ah5Owp62xt3aXJ68INeuqJ80x4NflJAlbSm3YUK7Ps4LyYlWwVe9YQfdQH2083k8jjZohjL-PsLuWkfXidHXp2dwQMlKZRnuWNZJwOMoXwujXDcGMWsEKlSYN2m1rGwA9ZcGAQ8800qU4YprbkKUpOGYcyXyVw-yN1XQo3MOLOA9WOTikAJUAVGMhcqblQmmFgl283y6GFFwqFL57nkYLzgvGI2TaWxBNi6WcE3tY6aRdbNZVRQn66o93KhA10w7esrFCWUJB8gFDzwVSKfvqzhSgVDNKz9P3tcqUToeXQwSyz2YxjLlHA9NUAO8OmavNctucAZ8hUG4ts7x7JGPlbhEBhU953MjUcTt05mh_eTjXI7PQJv6hu4&lt;/_url&gt;&lt;_place_published&gt;United States&lt;/_place_published&gt;&lt;_number&gt;1&lt;/_number&gt;&lt;_doi&gt;10.1053/j.ajkd.2009.09.014&lt;/_doi&gt;&lt;_date_display&gt;2010&lt;/_date_display&gt;&lt;_date&gt;57854880&lt;/_date&gt;&lt;_isbn&gt;0272-6386&lt;/_isbn&gt;&lt;_ori_publication&gt;Elsevier BV&lt;/_ori_publication&gt;&lt;_keywords&gt;Nephrology; Hypertension; treatment; chronic kidney disease; control; awareness; Humans; Middle Aged; Hypertension - drug therapy; Male; Young Adult; Hypertension - complications; Hypertension - prevention &amp;amp; control; Adult; Female; Renal Insufficiency - complications; Aged; Kidney Diseases - complications; Chronic Disease&lt;/_keywords&gt;&lt;_accessed&gt;63405349&lt;/_accessed&gt;&lt;_db_updated&gt;PKU Search&lt;/_db_updated&gt;&lt;/Details&gt;&lt;Extra&gt;&lt;DBUID&gt;{749A27AD-B5E1-4ED6-ABD8-A7B8F16E1CAE}&lt;/DBUID&gt;&lt;/Extra&gt;&lt;/Item&gt;&lt;/References&gt;&lt;/Group&gt;&lt;Group&gt;&lt;References&gt;&lt;Item&gt;&lt;ID&gt;81&lt;/ID&gt;&lt;UID&gt;{5C949BE9-AC36-463C-BD1F-3967C2EE873A}&lt;/UID&gt;&lt;Title&gt;Hypertension Control in Adults With CKD in China: Baseline Results From the Chinese  Cohort Study of Chronic Kidney Disease (C-STRIDE)&lt;/Title&gt;&lt;Template&gt;Journal Article&lt;/Template&gt;&lt;Star&gt;0&lt;/Star&gt;&lt;Tag&gt;0&lt;/Tag&gt;&lt;Author&gt;Yan, Z; Wang, Y; Li, S; Wang, J; Zhang, L; Tan, H; Li, S; Yang, L; Pei, H; Zhang, L; Wang, Y; Duan, J; Jiao, S; Zhao, M; Fu, S&lt;/Author&gt;&lt;Year&gt;2018&lt;/Year&gt;&lt;Details&gt;&lt;_accession_num&gt;29304216&lt;/_accession_num&gt;&lt;_author_adr&gt;Renal Division, Department of Medicine, The Second Hospital of Hebei Medical  University.; Renal Division, Department of Medicine, Peking University First Hospital.; Renal Division, Department of Medicine, The Second Hospital of Hebei Medical  University.; Renal Division, Department of Medicine, Peking University First Hospital.; Renal Division, Department of Medicine, Peking University First Hospital.; Renal Division, Department of Medicine, The Second Hospital of Hebei Medical  University.; Renal Division, Department of Medicine, The Second Hospital of Hebei Medical  University.; Renal Division, Department of Medicine, The Second Hospital of Hebei Medical  University.; Renal Division, Department of Medicine, The Second Hospital of Hebei Medical  University.; Renal Division, Department of Medicine, The Second Hospital of Hebei Medical  University.; Renal Division, Department of Medicine, The Second Hospital of Hebei Medical  University.; Renal Division, Department of Medicine, The Second Hospital of Hebei Medical  University.; Renal Division, Department of Medicine, The Second Hospital of Hebei Medical  University.; Renal Division, Department of Medicine, Peking University First Hospital.; Renal Division, Department of Medicine, The Second Hospital of Hebei Medical  University.&lt;/_author_adr&gt;&lt;_date_display&gt;2018 Mar 10&lt;/_date_display&gt;&lt;_date&gt;2018-03-10&lt;/_date&gt;&lt;_doi&gt;10.1093/ajh/hpx222&lt;/_doi&gt;&lt;_isbn&gt;1941-7225 (Electronic); 0895-7061 (Linking)&lt;/_isbn&gt;&lt;_issue&gt;4&lt;/_issue&gt;&lt;_journal&gt;Am J Hypertens&lt;/_journal&gt;&lt;_language&gt;eng&lt;/_language&gt;&lt;_pages&gt;486-494&lt;/_pages&gt;&lt;_subject_headings&gt;Adolescent; Adult; Aged; Antihypertensive Agents/*therapeutic use; *Blood Pressure; China/epidemiology; Clinical Decision-Making; Comorbidity; Cross-Sectional Studies; Drug Prescriptions; Drug Therapy, Combination; Female; Humans; Hypertension/diagnosis/*drug therapy/epidemiology/physiopathology; Male; Middle Aged; *Practice Patterns, Physicians&amp;apos;; Prospective Studies; Renal Insufficiency, Chronic/diagnosis/*epidemiology/physiopathology; Risk Factors; Treatment Outcome; Young Adult&lt;/_subject_headings&gt;&lt;_tertiary_title&gt;American journal of hypertension&lt;/_tertiary_title&gt;&lt;_type_work&gt;Journal Article; Multicenter Study; Research Support, Non-U.S. Gov&amp;apos;t&lt;/_type_work&gt;&lt;_url&gt;http://www.ncbi.nlm.nih.gov/entrez/query.fcgi?cmd=Retrieve&amp;amp;db=pubmed&amp;amp;dopt=Abstract&amp;amp;list_uids=29304216&amp;amp;query_hl=1&lt;/_url&gt;&lt;_volume&gt;31&lt;/_volume&gt;&lt;_created&gt;63426761&lt;/_created&gt;&lt;_modified&gt;63426761&lt;/_modified&gt;&lt;_impact_factor&gt;   2.669&lt;/_impact_factor&gt;&lt;_collection_scope&gt;SCI;SCIE&lt;/_collection_scope&gt;&lt;/Details&gt;&lt;Extra&gt;&lt;DBUID&gt;{749A27AD-B5E1-4ED6-ABD8-A7B8F16E1CAE}&lt;/DBUID&gt;&lt;/Extra&gt;&lt;/Item&gt;&lt;/References&gt;&lt;/Group&gt;&lt;/Citation&gt;_x000a_"/>
    <w:docVar w:name="NE.Ref{89F6087F-F5FD-4773-9D84-D52A7658624C}" w:val=" ADDIN NE.Ref.{89F6087F-F5FD-4773-9D84-D52A7658624C}&lt;Citation&gt;&lt;Group&gt;&lt;References&gt;&lt;Item&gt;&lt;ID&gt;159&lt;/ID&gt;&lt;UID&gt;{C1A93CCB-27D4-4452-8A12-F843B1D8D2CC}&lt;/UID&gt;&lt;Title&gt;Spironolactone versus placebo, bisoprolol, and doxazosin to determine the optimal  treatment for drug-resistant hypertension (PATHWAY-2): a randomised, double-blind,  crossover trial&lt;/Title&gt;&lt;Template&gt;Journal Article&lt;/Template&gt;&lt;Star&gt;0&lt;/Star&gt;&lt;Tag&gt;0&lt;/Tag&gt;&lt;Author&gt;Williams, B; MacDonald, T M; Morant, S; Webb, D J; Sever, P; McInnes, G; Ford, I; Cruickshank, J K; Caulfield, M J; Salsbury, J; Mackenzie, I; Padmanabhan, S; Brown, M J&lt;/Author&gt;&lt;Year&gt;2015&lt;/Year&gt;&lt;Details&gt;&lt;_accession_num&gt;26414968&lt;/_accession_num&gt;&lt;_author_adr&gt;Institute of Cardiovascular Sciences University College London and National  Institute for Health Research (NIHR) UCL/UCL Hospitals Biomedical Research Centre,  London, UK. Electronic address: bryan.williams@ucl.ac.uk.; Medicines Monitoring Unit, Medical Research Institute, University of Dundee, Dundee,  UK.; Medicines Monitoring Unit, Medical Research Institute, University of Dundee, Dundee,  UK.; Clinical Pharmacology Unit, University of Edinburgh, Centre for Cardiovascular  Science, Queen&amp;apos;s Medical Research Institute, Edinburgh, UK.; International Centre for Circulatory Health, Imperial College, London, UK.; BHF Glasgow Cardiovascular Research Centre, Institute of Cardiovascular and Medical  Sciences, University of Glasgow, Glasgow, UK.; Robertson Centre for Biostatistics, Glasgow University, Glasgow, UK.; Cardiovascular Medicine &amp;amp; Diabetes, King&amp;apos;s College London, London, UK.; William Harvey Research Institute, Barts and The London School of Medicine and  Dentistry, Queen Mary University of London, London, UK.; Clinical Pharmacology Unit, Addenbrooke&amp;apos;s Hospital, University of Cambridge, UK.; Medicines Monitoring Unit, Medical Research Institute, University of Dundee, Dundee,  UK.; BHF Glasgow Cardiovascular Research Centre, Institute of Cardiovascular and Medical  Sciences, University of Glasgow, Glasgow, UK.; Clinical Pharmacology Unit, Addenbrooke&amp;apos;s Hospital, University of Cambridge, UK.  Electronic address: m.j.brown@cai.cam.ac.uk.&lt;/_author_adr&gt;&lt;_collection_scope&gt;SCI;SCIE&lt;/_collection_scope&gt;&lt;_created&gt;63480510&lt;/_created&gt;&lt;_date&gt;2015-11-21&lt;/_date&gt;&lt;_date_display&gt;2015 Nov 21&lt;/_date_display&gt;&lt;_doi&gt;10.1016/S0140-6736(15)00257-3&lt;/_doi&gt;&lt;_impact_factor&gt;  60.392&lt;/_impact_factor&gt;&lt;_isbn&gt;1474-547X (Electronic); 0140-6736 (Print); 0140-6736 (Linking)&lt;/_isbn&gt;&lt;_issue&gt;10008&lt;/_issue&gt;&lt;_journal&gt;Lancet&lt;/_journal&gt;&lt;_language&gt;eng&lt;/_language&gt;&lt;_modified&gt;63480510&lt;/_modified&gt;&lt;_ori_publication&gt;Copyright © 2015 Williams et al. Open Access article distributed under the terms of _x000d__x000a_      CC BY. Published by Elsevier Ltd.. All rights reserved.&lt;/_ori_publication&gt;&lt;_pages&gt;2059-2068&lt;/_pages&gt;&lt;_subject_headings&gt;Adrenergic alpha-1 Receptor Antagonists/*therapeutic use; Adrenergic beta-1 Receptor Antagonists/*therapeutic use; Aged; Bisoprolol/*therapeutic use; Cross-Over Studies; Double-Blind Method; Doxazosin/*therapeutic use; Female; Humans; Hypertension/*drug therapy; Male; Middle Aged; Mineralocorticoid Receptor Antagonists/*therapeutic use; Spironolactone/*therapeutic use; Treatment Outcome&lt;/_subject_headings&gt;&lt;_tertiary_title&gt;Lancet (London, England)&lt;/_tertiary_title&gt;&lt;_type_work&gt;Comparative Study; Journal Article; Randomized Controlled Trial; Research Support, Non-U.S. Gov&amp;apos;t&lt;/_type_work&gt;&lt;_url&gt;http://www.ncbi.nlm.nih.gov/entrez/query.fcgi?cmd=Retrieve&amp;amp;db=pubmed&amp;amp;dopt=Abstract&amp;amp;list_uids=26414968&amp;amp;query_hl=1&lt;/_url&gt;&lt;_volume&gt;386&lt;/_volume&gt;&lt;/Details&gt;&lt;Extra&gt;&lt;DBUID&gt;{749A27AD-B5E1-4ED6-ABD8-A7B8F16E1CAE}&lt;/DBUID&gt;&lt;/Extra&gt;&lt;/Item&gt;&lt;/References&gt;&lt;/Group&gt;&lt;/Citation&gt;_x000a_"/>
    <w:docVar w:name="NE.Ref{8C34548B-4A4E-4E30-B314-87AB5D836317}" w:val=" ADDIN NE.Ref.{8C34548B-4A4E-4E30-B314-87AB5D836317}&lt;Citation&gt;&lt;Group&gt;&lt;References&gt;&lt;Item&gt;&lt;ID&gt;1&lt;/ID&gt;&lt;UID&gt;{1C0589D4-1FC2-4564-AF49-530FF78ED5D4}&lt;/UID&gt;&lt;Title&gt;Prevalence, awareness, treatment, and control of hypertension in the non-dialysis chronic kidney disease patients&lt;/Title&gt;&lt;Template&gt;Journal Article&lt;/Template&gt;&lt;Star&gt;0&lt;/Star&gt;&lt;Tag&gt;0&lt;/Tag&gt;&lt;Author&gt;Zheng, Y; Cai, G Y; Chen, X M; Fu, P; Chen, J H; Ding, X Q; Yu, X Q; Lin, H L; Liu, J; Xie, R J; Wang, L N; Ni, Z H; Liu, F Y; Yin, A P; Xing, C Y; Wang, L; Shi, W; Liu, J S; He, Y N; Ding, G H; Li, W G; Wu, G L; Miao, L N; Chen, N; Su, Z; Mei, C L; Zhao, J Y; Gu, Y; Bai, Y K; Luo, H M; Lin, S; Chen, M H; Gong, L; Yang, Y B; Yang, X P; Li, Y; Wan, J X; Wang, N S; Li, H Y; Xi, C S; Hao, L; Xu, Y; Fang, J A; Liu, B C; Li, R S; Wang, R; Zhang, J H; Wang, J Q; Lou, T Q; Shao, F M; Mei, F; Liu, Z H; Yuan, W J; Sun, S R; Zhang, L; Zhou, C H; Chen, Q K; Jia, S L; Gong, Z F; Guan, G J; Xia, T; Zhong, L B&lt;/Author&gt;&lt;Year&gt;2013&lt;/Year&gt;&lt;Details&gt;&lt;_accession_num&gt;23786938&lt;/_accession_num&gt;&lt;_author_adr&gt;Department of Nephrology, State key Laboratory of Kidney Disease, Chinese PLA General Hospital, Beijing 100853, China.&lt;/_author_adr&gt;&lt;_date_display&gt;2013 Jun&lt;/_date_display&gt;&lt;_date&gt;2013-06-01&lt;/_date&gt;&lt;_isbn&gt;2542-5641 (Electronic); 0366-6999 (Linking)&lt;/_isbn&gt;&lt;_issue&gt;12&lt;/_issue&gt;&lt;_journal&gt;Chin Med J (Engl)&lt;/_journal&gt;&lt;_language&gt;eng&lt;/_language&gt;&lt;_pages&gt;2276-80&lt;/_pages&gt;&lt;_subject_headings&gt;Adult; Aged; Awareness; Female; Humans; Hypertension/complications/*epidemiology/therapy; Male; Middle Aged; Prevalence; Renal Insufficiency, Chronic/*complications&lt;/_subject_headings&gt;&lt;_tertiary_title&gt;Chinese medical journal&lt;/_tertiary_title&gt;&lt;_type_work&gt;Journal Article; Multicenter Study; Research Support, Non-U.S. Gov&amp;apos;t&lt;/_type_work&gt;&lt;_url&gt;http://www.ncbi.nlm.nih.gov/entrez/query.fcgi?cmd=Retrieve&amp;amp;db=pubmed&amp;amp;dopt=Abstract&amp;amp;list_uids=23786938&amp;amp;query_hl=1&lt;/_url&gt;&lt;_volume&gt;126&lt;/_volume&gt;&lt;_created&gt;63405157&lt;/_created&gt;&lt;_modified&gt;63405157&lt;/_modified&gt;&lt;_db_updated&gt;PubMed&lt;/_db_updated&gt;&lt;_impact_factor&gt;   1.585&lt;/_impact_factor&gt;&lt;/Details&gt;&lt;Extra&gt;&lt;DBUID&gt;{749A27AD-B5E1-4ED6-ABD8-A7B8F16E1CAE}&lt;/DBUID&gt;&lt;/Extra&gt;&lt;/Item&gt;&lt;/References&gt;&lt;/Group&gt;&lt;/Citation&gt;_x000a_"/>
    <w:docVar w:name="NE.Ref{8C60FC81-55CA-4156-9F42-92465C176311}" w:val=" ADDIN NE.Ref.{8C60FC81-55CA-4156-9F42-92465C176311}&lt;Citation&gt;&lt;Group&gt;&lt;References&gt;&lt;Item&gt;&lt;ID&gt;174&lt;/ID&gt;&lt;UID&gt;{B775481E-8291-46E5-91BC-03540CA23713}&lt;/UID&gt;&lt;Title&gt;Efficacy and safety of sacubitril/valsartan in patients with essential hypertension uncontrolled by olmesartan: A randomized, double‐blind, 8‐week study&lt;/Title&gt;&lt;Template&gt;Journal Article&lt;/Template&gt;&lt;Star&gt;0&lt;/Star&gt;&lt;Tag&gt;0&lt;/Tag&gt;&lt;Author&gt;Cheung, D G; Aizenberg, D; Gorbunov, V; Hafeez, K; Zhang, J&lt;/Author&gt;&lt;Year&gt;2018&lt;/Year&gt;&lt;Details&gt;&lt;_collection_scope&gt;SCIE&lt;/_collection_scope&gt;&lt;_created&gt;63805555&lt;/_created&gt;&lt;_impact_factor&gt;   2.719&lt;/_impact_factor&gt;&lt;_issue&gt;suppl 2&lt;/_issue&gt;&lt;_journal&gt;Journal of Clinical Hypertension&lt;/_journal&gt;&lt;_modified&gt;63805555&lt;/_modified&gt;&lt;_volume&gt;20&lt;/_volume&gt;&lt;/Details&gt;&lt;Extra&gt;&lt;DBUID&gt;{749A27AD-B5E1-4ED6-ABD8-A7B8F16E1CAE}&lt;/DBUID&gt;&lt;/Extra&gt;&lt;/Item&gt;&lt;/References&gt;&lt;/Group&gt;&lt;Group&gt;&lt;References&gt;&lt;Item&gt;&lt;ID&gt;175&lt;/ID&gt;&lt;UID&gt;{A8F4141C-C88F-4D4E-B77C-6B483D23EB1C}&lt;/UID&gt;&lt;Title&gt;Efficacy and safety of sacubitril/valsartan compared with olmesartan in Asian patients with essential hypertension: A randomized, double-blind, 8-week study.&lt;/Title&gt;&lt;Template&gt;Journal Article&lt;/Template&gt;&lt;Star&gt;0&lt;/Star&gt;&lt;Tag&gt;0&lt;/Tag&gt;&lt;Author&gt;Yong; Huo; Weimin; Randy; Webb; Zhao; Qian; Wang; Weinong; Guo&lt;/Author&gt;&lt;Year&gt;2018&lt;/Year&gt;&lt;Details&gt;&lt;_created&gt;63805559&lt;/_created&gt;&lt;_journal&gt;Journal of clinical hypertension (Greenwich, Conn.)&lt;/_journal&gt;&lt;_modified&gt;63805559&lt;/_modified&gt;&lt;/Details&gt;&lt;Extra&gt;&lt;DBUID&gt;{749A27AD-B5E1-4ED6-ABD8-A7B8F16E1CAE}&lt;/DBUID&gt;&lt;/Extra&gt;&lt;/Item&gt;&lt;/References&gt;&lt;/Group&gt;&lt;Group&gt;&lt;References&gt;&lt;Item&gt;&lt;ID&gt;176&lt;/ID&gt;&lt;UID&gt;{CBA26222-0B04-4921-BD67-11D74495A9AE}&lt;/UID&gt;&lt;Title&gt;Blood-pressure reduction with LCZ696, a novel dual-acting inhibitor of the angiotensin II receptor and neprilysin: a randomised, double-blind, placebo-controlled, active comparator study.&lt;/Title&gt;&lt;Template&gt;Journal Article&lt;/Template&gt;&lt;Star&gt;0&lt;/Star&gt;&lt;Tag&gt;0&lt;/Tag&gt;&lt;Author&gt;Ruilope, L M; Dukat, A; Böhm, M; Lacourcière, Y; Gong, J; Lefkowitz, M P&lt;/Author&gt;&lt;Year&gt;2010&lt;/Year&gt;&lt;Details&gt;&lt;_collection_scope&gt;SCI;SCIE&lt;/_collection_scope&gt;&lt;_created&gt;63805560&lt;/_created&gt;&lt;_impact_factor&gt;  60.392&lt;/_impact_factor&gt;&lt;_issue&gt;9722&lt;/_issue&gt;&lt;_journal&gt;Lancet&lt;/_journal&gt;&lt;_modified&gt;63805560&lt;/_modified&gt;&lt;_pages&gt;1255-1266&lt;/_pages&gt;&lt;_volume&gt;375&lt;/_volume&gt;&lt;/Details&gt;&lt;Extra&gt;&lt;DBUID&gt;{749A27AD-B5E1-4ED6-ABD8-A7B8F16E1CAE}&lt;/DBUID&gt;&lt;/Extra&gt;&lt;/Item&gt;&lt;/References&gt;&lt;/Group&gt;&lt;/Citation&gt;_x000a_"/>
    <w:docVar w:name="NE.Ref{8C8FD58B-477F-41B6-B81E-345FCF0BF6CA}" w:val=" ADDIN NE.Ref.{8C8FD58B-477F-41B6-B81E-345FCF0BF6CA}&lt;Citation&gt;&lt;Group&gt;&lt;References&gt;&lt;Item&gt;&lt;ID&gt;87&lt;/ID&gt;&lt;UID&gt;{D58FC1A4-6F5E-4705-9FE0-4A0E7837F25F}&lt;/UID&gt;&lt;Title&gt;[2018 ESC/ESH Guidelines for the management of arterial hypertension]&lt;/Title&gt;&lt;Template&gt;Journal Article&lt;/Template&gt;&lt;Star&gt;0&lt;/Star&gt;&lt;Tag&gt;0&lt;/Tag&gt;&lt;Author/&gt;&lt;Year&gt;2019&lt;/Year&gt;&lt;Details&gt;&lt;_journal&gt;European Heart Journal&lt;/_journal&gt;&lt;_pages&gt;71&lt;/_pages&gt;&lt;_volume&gt;77&lt;/_volume&gt;&lt;_created&gt;63426845&lt;/_created&gt;&lt;_modified&gt;63426845&lt;/_modified&gt;&lt;_impact_factor&gt;  22.673&lt;/_impact_factor&gt;&lt;_collection_scope&gt;SCI;SCIE&lt;/_collection_scope&gt;&lt;/Details&gt;&lt;Extra&gt;&lt;DBUID&gt;{749A27AD-B5E1-4ED6-ABD8-A7B8F16E1CAE}&lt;/DBUID&gt;&lt;/Extra&gt;&lt;/Item&gt;&lt;/References&gt;&lt;/Group&gt;&lt;Group&gt;&lt;References&gt;&lt;Item&gt;&lt;ID&gt;86&lt;/ID&gt;&lt;UID&gt;{E2B86A7C-1D2C-48A8-8B75-9FF5ACEFFB4B}&lt;/UID&gt;&lt;Title&gt;2017 ACC/AHA/AAPA/ABC/ACPM/AGS/APhA/ASH/ASPC/NMA/PCNA Guideline for the Prevention,  Detection, Evaluation, and Management of High Blood Pressure in Adults: Executive  Summary: A Report of the American College of Cardiology/American Heart Association  Task Force on Clinical Practice Guidelines&lt;/Title&gt;&lt;Template&gt;Journal Article&lt;/Template&gt;&lt;Star&gt;0&lt;/Star&gt;&lt;Tag&gt;0&lt;/Tag&gt;&lt;Author&gt;Whelton, P K; Carey, R M; Aronow, W S; Casey, DE Jr; Collins, K J; Dennison, Himmelfarb C; DePalma, S M; Gidding, S; Jamerson, K A; Jones, D W; MacLaughlin, E J; Muntner, P; Ovbiagele, B; Smith, SC Jr; Spencer, C C; Stafford, R S; Taler, S J; Thomas, R J; Williams, KA Sr; Williamson, J D; Wright, JT Jr&lt;/Author&gt;&lt;Year&gt;2018&lt;/Year&gt;&lt;Details&gt;&lt;_accession_num&gt;30354655&lt;/_accession_num&gt;&lt;_author_adr&gt;American Society for Preventive Cardiology Representative. †ACC/AHA Representative.  ‡Lay Volunteer/Patient Representative. §Preventive Cardiovascular Nurses Association  Representative. ‖American Academy of Physician Assistants Representative. ¶Task  Force Liaison. #Association of Black Cardiologists Representative. **American  Pharmacists Association Representative. ††ACC/AHA Prevention Subcommittee Liaison.  ‡‡American College of Preventive Medicine Representative. §§American Society of  Hypertension Representative. ‖‖Task Force on Performance Measures Liaison.  ¶¶American Geriatrics Society Representative. ##National Medical Association  Representative.; American Society for Preventive Cardiology Representative. †ACC/AHA Representative.  ‡Lay Volunteer/Patient Representative. §Preventive Cardiovascular Nurses Association  Representative. ‖American Academy of Physician Assistants Representative. ¶Task  Force Liaison. #Association of Black Cardiologists Representative. **American  Pharmacists Association Representative. ††ACC/AHA Prevention Subcommittee Liaison.  ‡‡American College of Preventive Medicine Representative. §§American Society of  Hypertension Representative. ‖‖Task Force on Performance Measures Liaison.  ¶¶American Geriatrics Society Representative. ##National Medical Association  Representative.; American Society for Preventive Cardiology Representative. †ACC/AHA Representative.  ‡Lay Volunteer/Patient Representative. §Preventive Cardiovascular Nurses Association  Representative. ‖American Academy of Physician Assistants Representative. ¶Task  Force Liaison. #Association of Black Cardiologists Representative. **American  Pharmacists Association Representative. ††ACC/AHA Prevention Subcommittee Liaison.  ‡‡American College of Preventive Medicine Representative. §§American Society of  Hypertension Representative. ‖‖Task Force on Performance Measures Liaison.  ¶¶American Geriatrics Society Representative. ##National Medical Association  Representative.; American Society for Preventive Cardiology Representative. †ACC/AHA Representative.  ‡Lay Volunteer/Patient Representative. §Preventive Cardiovascular Nurses Association  Representative. ‖American Academy of Physician Assistants Representative. ¶Task  Force Liaison. #Association of Black Cardiologists Representative. **American  Pharmacists Association Representative. ††ACC/AHA Prevention Subcommittee Liaison.  ‡‡American College of Preventive Medicine Representative. §§American Society of  Hypertension Representative. ‖‖Task Force on Performance Measures Liaison.  ¶¶American Geriatrics Society Representative. ##National Medical Association  Representative.; American Society for Preventive Cardiology Representative. †ACC/AHA Representative.  ‡Lay Volunteer/Patient Representative. §Preventive Cardiovascular Nurses Association  Representative. ‖American Academy of Physician Assistants Representative. ¶Task  Force Liaison. #Association of Black Cardiologists Representative. **American  Pharmacists Association Representative. ††ACC/AHA Prevention Subcommittee Liaison.  ‡‡American College of Preventive Medicine Representative. §§American Society of  Hypertension Representative. ‖‖Task Force on Performance Measures Liaison.  ¶¶American Geriatrics Society Representative. ##National Medical Association  Representative.; American Society for Preventive Cardiology Representative. †ACC/AHA Representative.  ‡Lay Volunteer/Patient Representative. §Preventive Cardiovascular Nurses Association  Representative. ‖American Academy of Physician Assistants Representative. ¶Task  Force Liaison. #Association of Black Cardiologists Representative. **American  Pharmacists Association Representative. ††ACC/AHA Prevention Subcommittee Liaison.  ‡‡American College of Preventive Medicine Representative. §§American Society of  Hypertension Representative. ‖‖Task Force on Performance Measures Liaison.  ¶¶American Geriatrics Society Representative. ##National Medical Association  Representative.; American Society for Preventive Cardiology Representative. †ACC/AHA Representative.  ‡Lay Volunteer/Patient Representative. §Preventive Cardiovascular Nurses Association  Representative. ‖American Academy of Physician Assistants Representative. ¶Task  Force Liaison. #Association of Black Cardiologists Representative. **American  Pharmacists Association Representative. ††ACC/AHA Prevention Subcommittee Liaison.  ‡‡American College of Preventive Medicine Representative. §§American Society of  Hypertension Representative. ‖‖Task Force on Performance Measures Liaison.  ¶¶American Geriatrics Society Representative. ##National Medical Association  Representative.; American Society for Preventive Cardiology Representative. †ACC/AHA Representative.  ‡Lay Volunteer/Patient Representative. §Preventive Cardiovascular Nurses Association  Representative. ‖American Academy of Physician Assistants Representative. ¶Task  Force Liaison. #Association of Black Cardiologists Representative. **American  Pharmacists Association Representative. ††ACC/AHA Prevention Subcommittee Liaison.  ‡‡American College of Preventive Medicine Representative. §§American Society of  Hypertension Representative. ‖‖Task Force on Performance Measures Liaison.  ¶¶American Geriatrics Society Representative. ##National Medical Association  Representative.; American Society for Preventive Cardiology Representative. †ACC/AHA Representative.  ‡Lay Volunteer/Patient Representative. §Preventive Cardiovascular Nurses Association  Representative. ‖American Academy of Physician Assistants Representative. ¶Task  Force Liaison. #Association of Black Cardiologists Representative. **American  Pharmacists Association Representative. ††ACC/AHA Prevention Subcommittee Liaison.  ‡‡American College of Preventive Medicine Representative. §§American Society of  Hypertension Representative. ‖‖Task Force on Performance Measures Liaison.  ¶¶American Geriatrics Society Representative. ##National Medical Association  Representative.; American Society for Preventive Cardiology Representative. †ACC/AHA Representative.  ‡Lay Volunteer/Patient Representative. §Preventive Cardiovascular Nurses Association  Representative. ‖American Academy of Physician Assistants Representative. ¶Task  Force Liaison. #Association of Black Cardiologists Representative. **American  Pharmacists Association Representative. ††ACC/AHA Prevention Subcommittee Liaison.  ‡‡American College of Preventive Medicine Representative. §§American Society of  Hypertension Representative. ‖‖Task Force on Performance Measures Liaison.  ¶¶American Geriatrics Society Representative. ##National Medical Association  Representative.; American Society for Preventive Cardiology Representative. †ACC/AHA Representative.  ‡Lay Volunteer/Patient Representative. §Preventive Cardiovascular Nurses Association  Representative. ‖American Academy of Physician Assistants Representative. ¶Task  Force Liaison. #Association of Black Cardiologists Representative. **American  Pharmacists Association Representative. ††ACC/AHA Prevention Subcommittee Liaison.  ‡‡American College of Preventive Medicine Representative. §§American Society of  Hypertension Representative. ‖‖Task Force on Performance Measures Liaison.  ¶¶American Geriatrics Society Representative. ##National Medical Association  Representative.; American Society for Preventive Cardiology Representative. †ACC/AHA Representative.  ‡Lay Volunteer/Patient Representative. §Preventive Cardiovascular Nurses Association  Representative. ‖American Academy of Physician Assistants Representative. ¶Task  Force Liaison. #Association of Black Cardiologists Representative. **American  Pharmacists Association Representative. ††ACC/AHA Prevention Subcommittee Liaison.  ‡‡American College of Preventive Medicine Representative. §§American Society of  Hypertension Representative. ‖‖Task Force on Performance Measures Liaison.  ¶¶American Geriatrics Society Representative. ##National Medical Association  Representative.; American Society for Preventive Cardiology Representative. †ACC/AHA Representative.  ‡Lay Volunteer/Patient Representative. §Preventive Cardiovascular Nurses Association  Representative. ‖American Academy of Physician Assistants Representative. ¶Task  Force Liaison. #Association of Black Cardiologists Representative. **American  Pharmacists Association Representative. ††ACC/AHA Prevention Subcommittee Liaison.  ‡‡American College of Preventive Medicine Representative. §§American Society of  Hypertension Representative. ‖‖Task Force on Performance Measures Liaison.  ¶¶American Geriatrics Society Representative. ##National Medical Association  Representative.; American Society for Preventive Cardiology Representative. †ACC/AHA Representative.  ‡Lay Volunteer/Patient Representative. §Preventive Cardiovascular Nurses Association  Representative. ‖American Academy of Physician Assistants Representative. ¶Task  Force Liaison. #Association of Black Cardiologists Representative. **American  Pharmacists Association Representative. ††ACC/AHA Prevention Subcommittee Liaison.  ‡‡American College of Preventive Medicine Representative. §§American Society of  Hypertension Representative. ‖‖Task Force on Performance Measures Liaison.  ¶¶American Geriatrics Society Representative. ##National Medical Association  Representative.; American Society for Preventive Cardiology Representative. †ACC/AHA Representative.  ‡Lay Volunteer/Patient Representative. §Preventive Cardiovascular Nurses Association  Representative. ‖American Academy of Physician Assistants Representative. ¶Task  Force Liaison. #Association of Black Cardiologists Representative. **American  Pharmacists Association Representative. ††ACC/AHA Prevention Subcommittee Liaison.  ‡‡American College of Preventive Medicine Representative. §§American Society of  Hypertension Representative. ‖‖Task Force on Performance Measures Liaison.  ¶¶American Geriatrics Society Representative. ##National Medical Association  Representative.; American Society for Preventive Cardiology Representative. †ACC/AHA Representative.  ‡Lay Volunteer/Patient Representative. §Preventive Cardiovascular Nurses Association  Representative. ‖American Academy of Physician Assistants Representative. ¶Task  Force Liaison. #Association of Black Cardiologists Representative. **American  Pharmacists Association Representative. ††ACC/AHA Prevention Subcommittee Liaison.  ‡‡American College of Preventive Medicine Representative. §§American Society of  Hypertension Representative. ‖‖Task Force on Performance Measures Liaison.  ¶¶American Geriatrics Society Representative. ##National Medical Association  Representative.; American Society for Preventive Cardiology Representative. †ACC/AHA Representative.  ‡Lay Volunteer/Patient Representative. §Preventive Cardiovascular Nurses Association  Representative. ‖American Academy of Physician Assistants Representative. ¶Task  Force Liaison. #Association of Black Cardiologists Representative. **American  Pharmacists Association Representative. ††ACC/AHA Prevention Subcommittee Liaison.  ‡‡American College of Preventive Medicine Representative. §§American Society of  Hypertension Representative. ‖‖Task Force on Performance Measures Liaison.  ¶¶American Geriatrics Society Representative. ##National Medical Association  Representative.; American Society for Preventive Cardiology Representative. †ACC/AHA Representative.  ‡Lay Volunteer/Patient Representative. §Preventive Cardiovascular Nurses Association  Representative. ‖American Academy of Physician Assistants Representative. ¶Task  Force Liaison. #Association of Black Cardiologists Representative. **American  Pharmacists Association Representative. ††ACC/AHA Prevention Subcommittee Liaison.  ‡‡American College of Preventive Medicine Representative. §§American Society of  Hypertension Representative. ‖‖Task Force on Performance Measures Liaison.  ¶¶American Geriatrics Society Representative. ##National Medical Association  Representative.; American Society for Preventive Cardiology Representative. †ACC/AHA Representative.  ‡Lay Volunteer/Patient Representative. §Preventive Cardiovascular Nurses Association  Representative. ‖American Academy of Physician Assistants Representative. ¶Task  Force Liaison. #Association of Black Cardiologists Representative. **American  Pharmacists Association Representative. ††ACC/AHA Prevention Subcommittee Liaison.  ‡‡American College of Preventive Medicine Representative. §§American Society of  Hypertension Representative. ‖‖Task Force on Performance Measures Liaison.  ¶¶American Geriatrics Society Representative. ##National Medical Association  Representative.; American Society for Preventive Cardiology Representative. †ACC/AHA Representative.  ‡Lay Volunteer/Patient Representative. §Preventive Cardiovascular Nurses Association  Representative. ‖American Academy of Physician Assistants Representative. ¶Task  Force Liaison. #Association of Black Cardiologists Representative. **American  Pharmacists Association Representative. ††ACC/AHA Prevention Subcommittee Liaison.  ‡‡American College of Preventive Medicine Representative. §§American Society of  Hypertension Representative. ‖‖Task Force on Performance Measures Liaison.  ¶¶American Geriatrics Society Representative. ##National Medical Association  Representative.; American Society for Preventive Cardiology Representative. †ACC/AHA Representative.  ‡Lay Volunteer/Patient Representative. §Preventive Cardiovascular Nurses Association  Representative. ‖American Academy of Physician Assistants Representative. ¶Task  Force Liaison. #Association of Black Cardiologists Representative. **American  Pharmacists Association Representative. ††ACC/AHA Prevention Subcommittee Liaison.  ‡‡American College of Preventive Medicine Representative. §§American Society of  Hypertension Representative. ‖‖Task Force on Performance Measures Liaison.  ¶¶American Geriatrics Society Representative. ##National Medical Association  Representative.&lt;/_author_adr&gt;&lt;_date_display&gt;2018 Oct 23&lt;/_date_display&gt;&lt;_date&gt;2018-10-23&lt;/_date&gt;&lt;_doi&gt;10.1161/CIR.0000000000000597&lt;/_doi&gt;&lt;_isbn&gt;1524-4539 (Electronic); 0009-7322 (Linking)&lt;/_isbn&gt;&lt;_issue&gt;17&lt;/_issue&gt;&lt;_journal&gt;Circulation&lt;/_journal&gt;&lt;_keywords&gt;*AHA Scientific Statements; *ambulatory care; *antihypertensive agents; *behavior modification; *blood pressure; *chronic kidney disease; *diabetes; *hypertension; *hypertension emergency; *lifestyle measures; *measurement; *nonpharmacologic treatment; *resistant hypertension; *risk reduction; *secondary hypertension; *systems of care; *treatment adherence; *treatment outcomes&lt;/_keywords&gt;&lt;_language&gt;eng&lt;/_language&gt;&lt;_pages&gt;e426-e483&lt;/_pages&gt;&lt;_subject_headings&gt;Aged; American Heart Association; Antihypertensive Agents/adverse effects/*therapeutic use; Blood Pressure/*drug effects; Cardiology/*standards; Comorbidity; Consensus; Evidence-Based Medicine/standards; Female; Humans; Hypertension/diagnosis/*drug therapy/epidemiology/physiopathology; Male; Middle Aged; Risk Factors; Treatment Outcome; United States&lt;/_subject_headings&gt;&lt;_tertiary_title&gt;Circulation&lt;/_tertiary_title&gt;&lt;_type_work&gt;Journal Article; Practice Guideline; Systematic Review&lt;/_type_work&gt;&lt;_url&gt;http://www.ncbi.nlm.nih.gov/entrez/query.fcgi?cmd=Retrieve&amp;amp;db=pubmed&amp;amp;dopt=Abstract&amp;amp;list_uids=30354655&amp;amp;query_hl=1&lt;/_url&gt;&lt;_volume&gt;138&lt;/_volume&gt;&lt;_created&gt;63426840&lt;/_created&gt;&lt;_modified&gt;63426840&lt;/_modified&gt;&lt;_impact_factor&gt;  23.603&lt;/_impact_factor&gt;&lt;_collection_scope&gt;SCI;SCIE&lt;/_collection_scope&gt;&lt;/Details&gt;&lt;Extra&gt;&lt;DBUID&gt;{749A27AD-B5E1-4ED6-ABD8-A7B8F16E1CAE}&lt;/DBUID&gt;&lt;/Extra&gt;&lt;/Item&gt;&lt;/References&gt;&lt;/Group&gt;&lt;Group&gt;&lt;References&gt;&lt;Item&gt;&lt;ID&gt;52&lt;/ID&gt;&lt;UID&gt;{46600BCB-0255-4C40-9A78-70837B63AC86}&lt;/UID&gt;&lt;Title&gt;中国高血压防治指南2018年修订版&lt;/Title&gt;&lt;Template&gt;Journal Article&lt;/Template&gt;&lt;Star&gt;0&lt;/Star&gt;&lt;Tag&gt;0&lt;/Tag&gt;&lt;Author&gt;修订委员会中国高血压防治指南&lt;/Author&gt;&lt;Year&gt;2019&lt;/Year&gt;&lt;Details&gt;&lt;_issue&gt;001&lt;/_issue&gt;&lt;_journal&gt;心脑血管病防治&lt;/_journal&gt;&lt;_pages&gt;1-44&lt;/_pages&gt;&lt;_volume&gt;019&lt;/_volume&gt;&lt;_created&gt;63405566&lt;/_created&gt;&lt;_modified&gt;63405566&lt;/_modified&gt;&lt;_translated_author&gt;Xiu, Dingweiyuanhuizhongguogaoxueyafangzhizhinan&lt;/_translated_author&gt;&lt;/Details&gt;&lt;Extra&gt;&lt;DBUID&gt;{749A27AD-B5E1-4ED6-ABD8-A7B8F16E1CAE}&lt;/DBUID&gt;&lt;/Extra&gt;&lt;/Item&gt;&lt;/References&gt;&lt;/Group&gt;&lt;/Citation&gt;_x000a_"/>
    <w:docVar w:name="NE.Ref{8DDE591F-F4A9-4C89-952F-622A186C3B56}" w:val=" ADDIN NE.Ref.{8DDE591F-F4A9-4C89-952F-622A186C3B56}&lt;Citation&gt;&lt;Group&gt;&lt;References&gt;&lt;Item&gt;&lt;ID&gt;89&lt;/ID&gt;&lt;UID&gt;{B39653D8-ABB5-40DD-9295-2D96BC3369A9}&lt;/UID&gt;&lt;Title&gt;2020 International Society of Hypertension global hypertension practice guidelines&lt;/Title&gt;&lt;Template&gt;Journal Article&lt;/Template&gt;&lt;Star&gt;0&lt;/Star&gt;&lt;Tag&gt;0&lt;/Tag&gt;&lt;Author&gt;Unger, T; Borghi, C; Charchar, F; Khan, N A; Poulter, N R; Prabhakaran, D; Ramirez, A; Schlaich, M; Stergiou, G S; Tomaszewski, M; Wainford, R D; Williams, B; Schutte, A E&lt;/Author&gt;&lt;Year&gt;2020&lt;/Year&gt;&lt;Details&gt;&lt;_accession_num&gt;32371787&lt;/_accession_num&gt;&lt;_author_adr&gt;CARIM - School for Cardiovascular Diseases, Maastricht University, Maastricht, The  Netherlands.; Department of Medical and Surgical Sciences, University of Bologna, Bologna, Italy.; Federation University Australia, School of Health and Life Sciences, Ballarat.; Department of Physiology, University of Melbourne, Melbourne, Australia.; Department of Cardiovascular Sciences, University of Leicester, Leicester, UK.; University of British Columbia.; Center for Health Evaluation and Outcomes Sciences, Vancouver, Canada.; Imperial Clinical Trials Unit, Imperial College London, UK.; Public Health Foundation of India.; Centre for Chronic Disease Control, New Delhi, India.; London School of Hygiene and Tropical Medicine, UK.; Hypertension and Metabolic Unit, University Hospital, Favaloro Foundation, Buenos  Aires, Argentina.; Dobney Hypertension Centre, School of Medicine, Royal Perth Hospital Unit,  University of Western Australia, Perth.; Neurovascular Hypertension &amp;amp; Kidney Disease Laboratory, Baker Heart and Diabetes  Institute, Melbourne, Victoria, Australia.; Hypertension Center STRIDE-7, School of Medicine, Third Department of Medicine,  Sotiria Hospital, National and Kapodistrian University of Athens, Athens, Greece.; Division of Cardiovascular Sciences, Faculty of Medicine, Biology and Health,  University of Manchester.; Division of Medicine and Manchester Academic Health Science Centre, Manchester  University NHS Foundation Trust Manchester, Manchester, UK.; Department of Pharmacology and Experimental Therapeutics, Boston University School  of Medicine, Boston.; The Whitaker Cardiovascular Institute, Boston University.; Department of Health Sciences, Boston University Sargent College, Boston,  Massachusetts, USA.; University College London, NHR University College London, Hospitals Biomedical  Research Centre, London, UK.; Faculty of Medicine, University of New South Wales, The George Institute for Global  Health, Sydney, Australia.; Hypertension in Africa Research Team, South African MRC Unit for Hypertension and  Cardiovascular Disease, North-West University, Potchefstroom, South Africa.&lt;/_author_adr&gt;&lt;_date_display&gt;2020 Jun&lt;/_date_display&gt;&lt;_date&gt;2020-06-01&lt;/_date&gt;&lt;_doi&gt;10.1097/HJH.0000000000002453&lt;/_doi&gt;&lt;_isbn&gt;1473-5598 (Electronic); 0263-6352 (Linking)&lt;/_isbn&gt;&lt;_issue&gt;6&lt;/_issue&gt;&lt;_journal&gt;J Hypertens&lt;/_journal&gt;&lt;_language&gt;eng&lt;/_language&gt;&lt;_pages&gt;982-1004&lt;/_pages&gt;&lt;_tertiary_title&gt;Journal of hypertension&lt;/_tertiary_title&gt;&lt;_type_work&gt;Journal Article&lt;/_type_work&gt;&lt;_url&gt;http://www.ncbi.nlm.nih.gov/entrez/query.fcgi?cmd=Retrieve&amp;amp;db=pubmed&amp;amp;dopt=Abstract&amp;amp;list_uids=32371787&amp;amp;query_hl=1&lt;/_url&gt;&lt;_volume&gt;38&lt;/_volume&gt;&lt;_created&gt;63426944&lt;/_created&gt;&lt;_modified&gt;63426944&lt;/_modified&gt;&lt;_impact_factor&gt;   4.171&lt;/_impact_factor&gt;&lt;_collection_scope&gt;SCI;SCIE&lt;/_collection_scope&gt;&lt;/Details&gt;&lt;Extra&gt;&lt;DBUID&gt;{749A27AD-B5E1-4ED6-ABD8-A7B8F16E1CAE}&lt;/DBUID&gt;&lt;/Extra&gt;&lt;/Item&gt;&lt;/References&gt;&lt;/Group&gt;&lt;/Citation&gt;_x000a_"/>
    <w:docVar w:name="NE.Ref{9115119A-D14B-48E5-BE69-D8D4448A2424}" w:val=" ADDIN NE.Ref.{9115119A-D14B-48E5-BE69-D8D4448A2424}&lt;Citation&gt;&lt;Group&gt;&lt;References&gt;&lt;Item&gt;&lt;ID&gt;48&lt;/ID&gt;&lt;UID&gt;{E26546D5-3A60-4D71-9E36-B0B8712ED6A3}&lt;/UID&gt;&lt;Title&gt;慢性肾脏病高血压诊治:指南和争议&lt;/Title&gt;&lt;Template&gt;Journal Article&lt;/Template&gt;&lt;Star&gt;0&lt;/Star&gt;&lt;Tag&gt;0&lt;/Tag&gt;&lt;Author&gt;蒋潇; 陈楠&lt;/Author&gt;&lt;Year&gt;2014&lt;/Year&gt;&lt;Details&gt;&lt;_author_aff&gt;上海交通大学医学院附属瑞金医院肾脏科;&lt;/_author_aff&gt;&lt;_date&gt;2014-06-01&lt;/_date&gt;&lt;_db_provider&gt;CNKI: 期刊&lt;/_db_provider&gt;&lt;_issue&gt;06&lt;/_issue&gt;&lt;_journal&gt;中国实用内科杂志&lt;/_journal&gt;&lt;_keywords&gt;慢性肾脏病;高血压;指南;心血管疾病&lt;/_keywords&gt;&lt;_pages&gt;572-575&lt;/_pages&gt;&lt;_url&gt;http://kns.cnki.net/KCMS/detail/detail.aspx?FileName=SYNK201406008&amp;amp;DbName=CJFQ2014&lt;/_url&gt;&lt;_volume&gt;34&lt;/_volume&gt;&lt;_created&gt;63405280&lt;/_created&gt;&lt;_modified&gt;63405280&lt;/_modified&gt;&lt;_db_updated&gt;CNKI - Reference&lt;/_db_updated&gt;&lt;_collection_scope&gt;CSCD;PKU&lt;/_collection_scope&gt;&lt;_translated_author&gt;Jiang, Xiao;Chen, Nan&lt;/_translated_author&gt;&lt;/Details&gt;&lt;Extra&gt;&lt;DBUID&gt;{749A27AD-B5E1-4ED6-ABD8-A7B8F16E1CAE}&lt;/DBUID&gt;&lt;/Extra&gt;&lt;/Item&gt;&lt;/References&gt;&lt;/Group&gt;&lt;/Citation&gt;_x000a_"/>
    <w:docVar w:name="NE.Ref{928EA6B8-3053-4319-A379-A05682387D8D}" w:val=" ADDIN NE.Ref.{928EA6B8-3053-4319-A379-A05682387D8D}&lt;Citation&gt;&lt;Group&gt;&lt;References&gt;&lt;Item&gt;&lt;ID&gt;107&lt;/ID&gt;&lt;UID&gt;{4C118E79-8B02-4DEA-BE28-78BE21883C78}&lt;/UID&gt;&lt;Title&gt;Hypertension in hemodialysis patients treated with atenolol or lisinopril: a randomized controlled trial&lt;/Title&gt;&lt;Template&gt;Journal Article&lt;/Template&gt;&lt;Star&gt;0&lt;/Star&gt;&lt;Tag&gt;0&lt;/Tag&gt;&lt;Author&gt;Rajiv, Agarwal; Sinha, Arjun D; Pappas, Maria K; Abraham, Terri N; Tegegne, Getachew G&lt;/Author&gt;&lt;Year&gt;2014&lt;/Year&gt;&lt;Details&gt;&lt;_issue&gt;3&lt;/_issue&gt;&lt;_journal&gt;Nephrology, dialysis, transplantation : official publication of the European Dialysis and Transplant Association - European Renal Association&lt;/_journal&gt;&lt;_volume&gt;29&lt;/_volume&gt;&lt;_created&gt;63434386&lt;/_created&gt;&lt;_modified&gt;63434386&lt;/_modified&gt;&lt;/Details&gt;&lt;Extra&gt;&lt;DBUID&gt;{749A27AD-B5E1-4ED6-ABD8-A7B8F16E1CAE}&lt;/DBUID&gt;&lt;/Extra&gt;&lt;/Item&gt;&lt;/References&gt;&lt;/Group&gt;&lt;/Citation&gt;_x000a_"/>
    <w:docVar w:name="NE.Ref{92F2EDF6-46ED-4048-8036-A2A0F6A05CBF}" w:val=" ADDIN NE.Ref.{92F2EDF6-46ED-4048-8036-A2A0F6A05CBF}&lt;Citation&gt;&lt;Group&gt;&lt;References&gt;&lt;Item&gt;&lt;ID&gt;138&lt;/ID&gt;&lt;UID&gt;{D9BC6D38-4C8A-4B34-A8B2-87709EA7388B}&lt;/UID&gt;&lt;Title&gt;Home blood pressures are of greater prognostic value than hemodialysis unit  recordings&lt;/Title&gt;&lt;Template&gt;Journal Article&lt;/Template&gt;&lt;Star&gt;0&lt;/Star&gt;&lt;Tag&gt;0&lt;/Tag&gt;&lt;Author&gt;Alborzi, P; Patel, N; Agarwal, R&lt;/Author&gt;&lt;Year&gt;2007&lt;/Year&gt;&lt;Details&gt;&lt;_accession_num&gt;17942773&lt;/_accession_num&gt;&lt;_author_adr&gt;Indiana University School of Medicine and Richard L. Roudebush Veterans  Administration Medical Center, Indianapolis, Indiana 46202, USA.&lt;/_author_adr&gt;&lt;_created&gt;63468935&lt;/_created&gt;&lt;_date&gt;2007-11-01&lt;/_date&gt;&lt;_date_display&gt;2007 Nov&lt;/_date_display&gt;&lt;_doi&gt;10.2215/CJN.02250507&lt;/_doi&gt;&lt;_impact_factor&gt;   6.628&lt;/_impact_factor&gt;&lt;_isbn&gt;1555-905X (Electronic); 1555-9041 (Linking)&lt;/_isbn&gt;&lt;_issue&gt;6&lt;/_issue&gt;&lt;_journal&gt;Clin J Am Soc Nephrol&lt;/_journal&gt;&lt;_language&gt;eng&lt;/_language&gt;&lt;_modified&gt;63468935&lt;/_modified&gt;&lt;_pages&gt;1228-34&lt;/_pages&gt;&lt;_subject_headings&gt;Adult; Aged; *Blood Pressure Determination; *Blood Pressure Monitoring, Ambulatory; Cohort Studies; Cross-Sectional Studies; Female; Humans; Male; Middle Aged; Prognosis; Prospective Studies; Renal Dialysis/*mortality; *Self Care&lt;/_subject_headings&gt;&lt;_tertiary_title&gt;Clinical journal of the American Society of Nephrology : CJASN&lt;/_tertiary_title&gt;&lt;_type_work&gt;Journal Article; Research Support, N.I.H., Extramural&lt;/_type_work&gt;&lt;_url&gt;http://www.ncbi.nlm.nih.gov/entrez/query.fcgi?cmd=Retrieve&amp;amp;db=pubmed&amp;amp;dopt=Abstract&amp;amp;list_uids=17942773&amp;amp;query_hl=1&lt;/_url&gt;&lt;_volume&gt;2&lt;/_volume&gt;&lt;/Details&gt;&lt;Extra&gt;&lt;DBUID&gt;{749A27AD-B5E1-4ED6-ABD8-A7B8F16E1CAE}&lt;/DBUID&gt;&lt;/Extra&gt;&lt;/Item&gt;&lt;/References&gt;&lt;/Group&gt;&lt;Group&gt;&lt;References&gt;&lt;Item&gt;&lt;ID&gt;139&lt;/ID&gt;&lt;UID&gt;{10CB7E5B-2FB8-4401-ADE3-BB9DC0A593D6}&lt;/UID&gt;&lt;Title&gt;Blood pressure and mortality among hemodialysis patients&lt;/Title&gt;&lt;Template&gt;Journal Article&lt;/Template&gt;&lt;Star&gt;0&lt;/Star&gt;&lt;Tag&gt;0&lt;/Tag&gt;&lt;Author&gt;Agarwal, R&lt;/Author&gt;&lt;Year&gt;2010&lt;/Year&gt;&lt;Details&gt;&lt;_accession_num&gt;20083728&lt;/_accession_num&gt;&lt;_author_adr&gt;Indiana University, Richard L. Roudebush Veterans Administration Medical Center,  Indianapolis, IN 46202, USA. ragarwal@iupui.edu&lt;/_author_adr&gt;&lt;_collection_scope&gt;SCI;SCIE&lt;/_collection_scope&gt;&lt;_created&gt;63468937&lt;/_created&gt;&lt;_date&gt;2010-03-01&lt;/_date&gt;&lt;_date_display&gt;2010 Mar&lt;/_date_display&gt;&lt;_doi&gt;10.1161/HYPERTENSIONAHA.109.144899&lt;/_doi&gt;&lt;_impact_factor&gt;   7.713&lt;/_impact_factor&gt;&lt;_isbn&gt;1524-4563 (Electronic); 0194-911X (Print); 0194-911X (Linking)&lt;/_isbn&gt;&lt;_issue&gt;3&lt;/_issue&gt;&lt;_journal&gt;Hypertension&lt;/_journal&gt;&lt;_language&gt;eng&lt;/_language&gt;&lt;_modified&gt;63468937&lt;/_modified&gt;&lt;_pages&gt;762-8&lt;/_pages&gt;&lt;_subject_headings&gt;Adult; Aged; *Blood Pressure; Blood Pressure Monitoring, Ambulatory/*mortality; Cohort Studies; Female; Follow-Up Studies; Humans; Hypertension, Renal/*diagnosis/*mortality; Kaplan-Meier Estimate; Kidney Failure, Chronic/*mortality/therapy; Male; Middle Aged; Morbidity; Nonlinear Dynamics; Predictive Value of Tests; Prognosis; Proportional Hazards Models; Renal Dialysis/*mortality&lt;/_subject_headings&gt;&lt;_tertiary_title&gt;Hypertension (Dallas, Tex. : 1979)&lt;/_tertiary_title&gt;&lt;_type_work&gt;Journal Article; Research Support, N.I.H., Extramural&lt;/_type_work&gt;&lt;_url&gt;http://www.ncbi.nlm.nih.gov/entrez/query.fcgi?cmd=Retrieve&amp;amp;db=pubmed&amp;amp;dopt=Abstract&amp;amp;list_uids=20083728&amp;amp;query_hl=1&lt;/_url&gt;&lt;_volume&gt;55&lt;/_volume&gt;&lt;/Details&gt;&lt;Extra&gt;&lt;DBUID&gt;{749A27AD-B5E1-4ED6-ABD8-A7B8F16E1CAE}&lt;/DBUID&gt;&lt;/Extra&gt;&lt;/Item&gt;&lt;/References&gt;&lt;/Group&gt;&lt;/Citation&gt;_x000a_"/>
    <w:docVar w:name="NE.Ref{93EB30C5-DF86-4F7C-9D4D-AA532B476B3E}" w:val=" ADDIN NE.Ref.{93EB30C5-DF86-4F7C-9D4D-AA532B476B3E}&lt;Citation&gt;&lt;Group&gt;&lt;References&gt;&lt;Item&gt;&lt;ID&gt;51&lt;/ID&gt;&lt;UID&gt;{7C18551B-7F27-42AD-9B3A-307D21EF0BE2}&lt;/UID&gt;&lt;Title&gt;Hypertension Awareness, Treatment, and Control in Adults With CKD: Results From the Chronic Renal Insufficiency Cohort (CRIC) Study&lt;/Title&gt;&lt;Template&gt;Journal Article&lt;/Template&gt;&lt;Star&gt;0&lt;/Star&gt;&lt;Tag&gt;0&lt;/Tag&gt;&lt;Author&gt;Muntner, Paul; Anderson, Amanda; Charleston, Jeanne; Chen, Zhen; Ford, Virginia; Makos, Gail; O&amp;apos;Connor, Andrew; Perumal, Kalyani; Rahman, Mahboob; Steigerwalt, Susan; Teal, Valerie; Townsend, Raymond; Weir, Matthew; Wright, Jackson T; Chronic, Renal Insufficiency Cohort CRIC&lt;/Author&gt;&lt;Year&gt;2010&lt;/Year&gt;&lt;Details&gt;&lt;_issue&gt;3&lt;/_issue&gt;&lt;_journal&gt;American Journal of Kidney Diseases&lt;/_journal&gt;&lt;_pages&gt;441-451&lt;/_pages&gt;&lt;_volume&gt;55&lt;/_volume&gt;&lt;_created&gt;63405349&lt;/_created&gt;&lt;_modified&gt;63405349&lt;/_modified&gt;&lt;_impact_factor&gt;   6.618&lt;/_impact_factor&gt;&lt;_collection_scope&gt;SCI;SCIE&lt;/_collection_scope&gt;&lt;_url&gt;http://pku.summon.serialssolutions.com/2.0.0/link/0/eLvHCXMwnV1LT9wwELaAQ9ULhVIopSAfQWwg8SOJe4PAiqeEeAiJi-WNHe0uana12VXVM3-cmTygW0FFkXyIYie27PH4G834G0I42_G9v3QCaEA4OqSIVMci6ZVkkY0tB9Msi0yVQvLuPD67YO1DeTJDWq849CXf7e-Y_r2tiSahlEmsOYBypHg82H8m3OWVn5JFzAMZC-sLMy__YvpQwtjMFADfy-fTdOzkH4dR-9P_jXuBzNegk-5VUrJIZlz-mXw4r93qS-ThCKzRURnLPsjp3i-8IAYasEWvmzD0FjW5pUkV10570Ah5Owp62xt3aXJ68INeuqJ80x4NflJAlbSm3YUK7Ps4LyYlWwVe9YQfdQH2083k8jjZohjL-PsLuWkfXidHXp2dwQMlKZRnuWNZJwOMoXwujXDcGMWsEKlSYN2m1rGwA9ZcGAQ8800qU4YprbkKUpOGYcyXyVw-yN1XQo3MOLOA9WOTikAJUAVGMhcqblQmmFgl283y6GFFwqFL57nkYLzgvGI2TaWxBNi6WcE3tY6aRdbNZVRQn66o93KhA10w7esrFCWUJB8gFDzwVSKfvqzhSgVDNKz9P3tcqUToeXQwSyz2YxjLlHA9NUAO8OmavNctucAZ8hUG4ts7x7JGPlbhEBhU953MjUcTt05mh_eTjXI7PQJv6hu4&lt;/_url&gt;&lt;_place_published&gt;United States&lt;/_place_published&gt;&lt;_number&gt;1&lt;/_number&gt;&lt;_doi&gt;10.1053/j.ajkd.2009.09.014&lt;/_doi&gt;&lt;_date_display&gt;2010&lt;/_date_display&gt;&lt;_date&gt;57854880&lt;/_date&gt;&lt;_isbn&gt;0272-6386&lt;/_isbn&gt;&lt;_ori_publication&gt;Elsevier BV&lt;/_ori_publication&gt;&lt;_keywords&gt;Nephrology; Hypertension; treatment; chronic kidney disease; control; awareness; Humans; Middle Aged; Hypertension - drug therapy; Male; Young Adult; Hypertension - complications; Hypertension - prevention &amp;amp; control; Adult; Female; Renal Insufficiency - complications; Aged; Kidney Diseases - complications; Chronic Disease&lt;/_keywords&gt;&lt;_accessed&gt;63405349&lt;/_accessed&gt;&lt;_db_updated&gt;PKU Search&lt;/_db_updated&gt;&lt;/Details&gt;&lt;Extra&gt;&lt;DBUID&gt;{749A27AD-B5E1-4ED6-ABD8-A7B8F16E1CAE}&lt;/DBUID&gt;&lt;/Extra&gt;&lt;/Item&gt;&lt;/References&gt;&lt;/Group&gt;&lt;Group&gt;&lt;References&gt;&lt;Item&gt;&lt;ID&gt;157&lt;/ID&gt;&lt;UID&gt;{C6FC851F-E901-4219-BD9E-29AAA2D70551}&lt;/UID&gt;&lt;Title&gt;Hypertension awareness, treatment, and control in adults with CKD: results from the  Chronic Renal Insufficiency Cohort (CRIC) Study&lt;/Title&gt;&lt;Template&gt;Journal Article&lt;/Template&gt;&lt;Star&gt;0&lt;/Star&gt;&lt;Tag&gt;0&lt;/Tag&gt;&lt;Author&gt;Muntner, P; Anderson, A; Charleston, J; Chen, Z; Ford, V; Makos, G; O&amp;apos;Connor, A; Perumal, K; Rahman, M; Steigerwalt, S; Teal, V; Townsend, R; Weir, M; Wright, JT Jr&lt;/Author&gt;&lt;Year&gt;2010&lt;/Year&gt;&lt;Details&gt;&lt;_accession_num&gt;19962808&lt;/_accession_num&gt;&lt;_author_adr&gt;Department of Epidemiology, University of Alabama at Birmingham, Birmingham, AL  35294, USA. pmuntner@uab.edu&lt;/_author_adr&gt;&lt;_date_display&gt;2010 Mar&lt;/_date_display&gt;&lt;_date&gt;2010-03-01&lt;/_date&gt;&lt;_doi&gt;10.1053/j.ajkd.2009.09.014&lt;/_doi&gt;&lt;_isbn&gt;1523-6838 (Electronic); 0272-6386 (Print); 0272-6386 (Linking)&lt;/_isbn&gt;&lt;_issue&gt;3&lt;/_issue&gt;&lt;_journal&gt;Am J Kidney Dis&lt;/_journal&gt;&lt;_language&gt;eng&lt;/_language&gt;&lt;_ori_publication&gt;Copyright 2010 National Kidney Foundation, Inc. All rights reserved.&lt;/_ori_publication&gt;&lt;_pages&gt;441-51&lt;/_pages&gt;&lt;_subject_headings&gt;Adult; Aged; Chronic Disease; Female; Humans; Hypertension/*complications/*drug therapy/prevention &amp;amp; control; Kidney Diseases/*complications; Male; Middle Aged; Renal Insufficiency/*complications; Young Adult&lt;/_subject_headings&gt;&lt;_tertiary_title&gt;American journal of kidney diseases : the official journal of the National Kidney _x000d__x000a_      Foundation&lt;/_tertiary_title&gt;&lt;_type_work&gt;Journal Article; Research Support, N.I.H., Extramural&lt;/_type_work&gt;&lt;_url&gt;http://www.ncbi.nlm.nih.gov/entrez/query.fcgi?cmd=Retrieve&amp;amp;db=pubmed&amp;amp;dopt=Abstract&amp;amp;list_uids=19962808&amp;amp;query_hl=1&lt;/_url&gt;&lt;_volume&gt;55&lt;/_volume&gt;&lt;_created&gt;63480486&lt;/_created&gt;&lt;_modified&gt;63480486&lt;/_modified&gt;&lt;_impact_factor&gt;   6.618&lt;/_impact_factor&gt;&lt;_collection_scope&gt;SCI;SCIE&lt;/_collection_scope&gt;&lt;/Details&gt;&lt;Extra&gt;&lt;DBUID&gt;{749A27AD-B5E1-4ED6-ABD8-A7B8F16E1CAE}&lt;/DBUID&gt;&lt;/Extra&gt;&lt;/Item&gt;&lt;/References&gt;&lt;/Group&gt;&lt;/Citation&gt;_x000a_"/>
    <w:docVar w:name="NE.Ref{94D72BB3-3204-4DFE-96C5-348E2BFB00BA}" w:val=" ADDIN NE.Ref.{94D72BB3-3204-4DFE-96C5-348E2BFB00BA}&lt;Citation&gt;&lt;Group&gt;&lt;References&gt;&lt;Item&gt;&lt;ID&gt;119&lt;/ID&gt;&lt;UID&gt;{2EBEF206-C254-4C11-B894-8CACDFA3AC43}&lt;/UID&gt;&lt;Title&gt;肾脏病临床概览&lt;/Title&gt;&lt;Template&gt;Book&lt;/Template&gt;&lt;Star&gt;0&lt;/Star&gt;&lt;Tag&gt;0&lt;/Tag&gt;&lt;Author&gt;王海燕&lt;/Author&gt;&lt;Year&gt;2010&lt;/Year&gt;&lt;Details&gt;&lt;_created&gt;63467638&lt;/_created&gt;&lt;_modified&gt;63467638&lt;/_modified&gt;&lt;_publisher&gt;北京大学医学出版社&lt;/_publisher&gt;&lt;_translated_author&gt;Wang, Haiyan&lt;/_translated_author&gt;&lt;/Details&gt;&lt;Extra&gt;&lt;DBUID&gt;{749A27AD-B5E1-4ED6-ABD8-A7B8F16E1CAE}&lt;/DBUID&gt;&lt;/Extra&gt;&lt;/Item&gt;&lt;/References&gt;&lt;/Group&gt;&lt;/Citation&gt;_x000a_"/>
    <w:docVar w:name="NE.Ref{95914DFA-D054-4BE8-8DFA-9130C128A88D}" w:val=" ADDIN NE.Ref.{95914DFA-D054-4BE8-8DFA-9130C128A88D}&lt;Citation&gt;&lt;Group&gt;&lt;References&gt;&lt;Item&gt;&lt;ID&gt;184&lt;/ID&gt;&lt;UID&gt;{B50E0A20-8CF9-40A9-AA9C-BE6B657E3747}&lt;/UID&gt;&lt;Title&gt;β -Blocker Dialyzability in Maintenance Hemodialysis Patients: A Randomized Clinical Trial&lt;/Title&gt;&lt;Template&gt;Journal Article&lt;/Template&gt;&lt;Star&gt;0&lt;/Star&gt;&lt;Tag&gt;0&lt;/Tag&gt;&lt;Author&gt;Tieu, A; Velenosi, T J; Kucey, A S; Weir, M A; Urquhart, B L&lt;/Author&gt;&lt;Year&gt;2018&lt;/Year&gt;&lt;Details&gt;&lt;_issue&gt;4&lt;/_issue&gt;&lt;_journal&gt;Clinical Journal of the American Society of Nephrology&lt;/_journal&gt;&lt;_pages&gt;CJN.07470717&lt;/_pages&gt;&lt;_volume&gt;13&lt;/_volume&gt;&lt;_created&gt;63806040&lt;/_created&gt;&lt;_modified&gt;63806040&lt;/_modified&gt;&lt;_impact_factor&gt;   6.628&lt;/_impact_factor&gt;&lt;_collection_scope&gt;SCIE&lt;/_collection_scope&gt;&lt;/Details&gt;&lt;Extra&gt;&lt;DBUID&gt;{749A27AD-B5E1-4ED6-ABD8-A7B8F16E1CAE}&lt;/DBUID&gt;&lt;/Extra&gt;&lt;/Item&gt;&lt;/References&gt;&lt;/Group&gt;&lt;/Citation&gt;_x000a_"/>
    <w:docVar w:name="NE.Ref{96A11202-C1F8-4D2E-875C-B979608C29C7}" w:val=" ADDIN NE.Ref.{96A11202-C1F8-4D2E-875C-B979608C29C7}&lt;Citation&gt;&lt;Group&gt;&lt;References&gt;&lt;Item&gt;&lt;ID&gt;85&lt;/ID&gt;&lt;UID&gt;{95089CA7-4BA3-4A66-AE88-83F734FFC6A2}&lt;/UID&gt;&lt;Title&gt;2014 evidence-based guideline for the management of high blood pressure in adults: Report from the panel members appointed to the eighth joint national committee (JNC 8)&lt;/Title&gt;&lt;Template&gt;Journal Article&lt;/Template&gt;&lt;Star&gt;0&lt;/Star&gt;&lt;Tag&gt;0&lt;/Tag&gt;&lt;Author&gt;James; P., A; Oparil; Carter; B., L&lt;/Author&gt;&lt;Year&gt;2014&lt;/Year&gt;&lt;Details&gt;&lt;_journal&gt;Journal of Cardiopulmonary Rehabilitation &amp;amp; Prevention&lt;/_journal&gt;&lt;_created&gt;63426834&lt;/_created&gt;&lt;_modified&gt;63426834&lt;/_modified&gt;&lt;/Details&gt;&lt;Extra&gt;&lt;DBUID&gt;{749A27AD-B5E1-4ED6-ABD8-A7B8F16E1CAE}&lt;/DBUID&gt;&lt;/Extra&gt;&lt;/Item&gt;&lt;/References&gt;&lt;/Group&gt;&lt;/Citation&gt;_x000a_"/>
    <w:docVar w:name="NE.Ref{974B7426-6487-4D70-8CAB-59743185F1F7}" w:val=" ADDIN NE.Ref.{974B7426-6487-4D70-8CAB-59743185F1F7}&lt;Citation&gt;&lt;Group&gt;&lt;References&gt;&lt;Item&gt;&lt;ID&gt;93&lt;/ID&gt;&lt;UID&gt;{C823AFC1-3806-4338-BDDB-B84B48654A97}&lt;/UID&gt;&lt;Title&gt;中国血液透析充分性临床实践指南&lt;/Title&gt;&lt;Template&gt;Journal Article&lt;/Template&gt;&lt;Star&gt;0&lt;/Star&gt;&lt;Tag&gt;0&lt;/Tag&gt;&lt;Author&gt;中国医师协会肾脏病医师分会血液透析充分性协作组&lt;/Author&gt;&lt;Year&gt;2015&lt;/Year&gt;&lt;Details&gt;&lt;_collection_scope&gt;CSCD;PKU&lt;/_collection_scope&gt;&lt;_created&gt;63426956&lt;/_created&gt;&lt;_issue&gt;34&lt;/_issue&gt;&lt;_journal&gt;中华医学杂志&lt;/_journal&gt;&lt;_modified&gt;63426956&lt;/_modified&gt;&lt;_pages&gt;2748-2753&lt;/_pages&gt;&lt;_volume&gt;95&lt;/_volume&gt;&lt;_translated_author&gt;Zhong, Guoyishixiehuishenzangbingyishifenhuixueyetouxichongfenxingxiezuozu&lt;/_translated_author&gt;&lt;/Details&gt;&lt;Extra&gt;&lt;DBUID&gt;{749A27AD-B5E1-4ED6-ABD8-A7B8F16E1CAE}&lt;/DBUID&gt;&lt;/Extra&gt;&lt;/Item&gt;&lt;/References&gt;&lt;/Group&gt;&lt;/Citation&gt;_x000a_"/>
    <w:docVar w:name="NE.Ref{9929B708-F6EA-4CC6-820E-CDC6A5544A95}" w:val=" ADDIN NE.Ref.{9929B708-F6EA-4CC6-820E-CDC6A5544A95}&lt;Citation&gt;&lt;Group&gt;&lt;References&gt;&lt;Item&gt;&lt;ID&gt;76&lt;/ID&gt;&lt;UID&gt;{6382CFD3-9241-4687-8C35-AE44F0D8E486}&lt;/UID&gt;&lt;Title&gt;高血压合理用药指南(第2版)&lt;/Title&gt;&lt;Template&gt;Journal Article&lt;/Template&gt;&lt;Star&gt;0&lt;/Star&gt;&lt;Tag&gt;0&lt;/Tag&gt;&lt;Author&gt;国家卫生计生委合理用药专家委员会; 中国医师协会高血压专业委员会&lt;/Author&gt;&lt;Year&gt;2017&lt;/Year&gt;&lt;Details&gt;&lt;_created&gt;63405755&lt;/_created&gt;&lt;_issue&gt;7&lt;/_issue&gt;&lt;_journal&gt;中国医学前沿杂志(电子版)&lt;/_journal&gt;&lt;_modified&gt;63405755&lt;/_modified&gt;&lt;_translated_author&gt;Guo, Jiaweishengjishengweiheliyongyaozhuanjiaweiyuanhui;Zhong, Guoyishixiehuigaoxueyazhuanyeweiyuanhui&lt;/_translated_author&gt;&lt;/Details&gt;&lt;Extra&gt;&lt;DBUID&gt;{749A27AD-B5E1-4ED6-ABD8-A7B8F16E1CAE}&lt;/DBUID&gt;&lt;/Extra&gt;&lt;/Item&gt;&lt;/References&gt;&lt;/Group&gt;&lt;/Citation&gt;_x000a_"/>
    <w:docVar w:name="NE.Ref{9BFE18C2-C7D2-47E9-ABA8-E63C803D5BB7}" w:val=" ADDIN NE.Ref.{9BFE18C2-C7D2-47E9-ABA8-E63C803D5BB7}&lt;Citation&gt;&lt;Group&gt;&lt;References&gt;&lt;Item&gt;&lt;ID&gt;166&lt;/ID&gt;&lt;UID&gt;{21E55782-5075-4412-9F8E-4952D89D0257}&lt;/UID&gt;&lt;Title&gt;Long-term effects of spironolactone in peritoneal dialysis patients.&lt;/Title&gt;&lt;Template&gt;Journal Article&lt;/Template&gt;&lt;Star&gt;0&lt;/Star&gt;&lt;Tag&gt;0&lt;/Tag&gt;&lt;Author&gt;Ito, Y; Mizuno, M; Suzuki, Y; Tamai, H; Hiramatsu, T; Ohashi, H; Ito, I; Kasuga, H; Horie, M; Maruyama, S&lt;/Author&gt;&lt;Year&gt;2014&lt;/Year&gt;&lt;Details&gt;&lt;_created&gt;63659020&lt;/_created&gt;&lt;_issue&gt;5&lt;/_issue&gt;&lt;_journal&gt;Journal of the American Society of Nephrology Jasn&lt;/_journal&gt;&lt;_modified&gt;63659020&lt;/_modified&gt;&lt;_pages&gt;1094-102&lt;/_pages&gt;&lt;_volume&gt;25&lt;/_volume&gt;&lt;/Details&gt;&lt;Extra&gt;&lt;DBUID&gt;{749A27AD-B5E1-4ED6-ABD8-A7B8F16E1CAE}&lt;/DBUID&gt;&lt;/Extra&gt;&lt;/Item&gt;&lt;/References&gt;&lt;/Group&gt;&lt;Group&gt;&lt;References&gt;&lt;Item&gt;&lt;ID&gt;167&lt;/ID&gt;&lt;UID&gt;{B9109A57-758D-44A2-A34A-CFAD10C721AF}&lt;/UID&gt;&lt;Title&gt;Long-Term Low-Dose Spironolactone Therapy Is Safe in Oligoanuric Hemodialysis Patients&lt;/Title&gt;&lt;Template&gt;Journal Article&lt;/Template&gt;&lt;Star&gt;0&lt;/Star&gt;&lt;Tag&gt;0&lt;/Tag&gt;&lt;Author&gt;Yoshihiro; Matsumoto; Shinji; Kageyama; Toru; Yakushigawa; Kazuo; Arihara; Toshikazu; Sugiyama&lt;/Author&gt;&lt;Year&gt;2009&lt;/Year&gt;&lt;Details&gt;&lt;_collection_scope&gt;SCI;SCIE&lt;/_collection_scope&gt;&lt;_created&gt;63659024&lt;/_created&gt;&lt;_impact_factor&gt;   1.791&lt;/_impact_factor&gt;&lt;_issue&gt;1&lt;/_issue&gt;&lt;_journal&gt;Cardiology&lt;/_journal&gt;&lt;_modified&gt;63659024&lt;/_modified&gt;&lt;_pages&gt;32-38&lt;/_pages&gt;&lt;_volume&gt;114&lt;/_volume&gt;&lt;/Details&gt;&lt;Extra&gt;&lt;DBUID&gt;{749A27AD-B5E1-4ED6-ABD8-A7B8F16E1CAE}&lt;/DBUID&gt;&lt;/Extra&gt;&lt;/Item&gt;&lt;/References&gt;&lt;/Group&gt;&lt;Group&gt;&lt;References&gt;&lt;Item&gt;&lt;ID&gt;165&lt;/ID&gt;&lt;UID&gt;{5984CFD0-1363-4E99-92FE-F6B406D4A231}&lt;/UID&gt;&lt;Title&gt;The Safety of Eplerenone in Hemodialysis Patients: A Noninferiority Randomized Controlled Trial&lt;/Title&gt;&lt;Template&gt;Journal Article&lt;/Template&gt;&lt;Star&gt;0&lt;/Star&gt;&lt;Tag&gt;0&lt;/Tag&gt;&lt;Author&gt;Walsh, Michael; Manns, Braden; Garg, Amit X; Bueti, Joe; Rabbat, Christian; Smyth, Andrew; Tyrwhitt, Jessica; Bosch, Jackie; Gao, Peggy; Devereaux, P J&lt;/Author&gt;&lt;Year&gt;2015&lt;/Year&gt;&lt;Details&gt;&lt;_collection_scope&gt;SCIE&lt;/_collection_scope&gt;&lt;_created&gt;63659015&lt;/_created&gt;&lt;_impact_factor&gt;   6.628&lt;/_impact_factor&gt;&lt;_issue&gt;9&lt;/_issue&gt;&lt;_journal&gt;Clinical Journal of the American Society of Nephrology&lt;/_journal&gt;&lt;_modified&gt;63659015&lt;/_modified&gt;&lt;_pages&gt;1602&lt;/_pages&gt;&lt;_volume&gt;10&lt;/_volume&gt;&lt;/Details&gt;&lt;Extra&gt;&lt;DBUID&gt;{749A27AD-B5E1-4ED6-ABD8-A7B8F16E1CAE}&lt;/DBUID&gt;&lt;/Extra&gt;&lt;/Item&gt;&lt;/References&gt;&lt;/Group&gt;&lt;Group&gt;&lt;References&gt;&lt;Item&gt;&lt;ID&gt;168&lt;/ID&gt;&lt;UID&gt;{97EB75F1-B31A-4B58-BE59-699F79BDABC7}&lt;/UID&gt;&lt;Title&gt;Spironolactone is secure and reduces left ventricular hypertrophy in hemodialysis patients.&lt;/Title&gt;&lt;Template&gt;Journal Article&lt;/Template&gt;&lt;Star&gt;0&lt;/Star&gt;&lt;Tag&gt;0&lt;/Tag&gt;&lt;Author&gt;Mengue, Greicy Mara; Feniman-De-Stefano; Garcia, Silméia; Zanati-Basan; Martins, Laercio; Stefano, De; Santi, Patrícia; Xavier; Dóris, Ana; Castro&lt;/Author&gt;&lt;Year&gt;2015&lt;/Year&gt;&lt;Details&gt;&lt;_created&gt;63659030&lt;/_created&gt;&lt;_journal&gt;Therapeutic advances in cardiovascular disease&lt;/_journal&gt;&lt;_modified&gt;63659030&lt;/_modified&gt;&lt;/Details&gt;&lt;Extra&gt;&lt;DBUID&gt;{749A27AD-B5E1-4ED6-ABD8-A7B8F16E1CAE}&lt;/DBUID&gt;&lt;/Extra&gt;&lt;/Item&gt;&lt;/References&gt;&lt;/Group&gt;&lt;/Citation&gt;_x000a_"/>
    <w:docVar w:name="NE.Ref{A176C9E5-5173-49D6-8E90-C3BFE331F9FA}" w:val=" ADDIN NE.Ref.{A176C9E5-5173-49D6-8E90-C3BFE331F9FA}&lt;Citation&gt;&lt;Group&gt;&lt;References&gt;&lt;Item&gt;&lt;ID&gt;114&lt;/ID&gt;&lt;UID&gt;{F4EE6150-884A-4BA0-9967-B59D9EB8B214}&lt;/UID&gt;&lt;Title&gt;Effects of Intensive BP Control in CKD&lt;/Title&gt;&lt;Template&gt;Journal Article&lt;/Template&gt;&lt;Star&gt;0&lt;/Star&gt;&lt;Tag&gt;5&lt;/Tag&gt;&lt;Author&gt;Cheung, A K; Rahman, M; Reboussin, D M; Craven, T E; Greene, T; Kimmel, P L; Cushman, W C; Hawfield, A T; Johnson, K C; Lewis, C E; Oparil, S; Rocco, M V; Sink, K M; Whelton, P K; Wright, JT Jr; Basile, J; Beddhu, S; Bhatt, U; Chang, T I; Chertow, G M; Chonchol, M; Freedman, B I; Haley, W; Ix, J H; Katz, L A; Killeen, A A; Papademetriou, V; Ricardo, A C; Servilla, K; Wall, B; Wolfgram, D; Yee, J&lt;/Author&gt;&lt;Year&gt;2017&lt;/Year&gt;&lt;Details&gt;&lt;_accession_num&gt;28642330&lt;/_accession_num&gt;&lt;_author_adr&gt;Division of Nephrology and Hypertension and alfred.cheung@hsc.utah.edu.; Medical Service, Veterans Affairs Salt Lake City Healthcare System, Salt Lake City,  Utah.; Division of Nephrology and Hypertension, University Hospitals Cleveland Medical  Center, Case Western Reserve University Hospitals, Cleveland, Ohio.; Department of Medicine, Louis Stokes Cleveland Veterans Affairs Medical Center,  Cleveland, Ohio.; Department of Biostatistical Sciences, Wake Forest School of Medicine,  Winston-Salem, North Carolina.; Department of Biostatistical Sciences, Wake Forest School of Medicine,  Winston-Salem, North Carolina.; Department of Population Health Sciences, University of Utah, Salt Lake City, Utah.; Division of Kidney, Urologic, and Hematologic Diseases, National Institute of  Diabetes and Digestive and Kidney Diseases, National Institutes of Health, Bethesda,  Maryland.; Hypertension Section, Medical Service and.; Department of Internal Medicine, Section on Nephrology and.; Department of Preventive Medicine and.; Division of Preventive Medicine, School of Medicine, University of Alabama at  Birmingham School of Medicine, Birmingham, Alabama.; Division of Cardiovascular Disease, Department of Medicine, University of Alabama at  Birmingham, Birmingham, Alabama.; Department of Internal Medicine, Section on Nephrology and.; Department of Internal Medicine, Section on Gerontology and Geriatric Medicine, Wake  Forest School of Medicine, Winston-Salem, North Carolina.; Department of Epidemiology, Tulane University School of Public Health and Tropical  Medicine, New Orleans, Louisiana.; Division of Nephrology and Hypertension, University Hospitals Cleveland Medical  Center, Case Western Reserve University Hospitals, Cleveland, Ohio.; Department of Medicine, Medical University of South Carolina, Charleston, South  Carolina.; Primary Care Research, Ralph H. Johnson Veterans Affairs Medical Center, Charleston,  South Carolina.; Division of Nephrology and Hypertension and.; Medical Service, Veterans Affairs Salt Lake City Healthcare System, Salt Lake City,  Utah.; Division of Nephrology, Ohio State University Medical Center, Columbus, Ohio.; Division of Nephrology, Department of Medicine, Stanford University School of  Medicine, Stanford, California.; Division of Nephrology, Department of Medicine, Stanford University School of  Medicine, Stanford, California.; Department of Medicine, Division of Renal Diseases and Hypertension, University of  Colorado Anschutz Medical Campus, Aurora, Colorado.; Department of Internal Medicine, Section on Nephrology and.; Division of Nephrology and Hypertension, Mayo Clinic Florida, Jacksonville, Florida.; Division of Nephrology-Hypertension, Department of Medicine, University of  California, San Diego, California.; Medical Service, Veterans Affairs New York Harbor Healthcare System, New York, New  York.; Department of Medicine, New York University School of Medicine, New York, New York.; Department of Laboratory Medicine and Pathology, University of Minnesota,  Minneapolis, Minnesota.; Division of Cardiology, Department of Medicine, Veterans Affairs Medical Center,  Washington, DC.; Department of Medicine, Division of Nephrology, University of Illinois, Chicago,  Illinois.; Renal Section, Medicine Service, New Mexico Veterans Affairs Health Care System,  Albuquerque, New Mexico.; Nephrology Section, Internal Medicine, Memphis Veterans Affairs Medical Center,  Memphis, Tennessee.; Department of Nephrology, University of Tennessee Health Science Center, Memphis,  Tennessee.; Section of Nephrology, Department of Medicine, Milwaukee Veterans Affairs Medical  Center, Milwaukee, Wisconsin; and.; Division of Nephrology and Hypertension, Henry Ford Hospital, Detroit, Michigan.&lt;/_author_adr&gt;&lt;_collection_scope&gt;SCI;SCIE&lt;/_collection_scope&gt;&lt;_created&gt;63464650&lt;/_created&gt;&lt;_date&gt;2017-09-01&lt;/_date&gt;&lt;_date_display&gt;2017 Sep&lt;/_date_display&gt;&lt;_doi&gt;10.1681/ASN.2017020148&lt;/_doi&gt;&lt;_impact_factor&gt;   9.274&lt;/_impact_factor&gt;&lt;_isbn&gt;1533-3450 (Electronic); 1046-6673 (Print); 1046-6673 (Linking)&lt;/_isbn&gt;&lt;_issue&gt;9&lt;/_issue&gt;&lt;_journal&gt;J Am Soc Nephrol&lt;/_journal&gt;&lt;_keywords&gt;blood pressure; cardiovascular disease; chronic kidney disease; glomerular filtration rate; hypertension; mortality&lt;/_keywords&gt;&lt;_language&gt;eng&lt;/_language&gt;&lt;_modified&gt;63464651&lt;/_modified&gt;&lt;_ori_publication&gt;Copyright © 2017 by the American Society of Nephrology.&lt;/_ori_publication&gt;&lt;_pages&gt;2812-2823&lt;/_pages&gt;&lt;_subject_headings&gt;Acute Coronary Syndrome/epidemiology; Aged; Aged, 80 and over; Antihypertensive Agents/therapeutic use; *Blood Pressure; *Cause of Death; Female; Follow-Up Studies; Glomerular Filtration Rate; Heart Failure/epidemiology; Humans; Hypertension/complications/*drug therapy/*physiopathology; Kidney Failure, Chronic/physiopathology; Male; Middle Aged; Myocardial Infarction/epidemiology; Renal Insufficiency, Chronic/complications/*physiopathology; Stroke/epidemiology; Systole&lt;/_subject_headings&gt;&lt;_tertiary_title&gt;Journal of the American Society of Nephrology : JASN&lt;/_tertiary_title&gt;&lt;_type_work&gt;Journal Article; Randomized Controlled Trial&lt;/_type_work&gt;&lt;_url&gt;http://www.ncbi.nlm.nih.gov/entrez/query.fcgi?cmd=Retrieve&amp;amp;db=pubmed&amp;amp;dopt=Abstract&amp;amp;list_uids=28642330&amp;amp;query_hl=1&lt;/_url&gt;&lt;_volume&gt;28&lt;/_volume&gt;&lt;/Details&gt;&lt;Extra&gt;&lt;DBUID&gt;{749A27AD-B5E1-4ED6-ABD8-A7B8F16E1CAE}&lt;/DBUID&gt;&lt;/Extra&gt;&lt;/Item&gt;&lt;/References&gt;&lt;/Group&gt;&lt;/Citation&gt;_x000a_"/>
    <w:docVar w:name="NE.Ref{A1A984D7-B18F-45F1-97F4-4308B70BE334}" w:val=" ADDIN NE.Ref.{A1A984D7-B18F-45F1-97F4-4308B70BE334}&lt;Citation&gt;&lt;Group&gt;&lt;References&gt;&lt;Item&gt;&lt;ID&gt;117&lt;/ID&gt;&lt;UID&gt;{8F83AEA3-C7CC-43CA-B9E9-0C27D5AB05F2}&lt;/UID&gt;&lt;Title&gt;Practical Strategy for Treating Chronic Kidney Disease (CKD)-Associated with  Hypertension&lt;/Title&gt;&lt;Template&gt;Journal Article&lt;/Template&gt;&lt;Star&gt;0&lt;/Star&gt;&lt;Tag&gt;0&lt;/Tag&gt;&lt;Author&gt;Nagata, D; Hishida, E; Masuda, T&lt;/Author&gt;&lt;Year&gt;2020&lt;/Year&gt;&lt;Details&gt;&lt;_accession_num&gt;32753932&lt;/_accession_num&gt;&lt;_author_adr&gt;Division of Nephrology, Department of Internal Medicine, Jichi Medical University,  Tochigi, Japan.; Division of Nephrology, Department of Internal Medicine, Jichi Medical University,  Tochigi, Japan.; Division of Nephrology, Department of Internal Medicine, Jichi Medical University,  Tochigi, Japan.&lt;/_author_adr&gt;&lt;_date_display&gt;2020&lt;/_date_display&gt;&lt;_date&gt;2020-01-20&lt;/_date&gt;&lt;_doi&gt;10.2147/IJNRD.S259931&lt;/_doi&gt;&lt;_isbn&gt;1178-7058 (Print); 1178-7058 (Electronic); 1178-7058 (Linking)&lt;/_isbn&gt;&lt;_journal&gt;Int J Nephrol Renovasc Dis&lt;/_journal&gt;&lt;_keywords&gt;CKD; RAS inhibitors; SGLT2 inhibitors; atherosclerosis; chronic kidney disease; hypertension; intensive blood pressure control; renin-angiotensin system inhibitors; sodium-glucose cotransporter 2 inhibitors&lt;/_keywords&gt;&lt;_language&gt;eng&lt;/_language&gt;&lt;_ori_publication&gt;© 2020 Nagata et al.&lt;/_ori_publication&gt;&lt;_pages&gt;171-178&lt;/_pages&gt;&lt;_tertiary_title&gt;International journal of nephrology and renovascular disease&lt;/_tertiary_title&gt;&lt;_type_work&gt;Journal Article; Review&lt;/_type_work&gt;&lt;_url&gt;http://www.ncbi.nlm.nih.gov/entrez/query.fcgi?cmd=Retrieve&amp;amp;db=pubmed&amp;amp;dopt=Abstract&amp;amp;list_uids=32753932&amp;amp;query_hl=1&lt;/_url&gt;&lt;_volume&gt;13&lt;/_volume&gt;&lt;_created&gt;63467623&lt;/_created&gt;&lt;_modified&gt;63467623&lt;/_modified&gt;&lt;/Details&gt;&lt;Extra&gt;&lt;DBUID&gt;{749A27AD-B5E1-4ED6-ABD8-A7B8F16E1CAE}&lt;/DBUID&gt;&lt;/Extra&gt;&lt;/Item&gt;&lt;/References&gt;&lt;/Group&gt;&lt;/Citation&gt;_x000a_"/>
    <w:docVar w:name="NE.Ref{A1F40EB2-581D-4FAA-AAE2-BD48DDFB3C20}" w:val=" ADDIN NE.Ref.{A1F40EB2-581D-4FAA-AAE2-BD48DDFB3C20}&lt;Citation&gt;&lt;Group&gt;&lt;References&gt;&lt;Item&gt;&lt;ID&gt;52&lt;/ID&gt;&lt;UID&gt;{46600BCB-0255-4C40-9A78-70837B63AC86}&lt;/UID&gt;&lt;Title&gt;中国高血压防治指南2018年修订版&lt;/Title&gt;&lt;Template&gt;Journal Article&lt;/Template&gt;&lt;Star&gt;0&lt;/Star&gt;&lt;Tag&gt;0&lt;/Tag&gt;&lt;Author&gt;修订委员会中国高血压防治指南&lt;/Author&gt;&lt;Year&gt;2019&lt;/Year&gt;&lt;Details&gt;&lt;_issue&gt;001&lt;/_issue&gt;&lt;_journal&gt;心脑血管病防治&lt;/_journal&gt;&lt;_pages&gt;1-44&lt;/_pages&gt;&lt;_volume&gt;019&lt;/_volume&gt;&lt;_created&gt;63405566&lt;/_created&gt;&lt;_modified&gt;63405566&lt;/_modified&gt;&lt;_translated_author&gt;Xiu, Dingweiyuanhuizhongguogaoxueyafangzhizhinan&lt;/_translated_author&gt;&lt;/Details&gt;&lt;Extra&gt;&lt;DBUID&gt;{749A27AD-B5E1-4ED6-ABD8-A7B8F16E1CAE}&lt;/DBUID&gt;&lt;/Extra&gt;&lt;/Item&gt;&lt;/References&gt;&lt;/Group&gt;&lt;/Citation&gt;_x000a_"/>
    <w:docVar w:name="NE.Ref{A2AD83E1-B566-4C43-9ED5-E2E8CD5F5CCA}" w:val=" ADDIN NE.Ref.{A2AD83E1-B566-4C43-9ED5-E2E8CD5F5CCA}&lt;Citation&gt;&lt;Group&gt;&lt;References&gt;&lt;Item&gt;&lt;ID&gt;83&lt;/ID&gt;&lt;UID&gt;{5710AC63-2DEB-4BEC-9AE8-0F6549884110}&lt;/UID&gt;&lt;Title&gt;Hypertension in hemodialysis patients: an opinion-based update.&lt;/Title&gt;&lt;Template&gt;Conference Proceedings&lt;/Template&gt;&lt;Star&gt;0&lt;/Star&gt;&lt;Tag&gt;0&lt;/Tag&gt;&lt;Author&gt;Shafi, Tariq; Waheed, Sana; Zager, Philip G&lt;/Author&gt;&lt;Year&gt;2014&lt;/Year&gt;&lt;Details&gt;&lt;_secondary_title&gt;Seminars in Dialysis&lt;/_secondary_title&gt;&lt;_created&gt;63426792&lt;/_created&gt;&lt;_modified&gt;63426792&lt;/_modified&gt;&lt;/Details&gt;&lt;Extra&gt;&lt;DBUID&gt;{749A27AD-B5E1-4ED6-ABD8-A7B8F16E1CAE}&lt;/DBUID&gt;&lt;/Extra&gt;&lt;/Item&gt;&lt;/References&gt;&lt;/Group&gt;&lt;/Citation&gt;_x000a_"/>
    <w:docVar w:name="NE.Ref{A7169014-1C1C-456D-B594-E6C9548AB514}" w:val=" ADDIN NE.Ref.{A7169014-1C1C-456D-B594-E6C9548AB514}&lt;Citation&gt;&lt;Group&gt;&lt;References&gt;&lt;Item&gt;&lt;ID&gt;116&lt;/ID&gt;&lt;UID&gt;{22D94083-A26B-40BA-93EE-696296441DF7}&lt;/UID&gt;&lt;Title&gt;Impact of achieved blood pressure on renal function decline and first stroke in  hypertensive patients with chronic kidney disease&lt;/Title&gt;&lt;Template&gt;Journal Article&lt;/Template&gt;&lt;Star&gt;1&lt;/Star&gt;&lt;Tag&gt;0&lt;/Tag&gt;&lt;Author&gt;Li, Y; Liang, M; Jiang, C; Wang, G; Li, J; Zhang, Y; Fan, F; Sun, N; Cui, Y; He, M; Tang, G; Yin, D; Cheng, X; Wang, B; Huo, Y; Xu, X; Hou, F F; Xu, X; Qin, X&lt;/Author&gt;&lt;Year&gt;2018&lt;/Year&gt;&lt;Details&gt;&lt;_accession_num&gt;29036427&lt;/_accession_num&gt;&lt;_author_adr&gt;Division of Nephrology, Nanfang Hospital, Southern Medical University, National  Clinical Research Center for Kidney Disease, State Key Laboratory of Organ Failure  Research, Guangdong Provincial Institute of Nephrology, Guangzhou, China.; Division of Nephrology, Nanfang Hospital, Southern Medical University, National  Clinical Research Center for Kidney Disease, State Key Laboratory of Organ Failure  Research, Guangdong Provincial Institute of Nephrology, Guangzhou, China.; Division of Nephrology, Nanfang Hospital, Southern Medical University, National  Clinical Research Center for Kidney Disease, State Key Laboratory of Organ Failure  Research, Guangdong Provincial Institute of Nephrology, Guangzhou, China.; Division of Nephrology, Nanfang Hospital, Southern Medical University, National  Clinical Research Center for Kidney Disease, State Key Laboratory of Organ Failure  Research, Guangdong Provincial Institute of Nephrology, Guangzhou, China.; Department of Cardiology, Peking University First Hospital, Beijing, China.; Department of Cardiology, Peking University First Hospital, Beijing, China.; Department of Cardiology, Peking University First Hospital, Beijing, China.; Department of Cardiology, Peking University People&amp;apos;s Hospital, Beijing, China.; Department of Pharmacy, Peking University First Hospital, Beijing, China.; Department of Neurology, First People&amp;apos;s Hospital, Lianyungang, China.; Institute for Biomedicine, Anhui Medical University, Hefei, China.; Department of Health Administration, School of Health Administration, Anhui Medical  University, Hefei, China.; Department of Cardiology, First People&amp;apos;s Hospital, Lianyungang, China.; Department of Cardiology, Second Affiliated Hospital, Nanchang University, Nanchang,  China.; Division of Nephrology, Nanfang Hospital, Southern Medical University, National  Clinical Research Center for Kidney Disease, State Key Laboratory of Organ Failure  Research, Guangdong Provincial Institute of Nephrology, Guangzhou, China.; Department of Cardiology, Peking University First Hospital, Beijing, China.; Division of Nephrology, Nanfang Hospital, Southern Medical University, National  Clinical Research Center for Kidney Disease, State Key Laboratory of Organ Failure  Research, Guangdong Provincial Institute of Nephrology, Guangzhou, China.; Division of Nephrology, Nanfang Hospital, Southern Medical University, National  Clinical Research Center for Kidney Disease, State Key Laboratory of Organ Failure  Research, Guangdong Provincial Institute of Nephrology, Guangzhou, China.; Division of Nephrology, Nanfang Hospital, Southern Medical University, National  Clinical Research Center for Kidney Disease, State Key Laboratory of Organ Failure  Research, Guangdong Provincial Institute of Nephrology, Guangzhou, China.; AUSA Research Institute, Shenzhen AUSA Pharmed Co. Ltd, Shenzhen, China.; Division of Nephrology, Nanfang Hospital, Southern Medical University, National  Clinical Research Center for Kidney Disease, State Key Laboratory of Organ Failure  Research, Guangdong Provincial Institute of Nephrology, Guangzhou, China.&lt;/_author_adr&gt;&lt;_created&gt;63467607&lt;/_created&gt;&lt;_date&gt;2018-03-01&lt;/_date&gt;&lt;_date_display&gt;2018 Mar 1&lt;/_date_display&gt;&lt;_doi&gt;10.1093/ndt/gfx267&lt;/_doi&gt;&lt;_impact_factor&gt;   4.531&lt;/_impact_factor&gt;&lt;_isbn&gt;1460-2385 (Electronic); 0931-0509 (Linking)&lt;/_isbn&gt;&lt;_issue&gt;3&lt;/_issue&gt;&lt;_journal&gt;Nephrol Dial Transplant&lt;/_journal&gt;&lt;_language&gt;eng&lt;/_language&gt;&lt;_modified&gt;63467608&lt;/_modified&gt;&lt;_ori_publication&gt;© The Author 2017. Published by Oxford University Press on behalf of ERA-EDTA. All _x000d__x000a_      rights reserved. For Permissions, please email: journals.permissions@oup.com.&lt;/_ori_publication&gt;&lt;_pages&gt;409-417&lt;/_pages&gt;&lt;_subject_headings&gt;Blood Pressure; Double-Blind Method; Female; Glomerular Filtration Rate; Humans; Hypertension/*complications; Kidney Function Tests; Male; Middle Aged; Prognosis; Renal Insufficiency/*physiopathology; Renal Insufficiency, Chronic/*physiopathology; Stroke/*etiology/pathology&lt;/_subject_headings&gt;&lt;_tertiary_title&gt;Nephrology, dialysis, transplantation : official publication of the European _x000d__x000a_      Dialysis and Transplant Association - European Renal Association&lt;/_tertiary_title&gt;&lt;_type_work&gt;Journal Article; Randomized Controlled Trial; Research Support, Non-U.S. Gov&amp;apos;t&lt;/_type_work&gt;&lt;_url&gt;http://www.ncbi.nlm.nih.gov/entrez/query.fcgi?cmd=Retrieve&amp;amp;db=pubmed&amp;amp;dopt=Abstract&amp;amp;list_uids=29036427&amp;amp;query_hl=1&lt;/_url&gt;&lt;_volume&gt;33&lt;/_volume&gt;&lt;/Details&gt;&lt;Extra&gt;&lt;DBUID&gt;{749A27AD-B5E1-4ED6-ABD8-A7B8F16E1CAE}&lt;/DBUID&gt;&lt;/Extra&gt;&lt;/Item&gt;&lt;/References&gt;&lt;/Group&gt;&lt;/Citation&gt;_x000a_"/>
    <w:docVar w:name="NE.Ref{A758A2EB-D832-420C-98D7-409ADD8A9343}" w:val=" ADDIN NE.Ref.{A758A2EB-D832-420C-98D7-409ADD8A9343}&lt;Citation&gt;&lt;Group&gt;&lt;References&gt;&lt;Item&gt;&lt;ID&gt;41&lt;/ID&gt;&lt;UID&gt;{9D06A697-8F76-4615-8936-08D6D11D6B65}&lt;/UID&gt;&lt;Title&gt;Role of diuretics in the preservation of residual renal function in patients on continuous ambulatory peritoneal dialysis&lt;/Title&gt;&lt;Template&gt;Journal Article&lt;/Template&gt;&lt;Star&gt;0&lt;/Star&gt;&lt;Tag&gt;0&lt;/Tag&gt;&lt;Author&gt;Medcalf, J F; Harris, K P; Walls, J&lt;/Author&gt;&lt;Year&gt;2001&lt;/Year&gt;&lt;Details&gt;&lt;_accession_num&gt;11231370&lt;/_accession_num&gt;&lt;_author_adr&gt;Department of Nephrology, Leicester General Hospital, Leicester, England, United  Kingdom.&lt;/_author_adr&gt;&lt;_date_display&gt;2001 Mar&lt;/_date_display&gt;&lt;_date&gt;2001-03-01&lt;/_date&gt;&lt;_doi&gt;10.1046/j.1523-1755.2001.0590031128.x&lt;/_doi&gt;&lt;_isbn&gt;0085-2538 (Print); 0085-2538 (Linking)&lt;/_isbn&gt;&lt;_issue&gt;3&lt;/_issue&gt;&lt;_journal&gt;Kidney Int&lt;/_journal&gt;&lt;_language&gt;eng&lt;/_language&gt;&lt;_pages&gt;1128-33&lt;/_pages&gt;&lt;_subject_headings&gt;Adult; Aged; Aged, 80 and over; Body Weight/drug effects; Diuresis/drug effects; Diuretics/*therapeutic use; Female; Furosemide/*therapeutic use; Humans; Kidney/*drug effects/*physiopathology; Male; Middle Aged; Natriuresis/drug effects; *Peritoneal Dialysis, Continuous Ambulatory&lt;/_subject_headings&gt;&lt;_tertiary_title&gt;Kidney international&lt;/_tertiary_title&gt;&lt;_type_work&gt;Clinical Trial; Journal Article; Randomized Controlled Trial&lt;/_type_work&gt;&lt;_url&gt;http://www.ncbi.nlm.nih.gov/entrez/query.fcgi?cmd=Retrieve&amp;amp;db=pubmed&amp;amp;dopt=Abstract&amp;amp;list_uids=11231370&amp;amp;query_hl=1&lt;/_url&gt;&lt;_volume&gt;59&lt;/_volume&gt;&lt;_created&gt;63405199&lt;/_created&gt;&lt;_modified&gt;63405211&lt;/_modified&gt;&lt;_db_updated&gt;PubMed&lt;/_db_updated&gt;&lt;_impact_factor&gt;   8.945&lt;/_impact_factor&gt;&lt;_collection_scope&gt;SCI;SCIE&lt;/_collection_scope&gt;&lt;/Details&gt;&lt;Extra&gt;&lt;DBUID&gt;{749A27AD-B5E1-4ED6-ABD8-A7B8F16E1CAE}&lt;/DBUID&gt;&lt;/Extra&gt;&lt;/Item&gt;&lt;/References&gt;&lt;/Group&gt;&lt;/Citation&gt;_x000a_"/>
    <w:docVar w:name="NE.Ref{A7837DDE-A872-4EAA-8966-22B5811FE3C9}" w:val=" ADDIN NE.Ref.{A7837DDE-A872-4EAA-8966-22B5811FE3C9}&lt;Citation&gt;&lt;Group&gt;&lt;References&gt;&lt;Item&gt;&lt;ID&gt;87&lt;/ID&gt;&lt;UID&gt;{D58FC1A4-6F5E-4705-9FE0-4A0E7837F25F}&lt;/UID&gt;&lt;Title&gt;[2018 ESC/ESH Guidelines for the management of arterial hypertension]&lt;/Title&gt;&lt;Template&gt;Journal Article&lt;/Template&gt;&lt;Star&gt;0&lt;/Star&gt;&lt;Tag&gt;0&lt;/Tag&gt;&lt;Author/&gt;&lt;Year&gt;2019&lt;/Year&gt;&lt;Details&gt;&lt;_journal&gt;European Heart Journal&lt;/_journal&gt;&lt;_pages&gt;71&lt;/_pages&gt;&lt;_volume&gt;77&lt;/_volume&gt;&lt;_created&gt;63426845&lt;/_created&gt;&lt;_modified&gt;63426845&lt;/_modified&gt;&lt;_impact_factor&gt;  22.673&lt;/_impact_factor&gt;&lt;_collection_scope&gt;SCI;SCIE&lt;/_collection_scope&gt;&lt;/Details&gt;&lt;Extra&gt;&lt;DBUID&gt;{749A27AD-B5E1-4ED6-ABD8-A7B8F16E1CAE}&lt;/DBUID&gt;&lt;/Extra&gt;&lt;/Item&gt;&lt;/References&gt;&lt;/Group&gt;&lt;/Citation&gt;_x000a_"/>
    <w:docVar w:name="NE.Ref{A7D93849-874A-4911-9EB6-8968CDEC5316}" w:val=" ADDIN NE.Ref.{A7D93849-874A-4911-9EB6-8968CDEC5316}&lt;Citation&gt;&lt;Group&gt;&lt;References&gt;&lt;Item&gt;&lt;ID&gt;150&lt;/ID&gt;&lt;UID&gt;{4A4B12B0-F4CF-45AE-9BCD-4515E2B74A3A}&lt;/UID&gt;&lt;Title&gt;Pharmacotherapeutic options for the treatment of preeclampsia.&lt;/Title&gt;&lt;Template&gt;Journal Article&lt;/Template&gt;&lt;Star&gt;0&lt;/Star&gt;&lt;Tag&gt;0&lt;/Tag&gt;&lt;Author&gt;Mccoy, Stagey; Baldwin, Kathleen&lt;/Author&gt;&lt;Year&gt;2009&lt;/Year&gt;&lt;Details&gt;&lt;_created&gt;63469023&lt;/_created&gt;&lt;_issue&gt;4&lt;/_issue&gt;&lt;_journal&gt;American Journal of Health System Pharmacy&lt;/_journal&gt;&lt;_modified&gt;63469023&lt;/_modified&gt;&lt;_pages&gt;337-344&lt;/_pages&gt;&lt;_volume&gt;66&lt;/_volume&gt;&lt;/Details&gt;&lt;Extra&gt;&lt;DBUID&gt;{749A27AD-B5E1-4ED6-ABD8-A7B8F16E1CAE}&lt;/DBUID&gt;&lt;/Extra&gt;&lt;/Item&gt;&lt;/References&gt;&lt;/Group&gt;&lt;/Citation&gt;_x000a_"/>
    <w:docVar w:name="NE.Ref{A8CBD077-F034-4D81-A6D2-D9505442569C}" w:val=" ADDIN NE.Ref.{A8CBD077-F034-4D81-A6D2-D9505442569C}&lt;Citation&gt;&lt;Group&gt;&lt;References&gt;&lt;Item&gt;&lt;ID&gt;137&lt;/ID&gt;&lt;UID&gt;{6FFD3115-42C9-4DCE-BE78-B50FAEB64416}&lt;/UID&gt;&lt;Title&gt;Home blood pressure measurements for managing hypertension in hemodialysis patients&lt;/Title&gt;&lt;Template&gt;Journal Article&lt;/Template&gt;&lt;Star&gt;0&lt;/Star&gt;&lt;Tag&gt;0&lt;/Tag&gt;&lt;Author&gt;Agarwal, R; Satyan, S; Alborzi, P; Light, R P; Tegegne, G G; Mazengia, H S; Yigazu, P M&lt;/Author&gt;&lt;Year&gt;2009&lt;/Year&gt;&lt;Details&gt;&lt;_accession_num&gt;19246891&lt;/_accession_num&gt;&lt;_author_adr&gt;Division of Nephrology, Indiana University School of Medicine, Indianapolis, Ind.,  USA. ragarwal@iupui.edu&lt;/_author_adr&gt;&lt;_collection_scope&gt;SCI;SCIE&lt;/_collection_scope&gt;&lt;_created&gt;63468917&lt;/_created&gt;&lt;_date&gt;2009-01-20&lt;/_date&gt;&lt;_date_display&gt;2009&lt;/_date_display&gt;&lt;_doi&gt;10.1159/000206698&lt;/_doi&gt;&lt;_impact_factor&gt;   3.411&lt;/_impact_factor&gt;&lt;_isbn&gt;1421-9670 (Electronic); 0250-8095 (Print); 0250-8095 (Linking)&lt;/_isbn&gt;&lt;_issue&gt;2&lt;/_issue&gt;&lt;_journal&gt;Am J Nephrol&lt;/_journal&gt;&lt;_language&gt;eng&lt;/_language&gt;&lt;_modified&gt;63468917&lt;/_modified&gt;&lt;_ori_publication&gt;Copyright 2009 S. Karger AG, Basel.&lt;/_ori_publication&gt;&lt;_pages&gt;126-34&lt;/_pages&gt;&lt;_subject_headings&gt;Adult; Aged; Blood Pressure; Blood Pressure Monitoring, Ambulatory/*methods; Female; Home Care Services; Humans; Hypertension/diagnosis/*physiopathology; Kidney Failure, Chronic/physiopathology/therapy; Male; Middle Aged; Randomized Controlled Trials as Topic; Renal Dialysis/*methods; Systole&lt;/_subject_headings&gt;&lt;_tertiary_title&gt;American journal of nephrology&lt;/_tertiary_title&gt;&lt;_type_work&gt;Journal Article; Research Support, N.I.H., Extramural&lt;/_type_work&gt;&lt;_url&gt;http://www.ncbi.nlm.nih.gov/entrez/query.fcgi?cmd=Retrieve&amp;amp;db=pubmed&amp;amp;dopt=Abstract&amp;amp;list_uids=19246891&amp;amp;query_hl=1&lt;/_url&gt;&lt;_volume&gt;30&lt;/_volume&gt;&lt;/Details&gt;&lt;Extra&gt;&lt;DBUID&gt;{749A27AD-B5E1-4ED6-ABD8-A7B8F16E1CAE}&lt;/DBUID&gt;&lt;/Extra&gt;&lt;/Item&gt;&lt;/References&gt;&lt;/Group&gt;&lt;/Citation&gt;_x000a_"/>
    <w:docVar w:name="NE.Ref{AD507875-6776-4CF9-AFD0-82812477298A}" w:val=" ADDIN NE.Ref.{AD507875-6776-4CF9-AFD0-82812477298A}&lt;Citation&gt;&lt;Group&gt;&lt;References&gt;&lt;Item&gt;&lt;ID&gt;52&lt;/ID&gt;&lt;UID&gt;{46600BCB-0255-4C40-9A78-70837B63AC86}&lt;/UID&gt;&lt;Title&gt;中国高血压防治指南2018年修订版&lt;/Title&gt;&lt;Template&gt;Journal Article&lt;/Template&gt;&lt;Star&gt;0&lt;/Star&gt;&lt;Tag&gt;0&lt;/Tag&gt;&lt;Author&gt;修订委员会中国高血压防治指南&lt;/Author&gt;&lt;Year&gt;2019&lt;/Year&gt;&lt;Details&gt;&lt;_issue&gt;001&lt;/_issue&gt;&lt;_journal&gt;心脑血管病防治&lt;/_journal&gt;&lt;_pages&gt;1-44&lt;/_pages&gt;&lt;_volume&gt;019&lt;/_volume&gt;&lt;_created&gt;63405566&lt;/_created&gt;&lt;_modified&gt;63405566&lt;/_modified&gt;&lt;_translated_author&gt;Xiu, Dingweiyuanhuizhongguogaoxueyafangzhizhinan&lt;/_translated_author&gt;&lt;/Details&gt;&lt;Extra&gt;&lt;DBUID&gt;{749A27AD-B5E1-4ED6-ABD8-A7B8F16E1CAE}&lt;/DBUID&gt;&lt;/Extra&gt;&lt;/Item&gt;&lt;/References&gt;&lt;/Group&gt;&lt;/Citation&gt;_x000a_"/>
    <w:docVar w:name="NE.Ref{AD7BC6CC-7A87-441A-95F2-CBD0B0FD3F2D}" w:val=" ADDIN NE.Ref.{AD7BC6CC-7A87-441A-95F2-CBD0B0FD3F2D}&lt;Citation&gt;&lt;Group&gt;&lt;References&gt;&lt;Item&gt;&lt;ID&gt;81&lt;/ID&gt;&lt;UID&gt;{5C949BE9-AC36-463C-BD1F-3967C2EE873A}&lt;/UID&gt;&lt;Title&gt;Hypertension Control in Adults With CKD in China: Baseline Results From the Chinese  Cohort Study of Chronic Kidney Disease (C-STRIDE)&lt;/Title&gt;&lt;Template&gt;Journal Article&lt;/Template&gt;&lt;Star&gt;0&lt;/Star&gt;&lt;Tag&gt;0&lt;/Tag&gt;&lt;Author&gt;Yan, Z; Wang, Y; Li, S; Wang, J; Zhang, L; Tan, H; Li, S; Yang, L; Pei, H; Zhang, L; Wang, Y; Duan, J; Jiao, S; Zhao, M; Fu, S&lt;/Author&gt;&lt;Year&gt;2018&lt;/Year&gt;&lt;Details&gt;&lt;_accession_num&gt;29304216&lt;/_accession_num&gt;&lt;_author_adr&gt;Renal Division, Department of Medicine, The Second Hospital of Hebei Medical  University.; Renal Division, Department of Medicine, Peking University First Hospital.; Renal Division, Department of Medicine, The Second Hospital of Hebei Medical  University.; Renal Division, Department of Medicine, Peking University First Hospital.; Renal Division, Department of Medicine, Peking University First Hospital.; Renal Division, Department of Medicine, The Second Hospital of Hebei Medical  University.; Renal Division, Department of Medicine, The Second Hospital of Hebei Medical  University.; Renal Division, Department of Medicine, The Second Hospital of Hebei Medical  University.; Renal Division, Department of Medicine, The Second Hospital of Hebei Medical  University.; Renal Division, Department of Medicine, The Second Hospital of Hebei Medical  University.; Renal Division, Department of Medicine, The Second Hospital of Hebei Medical  University.; Renal Division, Department of Medicine, The Second Hospital of Hebei Medical  University.; Renal Division, Department of Medicine, The Second Hospital of Hebei Medical  University.; Renal Division, Department of Medicine, Peking University First Hospital.; Renal Division, Department of Medicine, The Second Hospital of Hebei Medical  University.&lt;/_author_adr&gt;&lt;_date_display&gt;2018 Mar 10&lt;/_date_display&gt;&lt;_date&gt;2018-03-10&lt;/_date&gt;&lt;_doi&gt;10.1093/ajh/hpx222&lt;/_doi&gt;&lt;_isbn&gt;1941-7225 (Electronic); 0895-7061 (Linking)&lt;/_isbn&gt;&lt;_issue&gt;4&lt;/_issue&gt;&lt;_journal&gt;Am J Hypertens&lt;/_journal&gt;&lt;_language&gt;eng&lt;/_language&gt;&lt;_pages&gt;486-494&lt;/_pages&gt;&lt;_subject_headings&gt;Adolescent; Adult; Aged; Antihypertensive Agents/*therapeutic use; *Blood Pressure; China/epidemiology; Clinical Decision-Making; Comorbidity; Cross-Sectional Studies; Drug Prescriptions; Drug Therapy, Combination; Female; Humans; Hypertension/diagnosis/*drug therapy/epidemiology/physiopathology; Male; Middle Aged; *Practice Patterns, Physicians&amp;apos;; Prospective Studies; Renal Insufficiency, Chronic/diagnosis/*epidemiology/physiopathology; Risk Factors; Treatment Outcome; Young Adult&lt;/_subject_headings&gt;&lt;_tertiary_title&gt;American journal of hypertension&lt;/_tertiary_title&gt;&lt;_type_work&gt;Journal Article; Multicenter Study; Research Support, Non-U.S. Gov&amp;apos;t&lt;/_type_work&gt;&lt;_url&gt;http://www.ncbi.nlm.nih.gov/entrez/query.fcgi?cmd=Retrieve&amp;amp;db=pubmed&amp;amp;dopt=Abstract&amp;amp;list_uids=29304216&amp;amp;query_hl=1&lt;/_url&gt;&lt;_volume&gt;31&lt;/_volume&gt;&lt;_created&gt;63426761&lt;/_created&gt;&lt;_modified&gt;63426761&lt;/_modified&gt;&lt;_impact_factor&gt;   2.669&lt;/_impact_factor&gt;&lt;_collection_scope&gt;SCI;SCIE&lt;/_collection_scope&gt;&lt;/Details&gt;&lt;Extra&gt;&lt;DBUID&gt;{749A27AD-B5E1-4ED6-ABD8-A7B8F16E1CAE}&lt;/DBUID&gt;&lt;/Extra&gt;&lt;/Item&gt;&lt;/References&gt;&lt;/Group&gt;&lt;/Citation&gt;_x000a_"/>
    <w:docVar w:name="NE.Ref{B00B0E83-2EC9-460C-B887-58AA54D246CD}" w:val=" ADDIN NE.Ref.{B00B0E83-2EC9-460C-B887-58AA54D246CD}&lt;Citation&gt;&lt;Group&gt;&lt;References&gt;&lt;Item&gt;&lt;ID&gt;90&lt;/ID&gt;&lt;UID&gt;{9986FF46-C820-4212-8E3C-8C12F7331488}&lt;/UID&gt;&lt;Title&gt;K/DOQI clinical practice guidelines for cardiovascular disease in dialysis patients&lt;/Title&gt;&lt;Template&gt;Journal Article&lt;/Template&gt;&lt;Star&gt;0&lt;/Star&gt;&lt;Tag&gt;0&lt;/Tag&gt;&lt;Author/&gt;&lt;Year&gt;2005&lt;/Year&gt;&lt;Details&gt;&lt;_accession_num&gt;15806502&lt;/_accession_num&gt;&lt;_collection_scope&gt;SCI;SCIE&lt;/_collection_scope&gt;&lt;_created&gt;63426949&lt;/_created&gt;&lt;_date&gt;2005-04-01&lt;/_date&gt;&lt;_date_display&gt;2005 Apr&lt;/_date_display&gt;&lt;_impact_factor&gt;   6.618&lt;/_impact_factor&gt;&lt;_isbn&gt;1523-6838 (Electronic); 0272-6386 (Linking)&lt;/_isbn&gt;&lt;_issue&gt;4 Suppl 3&lt;/_issue&gt;&lt;_journal&gt;Am J Kidney Dis&lt;/_journal&gt;&lt;_language&gt;eng&lt;/_language&gt;&lt;_modified&gt;63426949&lt;/_modified&gt;&lt;_pages&gt;S1-153&lt;/_pages&gt;&lt;_subject_headings&gt;Adult; Cardiovascular Diseases/diagnosis/epidemiology/etiology/*therapy; Child; Humans; Kidney Failure, Chronic/*complications/mortality/therapy; *Renal Dialysis/adverse effects/mortality; Risk Factors&lt;/_subject_headings&gt;&lt;_tertiary_title&gt;American journal of kidney diseases : the official journal of the National Kidney _x000d__x000a_      Foundation&lt;/_tertiary_title&gt;&lt;_type_work&gt;Guideline; Journal Article; Practice Guideline&lt;/_type_work&gt;&lt;_url&gt;http://www.ncbi.nlm.nih.gov/entrez/query.fcgi?cmd=Retrieve&amp;amp;db=pubmed&amp;amp;dopt=Abstract&amp;amp;list_uids=15806502&amp;amp;query_hl=1&lt;/_url&gt;&lt;_volume&gt;45&lt;/_volume&gt;&lt;/Details&gt;&lt;Extra&gt;&lt;DBUID&gt;{749A27AD-B5E1-4ED6-ABD8-A7B8F16E1CAE}&lt;/DBUID&gt;&lt;/Extra&gt;&lt;/Item&gt;&lt;/References&gt;&lt;/Group&gt;&lt;Group&gt;&lt;References&gt;&lt;Item&gt;&lt;ID&gt;127&lt;/ID&gt;&lt;UID&gt;{0DACF191-A23B-4940-82A8-9BD29ABB792B}&lt;/UID&gt;&lt;Title&gt;Blood pressure and long-term mortality in United States hemodialysis patients: USRDS Waves 3 and 4 Study.&lt;/Title&gt;&lt;Template&gt;Journal Article&lt;/Template&gt;&lt;Star&gt;0&lt;/Star&gt;&lt;Tag&gt;0&lt;/Tag&gt;&lt;Author&gt;Foley, Robert N; Herzog, Charles A; Collins, Allan J&lt;/Author&gt;&lt;Year&gt;2002&lt;/Year&gt;&lt;Details&gt;&lt;_collection_scope&gt;SCI;SCIE&lt;/_collection_scope&gt;&lt;_created&gt;63468692&lt;/_created&gt;&lt;_impact_factor&gt;   8.945&lt;/_impact_factor&gt;&lt;_issue&gt;5&lt;/_issue&gt;&lt;_journal&gt;Kidney International&lt;/_journal&gt;&lt;_modified&gt;63468692&lt;/_modified&gt;&lt;_pages&gt;1784-1790&lt;/_pages&gt;&lt;_volume&gt;62&lt;/_volume&gt;&lt;/Details&gt;&lt;Extra&gt;&lt;DBUID&gt;{749A27AD-B5E1-4ED6-ABD8-A7B8F16E1CAE}&lt;/DBUID&gt;&lt;/Extra&gt;&lt;/Item&gt;&lt;/References&gt;&lt;/Group&gt;&lt;Group&gt;&lt;References&gt;&lt;Item&gt;&lt;ID&gt;64&lt;/ID&gt;&lt;UID&gt;{87F378FE-2CE5-43C4-BF7D-1692CBFC2517}&lt;/UID&gt;&lt;Title&gt;Blood pressure levels and mortality risk among hemodialysis patients in the Dialysis Outcomes and Practice Patterns Study&lt;/Title&gt;&lt;Template&gt;Journal Article&lt;/Template&gt;&lt;Star&gt;0&lt;/Star&gt;&lt;Tag&gt;0&lt;/Tag&gt;&lt;Author&gt;Robinson, B M; Tong, L; Zhang, J; Wolfe, R A; Goodkin, D A; Greenwood, R N; Kerr, P G; Morgenstern, H; Li, Y; Pisoni, R L; Saran, R; Tentori, F; Akizawa, T; Fukuhara, S; Port, F K&lt;/Author&gt;&lt;Year&gt;2012&lt;/Year&gt;&lt;Details&gt;&lt;_accession_num&gt;22718187&lt;/_accession_num&gt;&lt;_author_adr&gt;Arbor Research Collaborative for Health, Ann Arbor, MI, USA. bruce.robinson@arborresearch.org&lt;/_author_adr&gt;&lt;_collection_scope&gt;SCI;SCIE&lt;/_collection_scope&gt;&lt;_created&gt;63405725&lt;/_created&gt;&lt;_date&gt;2012-09-01&lt;/_date&gt;&lt;_date_display&gt;2012 Sep&lt;/_date_display&gt;&lt;_db_updated&gt;PubMed&lt;/_db_updated&gt;&lt;_doi&gt;10.1038/ki.2012.136&lt;/_doi&gt;&lt;_impact_factor&gt;   8.945&lt;/_impact_factor&gt;&lt;_isbn&gt;1523-1755 (Electronic); 0085-2538 (Linking)&lt;/_isbn&gt;&lt;_issue&gt;5&lt;/_issue&gt;&lt;_journal&gt;Kidney Int&lt;/_journal&gt;&lt;_language&gt;eng&lt;/_language&gt;&lt;_modified&gt;63405726&lt;/_modified&gt;&lt;_pages&gt;570-80&lt;/_pages&gt;&lt;_subject_headings&gt;Australia; *Blood Pressure; Comorbidity; Cross-Sectional Studies; Europe; Female; Humans; Hypertension/*mortality/physiopathology; Japan; Kidney Failure, Chronic/mortality/*therapy; Linear Models; Male; Middle Aged; New Zealand; Practice Guidelines as Topic; Practice Patterns, Physicians&amp;apos;/standards/*statistics &amp;amp; numerical data; Proportional Hazards Models; Prospective Studies; Renal Dialysis/adverse effects/*mortality/standards; Risk Assessment; Risk Factors; Treatment Outcome; United States&lt;/_subject_headings&gt;&lt;_tertiary_title&gt;Kidney international&lt;/_tertiary_title&gt;&lt;_type_work&gt;Journal Article; Multicenter Study; Research Support, Non-U.S. Gov&amp;apos;t&lt;/_type_work&gt;&lt;_url&gt;http://www.ncbi.nlm.nih.gov/entrez/query.fcgi?cmd=Retrieve&amp;amp;db=pubmed&amp;amp;dopt=Abstract&amp;amp;list_uids=22718187&amp;amp;query_hl=1&lt;/_url&gt;&lt;_volume&gt;82&lt;/_volume&gt;&lt;/Details&gt;&lt;Extra&gt;&lt;DBUID&gt;{749A27AD-B5E1-4ED6-ABD8-A7B8F16E1CAE}&lt;/DBUID&gt;&lt;/Extra&gt;&lt;/Item&gt;&lt;/References&gt;&lt;/Group&gt;&lt;Group&gt;&lt;References&gt;&lt;Item&gt;&lt;ID&gt;128&lt;/ID&gt;&lt;UID&gt;{506AAAEF-8580-4FD1-BF6E-E54F30570A4A}&lt;/UID&gt;&lt;Title&gt;The Optimal Blood Pressure Target in Different Dialysis Populations&lt;/Title&gt;&lt;Template&gt;Journal Article&lt;/Template&gt;&lt;Star&gt;0&lt;/Star&gt;&lt;Tag&gt;0&lt;/Tag&gt;&lt;Author&gt;Jhee, J H; Park, J; Kim, H; Kee, Y K; Park, J T; Han, S H; Yang, C W; Kim, N H; Kim, Y S; Kang, S W; Kim, Y L; Yoo, T H&lt;/Author&gt;&lt;Year&gt;2018&lt;/Year&gt;&lt;Details&gt;&lt;_accession_num&gt;30237432&lt;/_accession_num&gt;&lt;_author_adr&gt;Division of Nephrology and Hypertension, Department of Internal Medicine, Inha  University College of Medicine, Incheon, Korea.; Department of Internal Medicine, College of Medicine, Severance Biomedical Science  Institute, Brain Korea 21 PLUS, Institute of Kidney Disease Research, Yonsei  University, Seoul, Korea.; Department of Internal Medicine, College of Medicine, Institute of Kidney Disease  Research, Yonsei University, Seoul, Korea.; Department of Internal Medicine, College of Medicine, Institute of Kidney Disease  Research, Yonsei University, Seoul, Korea.; Department of Internal Medicine, College of Medicine, Institute of Kidney Disease  Research, Yonsei University, Seoul, Korea.; Department of Internal Medicine, College of Medicine, Institute of Kidney Disease  Research, Yonsei University, Seoul, Korea.; Department of Internal Medicine, The Catholic University of Korea College of  Medicine, Seoul, Korea.; Department of Internal Medicine, Chonnam National University Medical School,  Gwangju, Korea.; Department of Internal Medicine, Seoul National University College of Medicine,  Seoul, Korea.; Department of Internal Medicine, College of Medicine, Institute of Kidney Disease  Research, Yonsei University, Seoul, Korea.; Department of Internal Medicine, College of Medicine, Severance Biomedical Science  Institute, Brain Korea 21 PLUS, Institute of Kidney Disease Research, Yonsei  University, Seoul, Korea.; Department of Internal Medicine, Kyungpook National University School of Medicine,  Daegu, Korea.; Department of Internal Medicine, College of Medicine, Institute of Kidney Disease  Research, Yonsei University, Seoul, Korea. yoosy0316@yuhs.ac.&lt;/_author_adr&gt;&lt;_created&gt;63468697&lt;/_created&gt;&lt;_date&gt;2018-09-20&lt;/_date&gt;&lt;_date_display&gt;2018 Sep 20&lt;/_date_display&gt;&lt;_doi&gt;10.1038/s41598-018-32281-w&lt;/_doi&gt;&lt;_impact_factor&gt;   3.998&lt;/_impact_factor&gt;&lt;_isbn&gt;2045-2322 (Electronic); 2045-2322 (Linking)&lt;/_isbn&gt;&lt;_issue&gt;1&lt;/_issue&gt;&lt;_journal&gt;Sci Rep&lt;/_journal&gt;&lt;_language&gt;eng&lt;/_language&gt;&lt;_modified&gt;63468697&lt;/_modified&gt;&lt;_pages&gt;14123&lt;/_pages&gt;&lt;_subject_headings&gt;Aged; Antihypertensive Agents/pharmacology/*therapeutic use; Blood Pressure/drug effects/*physiology; Blood Pressure Determination; Female; Humans; Hypertension/complications/drug therapy/*physiopathology; Kidney Failure, Chronic/complications/physiopathology/*therapy; Male; Middle Aged; *Renal Dialysis&lt;/_subject_headings&gt;&lt;_tertiary_title&gt;Scientific reports&lt;/_tertiary_title&gt;&lt;_type_work&gt;Journal Article; Research Support, Non-U.S. Gov&amp;apos;t&lt;/_type_work&gt;&lt;_url&gt;http://www.ncbi.nlm.nih.gov/entrez/query.fcgi?cmd=Retrieve&amp;amp;db=pubmed&amp;amp;dopt=Abstract&amp;amp;list_uids=30237432&amp;amp;query_hl=1&lt;/_url&gt;&lt;_volume&gt;8&lt;/_volume&gt;&lt;/Details&gt;&lt;Extra&gt;&lt;DBUID&gt;{749A27AD-B5E1-4ED6-ABD8-A7B8F16E1CAE}&lt;/DBUID&gt;&lt;/Extra&gt;&lt;/Item&gt;&lt;/References&gt;&lt;/Group&gt;&lt;/Citation&gt;_x000a_"/>
    <w:docVar w:name="NE.Ref{B1CDA845-F9DB-4638-9327-AB6BE0852623}" w:val=" ADDIN NE.Ref.{B1CDA845-F9DB-4638-9327-AB6BE0852623}&lt;Citation&gt;&lt;Group&gt;&lt;References&gt;&lt;Item&gt;&lt;ID&gt;3&lt;/ID&gt;&lt;UID&gt;{DF6D1426-C124-4E78-8EB6-87A562AD36D3}&lt;/UID&gt;&lt;Title&gt;慢性肾脏病患者高血压现状的横断面调查&lt;/Title&gt;&lt;Template&gt;Journal Article&lt;/Template&gt;&lt;Star&gt;0&lt;/Star&gt;&lt;Tag&gt;0&lt;/Tag&gt;&lt;Author&gt;林静; 丁小强; 吉俊; 傅辰生; 钟一红; 邹建州; 滕杰; 方艺&lt;/Author&gt;&lt;Year&gt;2009&lt;/Year&gt;&lt;Details&gt;&lt;_author_aff&gt;复旦大学附属中山医院肾内科;&lt;/_author_aff&gt;&lt;_date&gt;2009-11-15&lt;/_date&gt;&lt;_db_provider&gt;CNKI: 期刊&lt;/_db_provider&gt;&lt;_issue&gt;11&lt;/_issue&gt;&lt;_journal&gt;中华肾脏病杂志&lt;/_journal&gt;&lt;_keywords&gt;肾疾病;慢性;高血压;血液透析;腹膜透析;横断面研究&lt;/_keywords&gt;&lt;_pages&gt;827-831&lt;/_pages&gt;&lt;_url&gt;http://kns.cnki.net/KCMS/detail/detail.aspx?FileName=ZHSZ200911006&amp;amp;DbName=CJFQZHYX&lt;/_url&gt;&lt;_created&gt;63405160&lt;/_created&gt;&lt;_modified&gt;63405161&lt;/_modified&gt;&lt;_db_updated&gt;CNKI - Reference&lt;/_db_updated&gt;&lt;_collection_scope&gt;CSCD;PKU&lt;/_collection_scope&gt;&lt;_translated_author&gt;Lin, Jing;Ding, Xiaoqiang;Ji, Jun;Fu, Chensheng;Zhong, Yihong;Zou, Jianzhou;Teng, Jie;Fang, Yi&lt;/_translated_author&gt;&lt;/Details&gt;&lt;Extra&gt;&lt;DBUID&gt;{749A27AD-B5E1-4ED6-ABD8-A7B8F16E1CAE}&lt;/DBUID&gt;&lt;/Extra&gt;&lt;/Item&gt;&lt;/References&gt;&lt;/Group&gt;&lt;/Citation&gt;_x000a_"/>
    <w:docVar w:name="NE.Ref{B2C4E0DA-76A9-4F9E-AD4F-97FCAA32E5DF}" w:val=" ADDIN NE.Ref.{B2C4E0DA-76A9-4F9E-AD4F-97FCAA32E5DF}&lt;Citation&gt;&lt;Group&gt;&lt;References&gt;&lt;Item&gt;&lt;ID&gt;81&lt;/ID&gt;&lt;UID&gt;{5C949BE9-AC36-463C-BD1F-3967C2EE873A}&lt;/UID&gt;&lt;Title&gt;Hypertension Control in Adults With CKD in China: Baseline Results From the Chinese  Cohort Study of Chronic Kidney Disease (C-STRIDE)&lt;/Title&gt;&lt;Template&gt;Journal Article&lt;/Template&gt;&lt;Star&gt;0&lt;/Star&gt;&lt;Tag&gt;0&lt;/Tag&gt;&lt;Author&gt;Yan, Z; Wang, Y; Li, S; Wang, J; Zhang, L; Tan, H; Li, S; Yang, L; Pei, H; Zhang, L; Wang, Y; Duan, J; Jiao, S; Zhao, M; Fu, S&lt;/Author&gt;&lt;Year&gt;2018&lt;/Year&gt;&lt;Details&gt;&lt;_accession_num&gt;29304216&lt;/_accession_num&gt;&lt;_author_adr&gt;Renal Division, Department of Medicine, The Second Hospital of Hebei Medical  University.; Renal Division, Department of Medicine, Peking University First Hospital.; Renal Division, Department of Medicine, The Second Hospital of Hebei Medical  University.; Renal Division, Department of Medicine, Peking University First Hospital.; Renal Division, Department of Medicine, Peking University First Hospital.; Renal Division, Department of Medicine, The Second Hospital of Hebei Medical  University.; Renal Division, Department of Medicine, The Second Hospital of Hebei Medical  University.; Renal Division, Department of Medicine, The Second Hospital of Hebei Medical  University.; Renal Division, Department of Medicine, The Second Hospital of Hebei Medical  University.; Renal Division, Department of Medicine, The Second Hospital of Hebei Medical  University.; Renal Division, Department of Medicine, The Second Hospital of Hebei Medical  University.; Renal Division, Department of Medicine, The Second Hospital of Hebei Medical  University.; Renal Division, Department of Medicine, The Second Hospital of Hebei Medical  University.; Renal Division, Department of Medicine, Peking University First Hospital.; Renal Division, Department of Medicine, The Second Hospital of Hebei Medical  University.&lt;/_author_adr&gt;&lt;_collection_scope&gt;SCI;SCIE&lt;/_collection_scope&gt;&lt;_created&gt;63426761&lt;/_created&gt;&lt;_date&gt;2018-03-10&lt;/_date&gt;&lt;_date_display&gt;2018 Mar 10&lt;/_date_display&gt;&lt;_doi&gt;10.1093/ajh/hpx222&lt;/_doi&gt;&lt;_impact_factor&gt;   2.669&lt;/_impact_factor&gt;&lt;_isbn&gt;1941-7225 (Electronic); 0895-7061 (Linking)&lt;/_isbn&gt;&lt;_issue&gt;4&lt;/_issue&gt;&lt;_journal&gt;Am J Hypertens&lt;/_journal&gt;&lt;_language&gt;eng&lt;/_language&gt;&lt;_modified&gt;63426761&lt;/_modified&gt;&lt;_pages&gt;486-494&lt;/_pages&gt;&lt;_subject_headings&gt;Adolescent; Adult; Aged; Antihypertensive Agents/*therapeutic use; *Blood Pressure; China/epidemiology; Clinical Decision-Making; Comorbidity; Cross-Sectional Studies; Drug Prescriptions; Drug Therapy, Combination; Female; Humans; Hypertension/diagnosis/*drug therapy/epidemiology/physiopathology; Male; Middle Aged; *Practice Patterns, Physicians&amp;apos;; Prospective Studies; Renal Insufficiency, Chronic/diagnosis/*epidemiology/physiopathology; Risk Factors; Treatment Outcome; Young Adult&lt;/_subject_headings&gt;&lt;_tertiary_title&gt;American journal of hypertension&lt;/_tertiary_title&gt;&lt;_type_work&gt;Journal Article; Multicenter Study; Research Support, Non-U.S. Gov&amp;apos;t&lt;/_type_work&gt;&lt;_url&gt;http://www.ncbi.nlm.nih.gov/entrez/query.fcgi?cmd=Retrieve&amp;amp;db=pubmed&amp;amp;dopt=Abstract&amp;amp;list_uids=29304216&amp;amp;query_hl=1&lt;/_url&gt;&lt;_volume&gt;31&lt;/_volume&gt;&lt;/Details&gt;&lt;Extra&gt;&lt;DBUID&gt;{749A27AD-B5E1-4ED6-ABD8-A7B8F16E1CAE}&lt;/DBUID&gt;&lt;/Extra&gt;&lt;/Item&gt;&lt;/References&gt;&lt;/Group&gt;&lt;/Citation&gt;_x000a_"/>
    <w:docVar w:name="NE.Ref{B2F68041-E58F-4AE2-8A38-F73BD1CB3294}" w:val=" ADDIN NE.Ref.{B2F68041-E58F-4AE2-8A38-F73BD1CB3294}&lt;Citation&gt;&lt;Group&gt;&lt;References&gt;&lt;Item&gt;&lt;ID&gt;81&lt;/ID&gt;&lt;UID&gt;{5C949BE9-AC36-463C-BD1F-3967C2EE873A}&lt;/UID&gt;&lt;Title&gt;Hypertension Control in Adults With CKD in China: Baseline Results From the Chinese  Cohort Study of Chronic Kidney Disease (C-STRIDE)&lt;/Title&gt;&lt;Template&gt;Journal Article&lt;/Template&gt;&lt;Star&gt;0&lt;/Star&gt;&lt;Tag&gt;0&lt;/Tag&gt;&lt;Author&gt;Yan, Z; Wang, Y; Li, S; Wang, J; Zhang, L; Tan, H; Li, S; Yang, L; Pei, H; Zhang, L; Wang, Y; Duan, J; Jiao, S; Zhao, M; Fu, S&lt;/Author&gt;&lt;Year&gt;2018&lt;/Year&gt;&lt;Details&gt;&lt;_accession_num&gt;29304216&lt;/_accession_num&gt;&lt;_author_adr&gt;Renal Division, Department of Medicine, The Second Hospital of Hebei Medical  University.; Renal Division, Department of Medicine, Peking University First Hospital.; Renal Division, Department of Medicine, The Second Hospital of Hebei Medical  University.; Renal Division, Department of Medicine, Peking University First Hospital.; Renal Division, Department of Medicine, Peking University First Hospital.; Renal Division, Department of Medicine, The Second Hospital of Hebei Medical  University.; Renal Division, Department of Medicine, The Second Hospital of Hebei Medical  University.; Renal Division, Department of Medicine, The Second Hospital of Hebei Medical  University.; Renal Division, Department of Medicine, The Second Hospital of Hebei Medical  University.; Renal Division, Department of Medicine, The Second Hospital of Hebei Medical  University.; Renal Division, Department of Medicine, The Second Hospital of Hebei Medical  University.; Renal Division, Department of Medicine, The Second Hospital of Hebei Medical  University.; Renal Division, Department of Medicine, The Second Hospital of Hebei Medical  University.; Renal Division, Department of Medicine, Peking University First Hospital.; Renal Division, Department of Medicine, The Second Hospital of Hebei Medical  University.&lt;/_author_adr&gt;&lt;_date_display&gt;2018 Mar 10&lt;/_date_display&gt;&lt;_date&gt;2018-03-10&lt;/_date&gt;&lt;_doi&gt;10.1093/ajh/hpx222&lt;/_doi&gt;&lt;_isbn&gt;1941-7225 (Electronic); 0895-7061 (Linking)&lt;/_isbn&gt;&lt;_issue&gt;4&lt;/_issue&gt;&lt;_journal&gt;Am J Hypertens&lt;/_journal&gt;&lt;_language&gt;eng&lt;/_language&gt;&lt;_pages&gt;486-494&lt;/_pages&gt;&lt;_subject_headings&gt;Adolescent; Adult; Aged; Antihypertensive Agents/*therapeutic use; *Blood Pressure; China/epidemiology; Clinical Decision-Making; Comorbidity; Cross-Sectional Studies; Drug Prescriptions; Drug Therapy, Combination; Female; Humans; Hypertension/diagnosis/*drug therapy/epidemiology/physiopathology; Male; Middle Aged; *Practice Patterns, Physicians&amp;apos;; Prospective Studies; Renal Insufficiency, Chronic/diagnosis/*epidemiology/physiopathology; Risk Factors; Treatment Outcome; Young Adult&lt;/_subject_headings&gt;&lt;_tertiary_title&gt;American journal of hypertension&lt;/_tertiary_title&gt;&lt;_type_work&gt;Journal Article; Multicenter Study; Research Support, Non-U.S. Gov&amp;apos;t&lt;/_type_work&gt;&lt;_url&gt;http://www.ncbi.nlm.nih.gov/entrez/query.fcgi?cmd=Retrieve&amp;amp;db=pubmed&amp;amp;dopt=Abstract&amp;amp;list_uids=29304216&amp;amp;query_hl=1&lt;/_url&gt;&lt;_volume&gt;31&lt;/_volume&gt;&lt;_created&gt;63426761&lt;/_created&gt;&lt;_modified&gt;63426761&lt;/_modified&gt;&lt;_impact_factor&gt;   2.669&lt;/_impact_factor&gt;&lt;_collection_scope&gt;SCI;SCIE&lt;/_collection_scope&gt;&lt;/Details&gt;&lt;Extra&gt;&lt;DBUID&gt;{749A27AD-B5E1-4ED6-ABD8-A7B8F16E1CAE}&lt;/DBUID&gt;&lt;/Extra&gt;&lt;/Item&gt;&lt;/References&gt;&lt;/Group&gt;&lt;/Citation&gt;_x000a_"/>
    <w:docVar w:name="NE.Ref{B432600D-7DFC-4AE2-B9E6-C5BA937EE5D1}" w:val=" ADDIN NE.Ref.{B432600D-7DFC-4AE2-B9E6-C5BA937EE5D1}&lt;Citation&gt;&lt;Group&gt;&lt;References&gt;&lt;Item&gt;&lt;ID&gt;76&lt;/ID&gt;&lt;UID&gt;{6382CFD3-9241-4687-8C35-AE44F0D8E486}&lt;/UID&gt;&lt;Title&gt;高血压合理用药指南(第2版)&lt;/Title&gt;&lt;Template&gt;Journal Article&lt;/Template&gt;&lt;Star&gt;0&lt;/Star&gt;&lt;Tag&gt;0&lt;/Tag&gt;&lt;Author&gt;国家卫生计生委合理用药专家委员会; 中国医师协会高血压专业委员会&lt;/Author&gt;&lt;Year&gt;2017&lt;/Year&gt;&lt;Details&gt;&lt;_created&gt;63405755&lt;/_created&gt;&lt;_issue&gt;7&lt;/_issue&gt;&lt;_journal&gt;中国医学前沿杂志(电子版)&lt;/_journal&gt;&lt;_modified&gt;63405755&lt;/_modified&gt;&lt;_translated_author&gt;Guo, Jiaweishengjishengweiheliyongyaozhuanjiaweiyuanhui;Zhong, Guoyishixiehuigaoxueyazhuanyeweiyuanhui&lt;/_translated_author&gt;&lt;/Details&gt;&lt;Extra&gt;&lt;DBUID&gt;{749A27AD-B5E1-4ED6-ABD8-A7B8F16E1CAE}&lt;/DBUID&gt;&lt;/Extra&gt;&lt;/Item&gt;&lt;/References&gt;&lt;/Group&gt;&lt;/Citation&gt;_x000a_"/>
    <w:docVar w:name="NE.Ref{B498DC61-8D5E-4E3F-8DFA-C419E8A0701E}" w:val=" ADDIN NE.Ref.{B498DC61-8D5E-4E3F-8DFA-C419E8A0701E}&lt;Citation&gt;&lt;Group&gt;&lt;References&gt;&lt;Item&gt;&lt;ID&gt;140&lt;/ID&gt;&lt;UID&gt;{17FEA955-6EF7-4A18-A881-BDB6CEE8406B}&lt;/UID&gt;&lt;Title&gt;Blood Pressure and Risk of All-Cause Mortality in Advanced Chronic Kidney Disease and Hemodialysis: The Chronic Renal Insufficiency Cohort Study&lt;/Title&gt;&lt;Template&gt;Journal Article&lt;/Template&gt;&lt;Star&gt;0&lt;/Star&gt;&lt;Tag&gt;0&lt;/Tag&gt;&lt;Author&gt;Bansal; N.; McCulloch; C., E; Rahman; M.; Kusek; J., W; Anderson; A., H&lt;/Author&gt;&lt;Year&gt;2015&lt;/Year&gt;&lt;Details&gt;&lt;_journal&gt;HYPERTENSION&lt;/_journal&gt;&lt;_created&gt;63468939&lt;/_created&gt;&lt;_modified&gt;63468939&lt;/_modified&gt;&lt;_impact_factor&gt;   7.713&lt;/_impact_factor&gt;&lt;_collection_scope&gt;SCI;SCIE&lt;/_collection_scope&gt;&lt;/Details&gt;&lt;Extra&gt;&lt;DBUID&gt;{749A27AD-B5E1-4ED6-ABD8-A7B8F16E1CAE}&lt;/DBUID&gt;&lt;/Extra&gt;&lt;/Item&gt;&lt;/References&gt;&lt;/Group&gt;&lt;/Citation&gt;_x000a_"/>
    <w:docVar w:name="NE.Ref{B50F92B7-C871-4DDB-BD4D-CB78251245CD}" w:val=" ADDIN NE.Ref.{B50F92B7-C871-4DDB-BD4D-CB78251245CD}&lt;Citation&gt;&lt;Group&gt;&lt;References&gt;&lt;Item&gt;&lt;ID&gt;81&lt;/ID&gt;&lt;UID&gt;{5C949BE9-AC36-463C-BD1F-3967C2EE873A}&lt;/UID&gt;&lt;Title&gt;Hypertension Control in Adults With CKD in China: Baseline Results From the Chinese  Cohort Study of Chronic Kidney Disease (C-STRIDE)&lt;/Title&gt;&lt;Template&gt;Journal Article&lt;/Template&gt;&lt;Star&gt;0&lt;/Star&gt;&lt;Tag&gt;0&lt;/Tag&gt;&lt;Author&gt;Yan, Z; Wang, Y; Li, S; Wang, J; Zhang, L; Tan, H; Li, S; Yang, L; Pei, H; Zhang, L; Wang, Y; Duan, J; Jiao, S; Zhao, M; Fu, S&lt;/Author&gt;&lt;Year&gt;2018&lt;/Year&gt;&lt;Details&gt;&lt;_accession_num&gt;29304216&lt;/_accession_num&gt;&lt;_author_adr&gt;Renal Division, Department of Medicine, The Second Hospital of Hebei Medical  University.; Renal Division, Department of Medicine, Peking University First Hospital.; Renal Division, Department of Medicine, The Second Hospital of Hebei Medical  University.; Renal Division, Department of Medicine, Peking University First Hospital.; Renal Division, Department of Medicine, Peking University First Hospital.; Renal Division, Department of Medicine, The Second Hospital of Hebei Medical  University.; Renal Division, Department of Medicine, The Second Hospital of Hebei Medical  University.; Renal Division, Department of Medicine, The Second Hospital of Hebei Medical  University.; Renal Division, Department of Medicine, The Second Hospital of Hebei Medical  University.; Renal Division, Department of Medicine, The Second Hospital of Hebei Medical  University.; Renal Division, Department of Medicine, The Second Hospital of Hebei Medical  University.; Renal Division, Department of Medicine, The Second Hospital of Hebei Medical  University.; Renal Division, Department of Medicine, The Second Hospital of Hebei Medical  University.; Renal Division, Department of Medicine, Peking University First Hospital.; Renal Division, Department of Medicine, The Second Hospital of Hebei Medical  University.&lt;/_author_adr&gt;&lt;_date_display&gt;2018 Mar 10&lt;/_date_display&gt;&lt;_date&gt;2018-03-10&lt;/_date&gt;&lt;_doi&gt;10.1093/ajh/hpx222&lt;/_doi&gt;&lt;_isbn&gt;1941-7225 (Electronic); 0895-7061 (Linking)&lt;/_isbn&gt;&lt;_issue&gt;4&lt;/_issue&gt;&lt;_journal&gt;Am J Hypertens&lt;/_journal&gt;&lt;_language&gt;eng&lt;/_language&gt;&lt;_pages&gt;486-494&lt;/_pages&gt;&lt;_subject_headings&gt;Adolescent; Adult; Aged; Antihypertensive Agents/*therapeutic use; *Blood Pressure; China/epidemiology; Clinical Decision-Making; Comorbidity; Cross-Sectional Studies; Drug Prescriptions; Drug Therapy, Combination; Female; Humans; Hypertension/diagnosis/*drug therapy/epidemiology/physiopathology; Male; Middle Aged; *Practice Patterns, Physicians&amp;apos;; Prospective Studies; Renal Insufficiency, Chronic/diagnosis/*epidemiology/physiopathology; Risk Factors; Treatment Outcome; Young Adult&lt;/_subject_headings&gt;&lt;_tertiary_title&gt;American journal of hypertension&lt;/_tertiary_title&gt;&lt;_type_work&gt;Journal Article; Multicenter Study; Research Support, Non-U.S. Gov&amp;apos;t&lt;/_type_work&gt;&lt;_url&gt;http://www.ncbi.nlm.nih.gov/entrez/query.fcgi?cmd=Retrieve&amp;amp;db=pubmed&amp;amp;dopt=Abstract&amp;amp;list_uids=29304216&amp;amp;query_hl=1&lt;/_url&gt;&lt;_volume&gt;31&lt;/_volume&gt;&lt;_created&gt;63426761&lt;/_created&gt;&lt;_modified&gt;63426761&lt;/_modified&gt;&lt;_impact_factor&gt;   2.669&lt;/_impact_factor&gt;&lt;_collection_scope&gt;SCI;SCIE&lt;/_collection_scope&gt;&lt;/Details&gt;&lt;Extra&gt;&lt;DBUID&gt;{749A27AD-B5E1-4ED6-ABD8-A7B8F16E1CAE}&lt;/DBUID&gt;&lt;/Extra&gt;&lt;/Item&gt;&lt;/References&gt;&lt;/Group&gt;&lt;/Citation&gt;_x000a_"/>
    <w:docVar w:name="NE.Ref{B599B2C1-DDCB-4AC5-B5BF-B34DDF1BB381}" w:val=" ADDIN NE.Ref.{B599B2C1-DDCB-4AC5-B5BF-B34DDF1BB381}&lt;Citation&gt;&lt;Group&gt;&lt;References&gt;&lt;Item&gt;&lt;ID&gt;100&lt;/ID&gt;&lt;UID&gt;{8D22281E-F247-4BB9-A16B-00FD609375F1}&lt;/UID&gt;&lt;Title&gt;Benazepril plus amlodipine or hydrochlorothiazide for hypertension in high-risk patients.&lt;/Title&gt;&lt;Template&gt;Journal Article&lt;/Template&gt;&lt;Star&gt;0&lt;/Star&gt;&lt;Tag&gt;0&lt;/Tag&gt;&lt;Author&gt;Kenneth, Jamerson; Michael A, Weber; George L, Bakris; Bj Rn, Dahl F; Bertram, Pitt; Victor, Shi; Allen, Hester; Jitendra, Gupte; Marjorie, Gatlin; Eric J, Velazquez&lt;/Author&gt;&lt;Year&gt;2008&lt;/Year&gt;&lt;Details&gt;&lt;_db_provider&gt;北京万方数据股份有限公司&lt;/_db_provider&gt;&lt;_doi&gt;10.1056/NEJMoa0806182&lt;/_doi&gt;&lt;_issue&gt;23&lt;/_issue&gt;&lt;_journal&gt;The New England journal of medicine&lt;/_journal&gt;&lt;_volume&gt;359&lt;/_volume&gt;&lt;_created&gt;63428707&lt;/_created&gt;&lt;_modified&gt;63428707&lt;/_modified&gt;&lt;/Details&gt;&lt;Extra&gt;&lt;DBUID&gt;{749A27AD-B5E1-4ED6-ABD8-A7B8F16E1CAE}&lt;/DBUID&gt;&lt;/Extra&gt;&lt;/Item&gt;&lt;/References&gt;&lt;/Group&gt;&lt;/Citation&gt;_x000a_"/>
    <w:docVar w:name="NE.Ref{B62C1A84-B8AA-4CED-9D49-FA64E3CA2887}" w:val=" ADDIN NE.Ref.{B62C1A84-B8AA-4CED-9D49-FA64E3CA2887}&lt;Citation&gt;&lt;Group&gt;&lt;References&gt;&lt;Item&gt;&lt;ID&gt;101&lt;/ID&gt;&lt;UID&gt;{71B2DA97-6A70-4050-A8A2-444C25C4B439}&lt;/UID&gt;&lt;Title&gt;Combination therapy of hypertension in the elderly: a subgroup analysis of the Combination of OLMesartan and a calcium channel blocker or diuretic in Japanese elderly hypertensive patients trial&lt;/Title&gt;&lt;Template&gt;Journal Article&lt;/Template&gt;&lt;Star&gt;0&lt;/Star&gt;&lt;Tag&gt;0&lt;/Tag&gt;&lt;Author&gt;Ogihara, Toshio; Saruta, Takao; Rakugi, Hiromi; Saito, Ikuo; Shimamoto, Kazuaki; Matsuoka, Hiroaki; Teramukai, Satoshi; Higaki, Jitsuo; Ito, Sadayoshi; Shimada, Kazuyuki&lt;/Author&gt;&lt;Year&gt;2015&lt;/Year&gt;&lt;Details&gt;&lt;_issue&gt;1&lt;/_issue&gt;&lt;_journal&gt;Hypertension Research&lt;/_journal&gt;&lt;_pages&gt;89-96&lt;/_pages&gt;&lt;_volume&gt;38&lt;/_volume&gt;&lt;_created&gt;63428744&lt;/_created&gt;&lt;_modified&gt;63428744&lt;/_modified&gt;&lt;_impact_factor&gt;   2.941&lt;/_impact_factor&gt;&lt;_collection_scope&gt;SCIE&lt;/_collection_scope&gt;&lt;/Details&gt;&lt;Extra&gt;&lt;DBUID&gt;{749A27AD-B5E1-4ED6-ABD8-A7B8F16E1CAE}&lt;/DBUID&gt;&lt;/Extra&gt;&lt;/Item&gt;&lt;/References&gt;&lt;/Group&gt;&lt;/Citation&gt;_x000a_"/>
    <w:docVar w:name="NE.Ref{B63844EC-DD5D-48E8-B66D-F2426F52899E}" w:val=" ADDIN NE.Ref.{B63844EC-DD5D-48E8-B66D-F2426F52899E}&lt;Citation&gt;&lt;Group&gt;&lt;References&gt;&lt;Item&gt;&lt;ID&gt;86&lt;/ID&gt;&lt;UID&gt;{E2B86A7C-1D2C-48A8-8B75-9FF5ACEFFB4B}&lt;/UID&gt;&lt;Title&gt;2017 ACC/AHA/AAPA/ABC/ACPM/AGS/APhA/ASH/ASPC/NMA/PCNA Guideline for the Prevention,  Detection, Evaluation, and Management of High Blood Pressure in Adults: Executive  Summary: A Report of the American College of Cardiology/American Heart Association  Task Force on Clinical Practice Guidelines&lt;/Title&gt;&lt;Template&gt;Journal Article&lt;/Template&gt;&lt;Star&gt;0&lt;/Star&gt;&lt;Tag&gt;0&lt;/Tag&gt;&lt;Author&gt;Whelton, P K; Carey, R M; Aronow, W S; Casey, DE Jr; Collins, K J; Dennison, Himmelfarb C; DePalma, S M; Gidding, S; Jamerson, K A; Jones, D W; MacLaughlin, E J; Muntner, P; Ovbiagele, B; Smith, SC Jr; Spencer, C C; Stafford, R S; Taler, S J; Thomas, R J; Williams, KA Sr; Williamson, J D; Wright, JT Jr&lt;/Author&gt;&lt;Year&gt;2018&lt;/Year&gt;&lt;Details&gt;&lt;_accession_num&gt;30354655&lt;/_accession_num&gt;&lt;_author_adr&gt;American Society for Preventive Cardiology Representative. †ACC/AHA Representative.  ‡Lay Volunteer/Patient Representative. §Preventive Cardiovascular Nurses Association  Representative. ‖American Academy of Physician Assistants Representative. ¶Task  Force Liaison. #Association of Black Cardiologists Representative. **American  Pharmacists Association Representative. ††ACC/AHA Prevention Subcommittee Liaison.  ‡‡American College of Preventive Medicine Representative. §§American Society of  Hypertension Representative. ‖‖Task Force on Performance Measures Liaison.  ¶¶American Geriatrics Society Representative. ##National Medical Association  Representative.; American Society for Preventive Cardiology Representative. †ACC/AHA Representative.  ‡Lay Volunteer/Patient Representative. §Preventive Cardiovascular Nurses Association  Representative. ‖American Academy of Physician Assistants Representative. ¶Task  Force Liaison. #Association of Black Cardiologists Representative. **American  Pharmacists Association Representative. ††ACC/AHA Prevention Subcommittee Liaison.  ‡‡American College of Preventive Medicine Representative. §§American Society of  Hypertension Representative. ‖‖Task Force on Performance Measures Liaison.  ¶¶American Geriatrics Society Representative. ##National Medical Association  Representative.; American Society for Preventive Cardiology Representative. †ACC/AHA Representative.  ‡Lay Volunteer/Patient Representative. §Preventive Cardiovascular Nurses Association  Representative. ‖American Academy of Physician Assistants Representative. ¶Task  Force Liaison. #Association of Black Cardiologists Representative. **American  Pharmacists Association Representative. ††ACC/AHA Prevention Subcommittee Liaison.  ‡‡American College of Preventive Medicine Representative. §§American Society of  Hypertension Representative. ‖‖Task Force on Performance Measures Liaison.  ¶¶American Geriatrics Society Representative. ##National Medical Association  Representative.; American Society for Preventive Cardiology Representative. †ACC/AHA Representative.  ‡Lay Volunteer/Patient Representative. §Preventive Cardiovascular Nurses Association  Representative. ‖American Academy of Physician Assistants Representative. ¶Task  Force Liaison. #Association of Black Cardiologists Representative. **American  Pharmacists Association Representative. ††ACC/AHA Prevention Subcommittee Liaison.  ‡‡American College of Preventive Medicine Representative. §§American Society of  Hypertension Representative. ‖‖Task Force on Performance Measures Liaison.  ¶¶American Geriatrics Society Representative. ##National Medical Association  Representative.; American Society for Preventive Cardiology Representative. †ACC/AHA Representative.  ‡Lay Volunteer/Patient Representative. §Preventive Cardiovascular Nurses Association  Representative. ‖American Academy of Physician Assistants Representative. ¶Task  Force Liaison. #Association of Black Cardiologists Representative. **American  Pharmacists Association Representative. ††ACC/AHA Prevention Subcommittee Liaison.  ‡‡American College of Preventive Medicine Representative. §§American Society of  Hypertension Representative. ‖‖Task Force on Performance Measures Liaison.  ¶¶American Geriatrics Society Representative. ##National Medical Association  Representative.; American Society for Preventive Cardiology Representative. †ACC/AHA Representative.  ‡Lay Volunteer/Patient Representative. §Preventive Cardiovascular Nurses Association  Representative. ‖American Academy of Physician Assistants Representative. ¶Task  Force Liaison. #Association of Black Cardiologists Representative. **American  Pharmacists Association Representative. ††ACC/AHA Prevention Subcommittee Liaison.  ‡‡American College of Preventive Medicine Representative. §§American Society of  Hypertension Representative. ‖‖Task Force on Performance Measures Liaison.  ¶¶American Geriatrics Society Representative. ##National Medical Association  Representative.; American Society for Preventive Cardiology Representative. †ACC/AHA Representative.  ‡Lay Volunteer/Patient Representative. §Preventive Cardiovascular Nurses Association  Representative. ‖American Academy of Physician Assistants Representative. ¶Task  Force Liaison. #Association of Black Cardiologists Representative. **American  Pharmacists Association Representative. ††ACC/AHA Prevention Subcommittee Liaison.  ‡‡American College of Preventive Medicine Representative. §§American Society of  Hypertension Representative. ‖‖Task Force on Performance Measures Liaison.  ¶¶American Geriatrics Society Representative. ##National Medical Association  Representative.; American Society for Preventive Cardiology Representative. †ACC/AHA Representative.  ‡Lay Volunteer/Patient Representative. §Preventive Cardiovascular Nurses Association  Representative. ‖American Academy of Physician Assistants Representative. ¶Task  Force Liaison. #Association of Black Cardiologists Representative. **American  Pharmacists Association Representative. ††ACC/AHA Prevention Subcommittee Liaison.  ‡‡American College of Preventive Medicine Representative. §§American Society of  Hypertension Representative. ‖‖Task Force on Performance Measures Liaison.  ¶¶American Geriatrics Society Representative. ##National Medical Association  Representative.; American Society for Preventive Cardiology Representative. †ACC/AHA Representative.  ‡Lay Volunteer/Patient Representative. §Preventive Cardiovascular Nurses Association  Representative. ‖American Academy of Physician Assistants Representative. ¶Task  Force Liaison. #Association of Black Cardiologists Representative. **American  Pharmacists Association Representative. ††ACC/AHA Prevention Subcommittee Liaison.  ‡‡American College of Preventive Medicine Representative. §§American Society of  Hypertension Representative. ‖‖Task Force on Performance Measures Liaison.  ¶¶American Geriatrics Society Representative. ##National Medical Association  Representative.; American Society for Preventive Cardiology Representative. †ACC/AHA Representative.  ‡Lay Volunteer/Patient Representative. §Preventive Cardiovascular Nurses Association  Representative. ‖American Academy of Physician Assistants Representative. ¶Task  Force Liaison. #Association of Black Cardiologists Representative. **American  Pharmacists Association Representative. ††ACC/AHA Prevention Subcommittee Liaison.  ‡‡American College of Preventive Medicine Representative. §§American Society of  Hypertension Representative. ‖‖Task Force on Performance Measures Liaison.  ¶¶American Geriatrics Society Representative. ##National Medical Association  Representative.; American Society for Preventive Cardiology Representative. †ACC/AHA Representative.  ‡Lay Volunteer/Patient Representative. §Preventive Cardiovascular Nurses Association  Representative. ‖American Academy of Physician Assistants Representative. ¶Task  Force Liaison. #Association of Black Cardiologists Representative. **American  Pharmacists Association Representative. ††ACC/AHA Prevention Subcommittee Liaison.  ‡‡American College of Preventive Medicine Representative. §§American Society of  Hypertension Representative. ‖‖Task Force on Performance Measures Liaison.  ¶¶American Geriatrics Society Representative. ##National Medical Association  Representative.; American Society for Preventive Cardiology Representative. †ACC/AHA Representative.  ‡Lay Volunteer/Patient Representative. §Preventive Cardiovascular Nurses Association  Representative. ‖American Academy of Physician Assistants Representative. ¶Task  Force Liaison. #Association of Black Cardiologists Representative. **American  Pharmacists Association Representative. ††ACC/AHA Prevention Subcommittee Liaison.  ‡‡American College of Preventive Medicine Representative. §§American Society of  Hypertension Representative. ‖‖Task Force on Performance Measures Liaison.  ¶¶American Geriatrics Society Representative. ##National Medical Association  Representative.; American Society for Preventive Cardiology Representative. †ACC/AHA Representative.  ‡Lay Volunteer/Patient Representative. §Preventive Cardiovascular Nurses Association  Representative. ‖American Academy of Physician Assistants Representative. ¶Task  Force Liaison. #Association of Black Cardiologists Representative. **American  Pharmacists Association Representative. ††ACC/AHA Prevention Subcommittee Liaison.  ‡‡American College of Preventive Medicine Representative. §§American Society of  Hypertension Representative. ‖‖Task Force on Performance Measures Liaison.  ¶¶American Geriatrics Society Representative. ##National Medical Association  Representative.; American Society for Preventive Cardiology Representative. †ACC/AHA Representative.  ‡Lay Volunteer/Patient Representative. §Preventive Cardiovascular Nurses Association  Representative. ‖American Academy of Physician Assistants Representative. ¶Task  Force Liaison. #Association of Black Cardiologists Representative. **American  Pharmacists Association Representative. ††ACC/AHA Prevention Subcommittee Liaison.  ‡‡American College of Preventive Medicine Representative. §§American Society of  Hypertension Representative. ‖‖Task Force on Performance Measures Liaison.  ¶¶American Geriatrics Society Representative. ##National Medical Association  Representative.; American Society for Preventive Cardiology Representative. †ACC/AHA Representative.  ‡Lay Volunteer/Patient Representative. §Preventive Cardiovascular Nurses Association  Representative. ‖American Academy of Physician Assistants Representative. ¶Task  Force Liaison. #Association of Black Cardiologists Representative. **American  Pharmacists Association Representative. ††ACC/AHA Prevention Subcommittee Liaison.  ‡‡American College of Preventive Medicine Representative. §§American Society of  Hypertension Representative. ‖‖Task Force on Performance Measures Liaison.  ¶¶American Geriatrics Society Representative. ##National Medical Association  Representative.; American Society for Preventive Cardiology Representative. †ACC/AHA Representative.  ‡Lay Volunteer/Patient Representative. §Preventive Cardiovascular Nurses Association  Representative. ‖American Academy of Physician Assistants Representative. ¶Task  Force Liaison. #Association of Black Cardiologists Representative. **American  Pharmacists Association Representative. ††ACC/AHA Prevention Subcommittee Liaison.  ‡‡American College of Preventive Medicine Representative. §§American Society of  Hypertension Representative. ‖‖Task Force on Performance Measures Liaison.  ¶¶American Geriatrics Society Representative. ##National Medical Association  Representative.; American Society for Preventive Cardiology Representative. †ACC/AHA Representative.  ‡Lay Volunteer/Patient Representative. §Preventive Cardiovascular Nurses Association  Representative. ‖American Academy of Physician Assistants Representative. ¶Task  Force Liaison. #Association of Black Cardiologists Representative. **American  Pharmacists Association Representative. ††ACC/AHA Prevention Subcommittee Liaison.  ‡‡American College of Preventive Medicine Representative. §§American Society of  Hypertension Representative. ‖‖Task Force on Performance Measures Liaison.  ¶¶American Geriatrics Society Representative. ##National Medical Association  Representative.; American Society for Preventive Cardiology Representative. †ACC/AHA Representative.  ‡Lay Volunteer/Patient Representative. §Preventive Cardiovascular Nurses Association  Representative. ‖American Academy of Physician Assistants Representative. ¶Task  Force Liaison. #Association of Black Cardiologists Representative. **American  Pharmacists Association Representative. ††ACC/AHA Prevention Subcommittee Liaison.  ‡‡American College of Preventive Medicine Representative. §§American Society of  Hypertension Representative. ‖‖Task Force on Performance Measures Liaison.  ¶¶American Geriatrics Society Representative. ##National Medical Association  Representative.; American Society for Preventive Cardiology Representative. †ACC/AHA Representative.  ‡Lay Volunteer/Patient Representative. §Preventive Cardiovascular Nurses Association  Representative. ‖American Academy of Physician Assistants Representative. ¶Task  Force Liaison. #Association of Black Cardiologists Representative. **American  Pharmacists Association Representative. ††ACC/AHA Prevention Subcommittee Liaison.  ‡‡American College of Preventive Medicine Representative. §§American Society of  Hypertension Representative. ‖‖Task Force on Performance Measures Liaison.  ¶¶American Geriatrics Society Representative. ##National Medical Association  Representative.; American Society for Preventive Cardiology Representative. †ACC/AHA Representative.  ‡Lay Volunteer/Patient Representative. §Preventive Cardiovascular Nurses Association  Representative. ‖American Academy of Physician Assistants Representative. ¶Task  Force Liaison. #Association of Black Cardiologists Representative. **American  Pharmacists Association Representative. ††ACC/AHA Prevention Subcommittee Liaison.  ‡‡American College of Preventive Medicine Representative. §§American Society of  Hypertension Representative. ‖‖Task Force on Performance Measures Liaison.  ¶¶American Geriatrics Society Representative. ##National Medical Association  Representative.; American Society for Preventive Cardiology Representative. †ACC/AHA Representative.  ‡Lay Volunteer/Patient Representative. §Preventive Cardiovascular Nurses Association  Representative. ‖American Academy of Physician Assistants Representative. ¶Task  Force Liaison. #Association of Black Cardiologists Representative. **American  Pharmacists Association Representative. ††ACC/AHA Prevention Subcommittee Liaison.  ‡‡American College of Preventive Medicine Representative. §§American Society of  Hypertension Representative. ‖‖Task Force on Performance Measures Liaison.  ¶¶American Geriatrics Society Representative. ##National Medical Association  Representative.&lt;/_author_adr&gt;&lt;_date_display&gt;2018 Oct 23&lt;/_date_display&gt;&lt;_date&gt;2018-10-23&lt;/_date&gt;&lt;_doi&gt;10.1161/CIR.0000000000000597&lt;/_doi&gt;&lt;_isbn&gt;1524-4539 (Electronic); 0009-7322 (Linking)&lt;/_isbn&gt;&lt;_issue&gt;17&lt;/_issue&gt;&lt;_journal&gt;Circulation&lt;/_journal&gt;&lt;_keywords&gt;*AHA Scientific Statements; *ambulatory care; *antihypertensive agents; *behavior modification; *blood pressure; *chronic kidney disease; *diabetes; *hypertension; *hypertension emergency; *lifestyle measures; *measurement; *nonpharmacologic treatment; *resistant hypertension; *risk reduction; *secondary hypertension; *systems of care; *treatment adherence; *treatment outcomes&lt;/_keywords&gt;&lt;_language&gt;eng&lt;/_language&gt;&lt;_pages&gt;e426-e483&lt;/_pages&gt;&lt;_subject_headings&gt;Aged; American Heart Association; Antihypertensive Agents/adverse effects/*therapeutic use; Blood Pressure/*drug effects; Cardiology/*standards; Comorbidity; Consensus; Evidence-Based Medicine/standards; Female; Humans; Hypertension/diagnosis/*drug therapy/epidemiology/physiopathology; Male; Middle Aged; Risk Factors; Treatment Outcome; United States&lt;/_subject_headings&gt;&lt;_tertiary_title&gt;Circulation&lt;/_tertiary_title&gt;&lt;_type_work&gt;Journal Article; Practice Guideline; Systematic Review&lt;/_type_work&gt;&lt;_url&gt;http://www.ncbi.nlm.nih.gov/entrez/query.fcgi?cmd=Retrieve&amp;amp;db=pubmed&amp;amp;dopt=Abstract&amp;amp;list_uids=30354655&amp;amp;query_hl=1&lt;/_url&gt;&lt;_volume&gt;138&lt;/_volume&gt;&lt;_created&gt;63426840&lt;/_created&gt;&lt;_modified&gt;63426840&lt;/_modified&gt;&lt;_impact_factor&gt;  23.603&lt;/_impact_factor&gt;&lt;_collection_scope&gt;SCI;SCIE&lt;/_collection_scope&gt;&lt;/Details&gt;&lt;Extra&gt;&lt;DBUID&gt;{749A27AD-B5E1-4ED6-ABD8-A7B8F16E1CAE}&lt;/DBUID&gt;&lt;/Extra&gt;&lt;/Item&gt;&lt;/References&gt;&lt;/Group&gt;&lt;/Citation&gt;_x000a_"/>
    <w:docVar w:name="NE.Ref{B925D250-DB42-4372-A76B-39E9A8107168}" w:val=" ADDIN NE.Ref.{B925D250-DB42-4372-A76B-39E9A8107168}&lt;Citation&gt;&lt;Group&gt;&lt;References&gt;&lt;Item&gt;&lt;ID&gt;102&lt;/ID&gt;&lt;UID&gt;{C1A73D94-2BAE-4820-96A4-6312AE2F235D}&lt;/UID&gt;&lt;Title&gt;Prevention of cardiovascular events with calcium channel blocker-based combination therapies in patients with hypertension: a randomized controlled trial.&lt;/Title&gt;&lt;Template&gt;Journal Article&lt;/Template&gt;&lt;Star&gt;0&lt;/Star&gt;&lt;Tag&gt;0&lt;/Tag&gt;&lt;Author&gt;Matsuzaki, M; Ogihara, T; Umemoto, S; Rakugi, H; Matsuoka, H; Shimada, K; Abe, K; Suzuki, N; Eto, T; Higaki, J&lt;/Author&gt;&lt;Year&gt;2011&lt;/Year&gt;&lt;Details&gt;&lt;_issue&gt;8&lt;/_issue&gt;&lt;_journal&gt;Journal of Hypertension&lt;/_journal&gt;&lt;_pages&gt;1649&lt;/_pages&gt;&lt;_volume&gt;29&lt;/_volume&gt;&lt;_created&gt;63428747&lt;/_created&gt;&lt;_modified&gt;63428747&lt;/_modified&gt;&lt;_impact_factor&gt;   4.171&lt;/_impact_factor&gt;&lt;_collection_scope&gt;SCI;SCIE&lt;/_collection_scope&gt;&lt;/Details&gt;&lt;Extra&gt;&lt;DBUID&gt;{749A27AD-B5E1-4ED6-ABD8-A7B8F16E1CAE}&lt;/DBUID&gt;&lt;/Extra&gt;&lt;/Item&gt;&lt;/References&gt;&lt;/Group&gt;&lt;/Citation&gt;_x000a_"/>
    <w:docVar w:name="NE.Ref{B9A61825-25D0-4A48-ADAC-EA7F09B23080}" w:val=" ADDIN NE.Ref.{B9A61825-25D0-4A48-ADAC-EA7F09B23080}&lt;Citation&gt;&lt;Group&gt;&lt;References&gt;&lt;Item&gt;&lt;ID&gt;140&lt;/ID&gt;&lt;UID&gt;{17FEA955-6EF7-4A18-A881-BDB6CEE8406B}&lt;/UID&gt;&lt;Title&gt;Blood Pressure and Risk of All-Cause Mortality in Advanced Chronic Kidney Disease and Hemodialysis: The Chronic Renal Insufficiency Cohort Study&lt;/Title&gt;&lt;Template&gt;Journal Article&lt;/Template&gt;&lt;Star&gt;0&lt;/Star&gt;&lt;Tag&gt;0&lt;/Tag&gt;&lt;Author&gt;Bansal; N.; McCulloch; C., E; Rahman; M.; Kusek; J., W; Anderson; A., H&lt;/Author&gt;&lt;Year&gt;2015&lt;/Year&gt;&lt;Details&gt;&lt;_collection_scope&gt;SCI;SCIE&lt;/_collection_scope&gt;&lt;_created&gt;63468939&lt;/_created&gt;&lt;_impact_factor&gt;   7.713&lt;/_impact_factor&gt;&lt;_journal&gt;HYPERTENSION&lt;/_journal&gt;&lt;_modified&gt;63468939&lt;/_modified&gt;&lt;/Details&gt;&lt;Extra&gt;&lt;DBUID&gt;{749A27AD-B5E1-4ED6-ABD8-A7B8F16E1CAE}&lt;/DBUID&gt;&lt;/Extra&gt;&lt;/Item&gt;&lt;/References&gt;&lt;/Group&gt;&lt;/Citation&gt;_x000a_"/>
    <w:docVar w:name="NE.Ref{BD3DB3A6-C336-4488-80B3-5D731F5CDC75}" w:val=" ADDIN NE.Ref.{BD3DB3A6-C336-4488-80B3-5D731F5CDC75}&lt;Citation&gt;&lt;Group&gt;&lt;References&gt;&lt;Item&gt;&lt;ID&gt;42&lt;/ID&gt;&lt;UID&gt;{F2E68012-E9B8-49AA-B73B-2E9741AAF3A3}&lt;/UID&gt;&lt;Title&gt;Longitudinal membrane function in functionally anuric patients treated with APD:  data from EAPOS on the effects of glucose and icodextrin prescription&lt;/Title&gt;&lt;Template&gt;Journal Article&lt;/Template&gt;&lt;Star&gt;0&lt;/Star&gt;&lt;Tag&gt;0&lt;/Tag&gt;&lt;Author&gt;Davies, S J; Brown, E A; Frandsen, N E; Rodrigues, A S; Rodriguez-Carmona, A; Vychytil, A; Macnamara, E; Ekstrand, A; Tranaeus, A; Filho, J C&lt;/Author&gt;&lt;Year&gt;2005&lt;/Year&gt;&lt;Details&gt;&lt;_accession_num&gt;15780118&lt;/_accession_num&gt;&lt;_author_adr&gt;North Staffordshire Hospital, Stoke on Trent, UK; Charing Cross Hospital, London, UK. Simon.Davies1@compuserve.com&lt;/_author_adr&gt;&lt;_date_display&gt;2005 Apr&lt;/_date_display&gt;&lt;_date&gt;2005-04-01&lt;/_date&gt;&lt;_doi&gt;10.1111/j.1523-1755.2005.00243.x&lt;/_doi&gt;&lt;_isbn&gt;0085-2538 (Print); 0085-2538 (Linking)&lt;/_isbn&gt;&lt;_issue&gt;4&lt;/_issue&gt;&lt;_journal&gt;Kidney Int&lt;/_journal&gt;&lt;_language&gt;eng&lt;/_language&gt;&lt;_pages&gt;1609-15&lt;/_pages&gt;&lt;_subject_headings&gt;Anuria/*physiopathology; Automation; Female; Glucans/*pharmacology; Glucose/*pharmacology; *Hemodialysis Solutions; Humans; Icodextrin; Male; Membranes, Artificial; Middle Aged; Multicenter Studies as Topic; Peritoneal Dialysis/*methods; Ultrafiltration&lt;/_subject_headings&gt;&lt;_tertiary_title&gt;Kidney international&lt;/_tertiary_title&gt;&lt;_type_work&gt;Journal Article; Multicenter Study&lt;/_type_work&gt;&lt;_url&gt;http://www.ncbi.nlm.nih.gov/entrez/query.fcgi?cmd=Retrieve&amp;amp;db=pubmed&amp;amp;dopt=Abstract&amp;amp;list_uids=15780118&amp;amp;query_hl=1&lt;/_url&gt;&lt;_volume&gt;67&lt;/_volume&gt;&lt;_created&gt;63405214&lt;/_created&gt;&lt;_modified&gt;63405214&lt;/_modified&gt;&lt;_db_updated&gt;PubMed&lt;/_db_updated&gt;&lt;_impact_factor&gt;   8.945&lt;/_impact_factor&gt;&lt;_collection_scope&gt;SCI;SCIE&lt;/_collection_scope&gt;&lt;/Details&gt;&lt;Extra&gt;&lt;DBUID&gt;{749A27AD-B5E1-4ED6-ABD8-A7B8F16E1CAE}&lt;/DBUID&gt;&lt;/Extra&gt;&lt;/Item&gt;&lt;/References&gt;&lt;/Group&gt;&lt;/Citation&gt;_x000a_"/>
    <w:docVar w:name="NE.Ref{C0A1828D-4831-4EBF-B717-EFF187F2F57C}" w:val=" ADDIN NE.Ref.{C0A1828D-4831-4EBF-B717-EFF187F2F57C}&lt;Citation&gt;&lt;Group&gt;&lt;References&gt;&lt;Item&gt;&lt;ID&gt;32&lt;/ID&gt;&lt;UID&gt;{E5274E70-A62F-4914-B4E6-49147932D331}&lt;/UID&gt;&lt;Title&gt;Major outcomes in high-risk hypertensive patients randomized to angiotensin-converting enzyme inhibitor or calcium channel blocker vs diuretic: The Antihypertensive and Lipid-Lowering Treatment to Prevent Heart Attack Trial (ALLHAT)&lt;/Title&gt;&lt;Template&gt;Journal Article&lt;/Template&gt;&lt;Star&gt;0&lt;/Star&gt;&lt;Tag&gt;0&lt;/Tag&gt;&lt;Author/&gt;&lt;Year&gt;2002&lt;/Year&gt;&lt;Details&gt;&lt;_accession_num&gt;12479763&lt;/_accession_num&gt;&lt;_date_display&gt;2002 Dec 18&lt;/_date_display&gt;&lt;_date&gt;2002-12-18&lt;/_date&gt;&lt;_doi&gt;10.1001/jama.288.23.2981&lt;/_doi&gt;&lt;_isbn&gt;0098-7484 (Print); 0098-7484 (Linking)&lt;/_isbn&gt;&lt;_issue&gt;23&lt;/_issue&gt;&lt;_journal&gt;JAMA&lt;/_journal&gt;&lt;_language&gt;eng&lt;/_language&gt;&lt;_pages&gt;2981-97&lt;/_pages&gt;&lt;_subject_headings&gt;Aged; Amlodipine/economics/therapeutic use; Angiotensin-Converting Enzyme Inhibitors/economics/*therapeutic use; Antihypertensive Agents/economics/*therapeutic use; Calcium Channel Blockers/economics/*therapeutic use; Cardiovascular Diseases/epidemiology/prevention &amp;amp; control; Chlorthalidone/economics/therapeutic use; Diuretics/economics/*therapeutic use; Double-Blind Method; Female; Humans; Hypertension/*drug therapy; Lisinopril/economics/therapeutic use; Male; Middle Aged; Proportional Hazards Models; Risk Factors; Treatment Outcome&lt;/_subject_headings&gt;&lt;_tertiary_title&gt;JAMA&lt;/_tertiary_title&gt;&lt;_type_work&gt;Clinical Trial; Comparative Study; Journal Article; Multicenter Study; Randomized Controlled Trial; Research Support, Non-U.S. Gov&amp;apos;t; Research Support, U.S. Gov&amp;apos;t, P.H.S.&lt;/_type_work&gt;&lt;_url&gt;http://www.ncbi.nlm.nih.gov/entrez/query.fcgi?cmd=Retrieve&amp;amp;db=pubmed&amp;amp;dopt=Abstract&amp;amp;list_uids=12479763&amp;amp;query_hl=1&lt;/_url&gt;&lt;_volume&gt;288&lt;/_volume&gt;&lt;_created&gt;63405167&lt;/_created&gt;&lt;_modified&gt;63405167&lt;/_modified&gt;&lt;_db_updated&gt;PubMed&lt;/_db_updated&gt;&lt;_impact_factor&gt;  45.540&lt;/_impact_factor&gt;&lt;/Details&gt;&lt;Extra&gt;&lt;DBUID&gt;{749A27AD-B5E1-4ED6-ABD8-A7B8F16E1CAE}&lt;/DBUID&gt;&lt;/Extra&gt;&lt;/Item&gt;&lt;/References&gt;&lt;/Group&gt;&lt;Group&gt;&lt;References&gt;&lt;Item&gt;&lt;ID&gt;33&lt;/ID&gt;&lt;UID&gt;{95F7FD96-3510-4168-A666-B9A7EC24B589}&lt;/UID&gt;&lt;Title&gt;Clinical events in high-risk hypertensive patients randomly assigned to calcium channel blocker versus angiotensin-converting enzyme inhibitor in the antihypertensive and lipid-lowering treatment to prevent heart attack trial.&lt;/Title&gt;&lt;Template&gt;Journal Article&lt;/Template&gt;&lt;Star&gt;0&lt;/Star&gt;&lt;Tag&gt;0&lt;/Tag&gt;&lt;Author/&gt;&lt;Year&gt;2006&lt;/Year&gt;&lt;Details&gt;&lt;_issue&gt;3&lt;/_issue&gt;&lt;_journal&gt;Hypertension&lt;/_journal&gt;&lt;_pages&gt;374-384&lt;/_pages&gt;&lt;_volume&gt;48&lt;/_volume&gt;&lt;_created&gt;63405177&lt;/_created&gt;&lt;_modified&gt;63405177&lt;/_modified&gt;&lt;_impact_factor&gt;   7.713&lt;/_impact_factor&gt;&lt;_collection_scope&gt;SCI;SCIE&lt;/_collection_scope&gt;&lt;/Details&gt;&lt;Extra&gt;&lt;DBUID&gt;{749A27AD-B5E1-4ED6-ABD8-A7B8F16E1CAE}&lt;/DBUID&gt;&lt;/Extra&gt;&lt;/Item&gt;&lt;/References&gt;&lt;/Group&gt;&lt;/Citation&gt;_x000a_"/>
    <w:docVar w:name="NE.Ref{C19669E8-6E9A-49C0-8560-7C53BD49615D}" w:val=" ADDIN NE.Ref.{C19669E8-6E9A-49C0-8560-7C53BD49615D}&lt;Citation&gt;&lt;Group&gt;&lt;References&gt;&lt;Item&gt;&lt;ID&gt;38&lt;/ID&gt;&lt;UID&gt;{4111CB70-7CA5-49D5-9157-9E4CA59D869A}&lt;/UID&gt;&lt;Title&gt;α/β受体阻滞剂在慢性肾脏病高血压治疗中的实践指南&lt;/Title&gt;&lt;Template&gt;Journal Article&lt;/Template&gt;&lt;Star&gt;0&lt;/Star&gt;&lt;Tag&gt;0&lt;/Tag&gt;&lt;Author&gt;第八届中华肾脏病学会慢性肾脏病高血压治疗专家协作组&lt;/Author&gt;&lt;Year&gt;2013&lt;/Year&gt;&lt;Details&gt;&lt;_collection_scope&gt;CSCD;PKU&lt;/_collection_scope&gt;&lt;_created&gt;63405192&lt;/_created&gt;&lt;_issue&gt;048&lt;/_issue&gt;&lt;_journal&gt;中华医学杂志&lt;/_journal&gt;&lt;_modified&gt;63405192&lt;/_modified&gt;&lt;_pages&gt;3812-3816&lt;/_pages&gt;&lt;_volume&gt;93&lt;/_volume&gt;&lt;_translated_author&gt;Di, Bajiezhonghuashenzangbingxuehuimanxingshenzangbinggaoxueyazhiliaozhuanjiaxiezuozu&lt;/_translated_author&gt;&lt;/Details&gt;&lt;Extra&gt;&lt;DBUID&gt;{749A27AD-B5E1-4ED6-ABD8-A7B8F16E1CAE}&lt;/DBUID&gt;&lt;/Extra&gt;&lt;/Item&gt;&lt;/References&gt;&lt;/Group&gt;&lt;/Citation&gt;_x000a_"/>
    <w:docVar w:name="NE.Ref{C19DA7EE-0D6C-42CD-8C0A-8836A72E0AE2}" w:val=" ADDIN NE.Ref.{C19DA7EE-0D6C-42CD-8C0A-8836A72E0AE2}&lt;Citation&gt;&lt;Group&gt;&lt;References&gt;&lt;Item&gt;&lt;ID&gt;40&lt;/ID&gt;&lt;UID&gt;{425C7811-0C86-48B5-8706-5DB71998D412}&lt;/UID&gt;&lt;Title&gt;Spironolactone versus placebo, bisoprolol, and doxazosin to determine the optimal treatment for drug-resistant hypertension (PATHWAY-2): a randomised, double-blind, crossover trial&lt;/Title&gt;&lt;Template&gt;Journal Article&lt;/Template&gt;&lt;Star&gt;0&lt;/Star&gt;&lt;Tag&gt;0&lt;/Tag&gt;&lt;Author&gt;Williams, B; MacDonald, T M; Morant, S; Webb, D J; Sever, P; McInnes, G; Ford, I; Cruickshank, J K; Caulfield, M J; Salsbury, J; Mackenzie, I; Padmanabhan, S; Brown, M J&lt;/Author&gt;&lt;Year&gt;2015&lt;/Year&gt;&lt;Details&gt;&lt;_accession_num&gt;26414968&lt;/_accession_num&gt;&lt;_author_adr&gt;Institute of Cardiovascular Sciences University College London and National Institute for Health Research (NIHR) UCL/UCL Hospitals Biomedical Research Centre, London, UK. Electronic address: bryan.williams@ucl.ac.uk.; Medicines Monitoring Unit, Medical Research Institute, University of Dundee, Dundee, UK.; Medicines Monitoring Unit, Medical Research Institute, University of Dundee, Dundee, UK.; Clinical Pharmacology Unit, University of Edinburgh, Centre for Cardiovascular Science, Queen&amp;apos;s Medical Research Institute, Edinburgh, UK.; International Centre for Circulatory Health, Imperial College, London, UK.; BHF Glasgow Cardiovascular Research Centre, Institute of Cardiovascular and Medical Sciences, University of Glasgow, Glasgow, UK.; Robertson Centre for Biostatistics, Glasgow University, Glasgow, UK.; Cardiovascular Medicine &amp;amp; Diabetes, King&amp;apos;s College London, London, UK.; William Harvey Research Institute, Barts and The London School of Medicine and Dentistry, Queen Mary University of London, London, UK.; Clinical Pharmacology Unit, Addenbrooke&amp;apos;s Hospital, University of Cambridge, UK.; Medicines Monitoring Unit, Medical Research Institute, University of Dundee, Dundee, UK.; BHF Glasgow Cardiovascular Research Centre, Institute of Cardiovascular and Medical Sciences, University of Glasgow, Glasgow, UK.; Clinical Pharmacology Unit, Addenbrooke&amp;apos;s Hospital, University of Cambridge, UK.  Electronic address: m.j.brown@cai.cam.ac.uk.&lt;/_author_adr&gt;&lt;_date_display&gt;2015 Nov 21&lt;/_date_display&gt;&lt;_date&gt;2015-11-21&lt;/_date&gt;&lt;_doi&gt;10.1016/S0140-6736(15)00257-3&lt;/_doi&gt;&lt;_isbn&gt;1474-547X (Electronic); 0140-6736 (Linking)&lt;/_isbn&gt;&lt;_issue&gt;10008&lt;/_issue&gt;&lt;_journal&gt;Lancet&lt;/_journal&gt;&lt;_language&gt;eng&lt;/_language&gt;&lt;_ori_publication&gt;Copyright (c) 2015 Williams et al. Open Access article distributed under the_x000d__x000a_      terms of CC BY. Published by Elsevier Ltd.. All rights reserved.&lt;/_ori_publication&gt;&lt;_pages&gt;2059-2068&lt;/_pages&gt;&lt;_subject_headings&gt;Adrenergic alpha-1 Receptor Antagonists/*therapeutic use; Adrenergic beta-1 Receptor Antagonists/*therapeutic use; Aged; Bisoprolol/*therapeutic use; Cross-Over Studies; Double-Blind Method; Doxazosin/*therapeutic use; Female; Humans; Hypertension/*drug therapy; Male; Middle Aged; Mineralocorticoid Receptor Antagonists/*therapeutic use; Spironolactone/*therapeutic use; Treatment Outcome&lt;/_subject_headings&gt;&lt;_tertiary_title&gt;Lancet (London, England)&lt;/_tertiary_title&gt;&lt;_type_work&gt;Comparative Study; Journal Article; Randomized Controlled Trial; Research Support, Non-U.S. Gov&amp;apos;t&lt;/_type_work&gt;&lt;_url&gt;http://www.ncbi.nlm.nih.gov/entrez/query.fcgi?cmd=Retrieve&amp;amp;db=pubmed&amp;amp;dopt=Abstract&amp;amp;list_uids=26414968&amp;amp;query_hl=1&lt;/_url&gt;&lt;_volume&gt;386&lt;/_volume&gt;&lt;_created&gt;63405197&lt;/_created&gt;&lt;_modified&gt;63405197&lt;/_modified&gt;&lt;_db_updated&gt;PubMed&lt;/_db_updated&gt;&lt;_impact_factor&gt;  60.392&lt;/_impact_factor&gt;&lt;_collection_scope&gt;SCI;SCIE&lt;/_collection_scope&gt;&lt;/Details&gt;&lt;Extra&gt;&lt;DBUID&gt;{749A27AD-B5E1-4ED6-ABD8-A7B8F16E1CAE}&lt;/DBUID&gt;&lt;/Extra&gt;&lt;/Item&gt;&lt;/References&gt;&lt;/Group&gt;&lt;/Citation&gt;_x000a_"/>
    <w:docVar w:name="NE.Ref{C1CED790-35B4-46A2-B7C3-5A577C24EF67}" w:val=" ADDIN NE.Ref.{C1CED790-35B4-46A2-B7C3-5A577C24EF67}&lt;Citation&gt;&lt;Group&gt;&lt;References&gt;&lt;Item&gt;&lt;ID&gt;52&lt;/ID&gt;&lt;UID&gt;{46600BCB-0255-4C40-9A78-70837B63AC86}&lt;/UID&gt;&lt;Title&gt;中国高血压防治指南2018年修订版&lt;/Title&gt;&lt;Template&gt;Journal Article&lt;/Template&gt;&lt;Star&gt;0&lt;/Star&gt;&lt;Tag&gt;0&lt;/Tag&gt;&lt;Author&gt;修订委员会中国高血压防治指南&lt;/Author&gt;&lt;Year&gt;2019&lt;/Year&gt;&lt;Details&gt;&lt;_issue&gt;001&lt;/_issue&gt;&lt;_journal&gt;心脑血管病防治&lt;/_journal&gt;&lt;_pages&gt;1-44&lt;/_pages&gt;&lt;_volume&gt;019&lt;/_volume&gt;&lt;_created&gt;63405566&lt;/_created&gt;&lt;_modified&gt;63405566&lt;/_modified&gt;&lt;_translated_author&gt;Xiu, Dingweiyuanhuizhongguogaoxueyafangzhizhinan&lt;/_translated_author&gt;&lt;/Details&gt;&lt;Extra&gt;&lt;DBUID&gt;{749A27AD-B5E1-4ED6-ABD8-A7B8F16E1CAE}&lt;/DBUID&gt;&lt;/Extra&gt;&lt;/Item&gt;&lt;/References&gt;&lt;/Group&gt;&lt;/Citation&gt;_x000a_"/>
    <w:docVar w:name="NE.Ref{C3DABBCB-0874-4025-B634-5E88FC768239}" w:val=" ADDIN NE.Ref.{C3DABBCB-0874-4025-B634-5E88FC768239}&lt;Citation&gt;&lt;Group&gt;&lt;References&gt;&lt;Item&gt;&lt;ID&gt;88&lt;/ID&gt;&lt;UID&gt;{FD28CA67-A47A-444B-BE29-AEAC909A3408}&lt;/UID&gt;&lt;Title&gt;The Japanese Society of Hypertension Guidelines for the Management of Hypertension  (JSH 2019)&lt;/Title&gt;&lt;Template&gt;Journal Article&lt;/Template&gt;&lt;Star&gt;0&lt;/Star&gt;&lt;Tag&gt;0&lt;/Tag&gt;&lt;Author&gt;Umemura, S; Arima, H; Arima, S; Asayama, K; Dohi, Y; Hirooka, Y; Horio, T; Hoshide, S; Ikeda, S; Ishimitsu, T; Ito, M; Ito, S; Iwashima, Y; Kai, H; Kamide, K; Kanno, Y; Kashihara, N; Kawano, Y; Kikuchi, T; Kitamura, K; Kitazono, T; Kohara, K; Kudo, M; Kumagai, H; Matsumura, K; Matsuura, H; Miura, K; Mukoyama, M; Nakamura, S; Ohkubo, T; Ohya, Y; Okura, T; Rakugi, H; Saitoh, S; Shibata, H; Shimosawa, T; Suzuki, H; Takahashi, S; Tamura, K; Tomiyama, H; Tsuchihashi, T; Ueda, S; Uehara, Y; Urata, H; Hirawa, N&lt;/Author&gt;&lt;Year&gt;2019&lt;/Year&gt;&lt;Details&gt;&lt;_accession_num&gt;31375757&lt;/_accession_num&gt;&lt;_author_adr&gt;Yokohama Rosai Hospital, Kanagawa, Japan.; Fukuoka University, Fukuoka, Japan.; Kindai University, Osaka, Japan.; Teikyo University, Tokyo, Japan.; Nagoya Gakuin University, Nagoya, Japan.; Takagi Hospital / International University of Health and Welfare, Otawara, Japan.; Ishikiriseiki Hospital, Osaka, Japan.; Jichi Medical University, Shimotsuke, Japan.; International University of Health and Welfare, Otawara, Japan.; Dokkyo Medical University, Mibu, Japan.; Mie University, Mie, Japan.; Tohoku University, Sendai, Japan.; Dokkyo Medical University, Mibu, Japan.; Kurume University Medical Center, Kurume, Japan.; Osaka University, Suita, Japan.; Tokyo Medical University, Tokyo, Japan.; Kawasaki Medical School, Matsushima, Japan.; Teikyo University Fukuoka, Fukuoka, Japan.; Saitama Medical University, Saitama, Japan.; University of Miyazaki, Miyazaki, Japan.; Kyushu University, Fukuoka, Japan.; Ehime University, Ehime, Japan.; Tohoku University, Sendai, Japan.; National Defense Medical College, Saitama, Japan.; Kitakyushu Wakasugi Hospital, Fukuoka, Japan.; Saiseikai Kure Hospital, Hiroshima, Japan.; Shiga University of Medical Science, Shiga, Japan.; Kumamoto University, Kumamoto, Japan.; Kansai University of Welfare Sciences, Osaka, Japan.; Teikyo University, Tokyo, Japan.; University of the Ryukyus, Nishihara, Japan.; Ehime University, Ehime, Japan.; Osaka University, Suita, Japan.; Sapporo Medical University, Sapporo, Japan.; Oita University, Oita, Japan.; International University of Health and Welfare, Otawara, Japan.; Musashino Tokushukai Hospital, Tokyo, Japan.; Itabashi Chuo Medical Center, Tokyo, Japan.; Yokohama City University Graduate School of Medicine, Yokohama, Japan.; Tokyo Medical University, Tokyo, Japan.; Steel Memorial Yawata Hospital, Fukuoka, Japan.; University of the Ryukyus, Nishihara, Japan.; Fukuoka University, Fukuoka, Japan.; Fukuoka University Chikushi Hospital, Fukuoka, Japan.; Yokohama City University Medical Center, Yokohama, Japan. hirawa@yokohama-cu.ac.jp.&lt;/_author_adr&gt;&lt;_date_display&gt;2019 Sep&lt;/_date_display&gt;&lt;_date&gt;2019-09-01&lt;/_date&gt;&lt;_doi&gt;10.1038/s41440-019-0284-9&lt;/_doi&gt;&lt;_isbn&gt;1348-4214 (Electronic); 0916-9636 (Linking)&lt;/_isbn&gt;&lt;_issue&gt;9&lt;/_issue&gt;&lt;_journal&gt;Hypertens Res&lt;/_journal&gt;&lt;_language&gt;eng&lt;/_language&gt;&lt;_pages&gt;1235-1481&lt;/_pages&gt;&lt;_tertiary_title&gt;Hypertension research : official journal of the Japanese Society of Hypertension&lt;/_tertiary_title&gt;&lt;_type_work&gt;Journal Article; Review&lt;/_type_work&gt;&lt;_url&gt;http://www.ncbi.nlm.nih.gov/entrez/query.fcgi?cmd=Retrieve&amp;amp;db=pubmed&amp;amp;dopt=Abstract&amp;amp;list_uids=31375757&amp;amp;query_hl=1&lt;/_url&gt;&lt;_volume&gt;42&lt;/_volume&gt;&lt;_created&gt;63426928&lt;/_created&gt;&lt;_modified&gt;63426928&lt;/_modified&gt;&lt;_impact_factor&gt;   2.941&lt;/_impact_factor&gt;&lt;_collection_scope&gt;SCIE&lt;/_collection_scope&gt;&lt;/Details&gt;&lt;Extra&gt;&lt;DBUID&gt;{749A27AD-B5E1-4ED6-ABD8-A7B8F16E1CAE}&lt;/DBUID&gt;&lt;/Extra&gt;&lt;/Item&gt;&lt;/References&gt;&lt;/Group&gt;&lt;/Citation&gt;_x000a_"/>
    <w:docVar w:name="NE.Ref{C4E9169A-9FDF-4DF3-AC05-393422611392}" w:val=" ADDIN NE.Ref.{C4E9169A-9FDF-4DF3-AC05-393422611392}&lt;Citation&gt;&lt;Group&gt;&lt;References&gt;&lt;Item&gt;&lt;ID&gt;108&lt;/ID&gt;&lt;UID&gt;{E40D461A-9CFD-4C8E-85C8-1C6450C76C09}&lt;/UID&gt;&lt;Title&gt;Hypertension in dialysis patients: a consensus document by the European Renal and Cardiovascular Medicine (EURECA-m) working group of the European Renal Association - European Dialysis and Transplant Association (ERA-EDTA) and the Hypertension and the Kidn&lt;/Title&gt;&lt;Template&gt;Journal Article&lt;/Template&gt;&lt;Star&gt;0&lt;/Star&gt;&lt;Tag&gt;0&lt;/Tag&gt;&lt;Author&gt;Sarafidis, Pantelis A; Alexandre, Persu; Rajiv, Agarwal; Michel, Burnier; Peter, De Leeuw; Ferro, Charles J; Jean-Michel, Halimi; Heine, Gunnar H; Michel, Jadoul; Faical, Jarraya&lt;/Author&gt;&lt;Year&gt;2017&lt;/Year&gt;&lt;Details&gt;&lt;_created&gt;63434387&lt;/_created&gt;&lt;_issue&gt;4&lt;/_issue&gt;&lt;_journal&gt;Nephrol Dial Transplant&lt;/_journal&gt;&lt;_modified&gt;63434387&lt;/_modified&gt;&lt;_pages&gt;620-640&lt;/_pages&gt;&lt;/Details&gt;&lt;Extra&gt;&lt;DBUID&gt;{749A27AD-B5E1-4ED6-ABD8-A7B8F16E1CAE}&lt;/DBUID&gt;&lt;/Extra&gt;&lt;/Item&gt;&lt;/References&gt;&lt;/Group&gt;&lt;/Citation&gt;_x000a_"/>
    <w:docVar w:name="NE.Ref{C511D47D-6E5E-4FAC-8AEA-493AD0ADCC88}" w:val=" ADDIN NE.Ref.{C511D47D-6E5E-4FAC-8AEA-493AD0ADCC88}&lt;Citation&gt;&lt;Group&gt;&lt;References&gt;&lt;Item&gt;&lt;ID&gt;46&lt;/ID&gt;&lt;UID&gt;{4144EA78-37FA-45A2-9179-9A05C20CF2E5}&lt;/UID&gt;&lt;Title&gt;Use of ACE inhibitors or angiotensin receptor blockers and survival in patients on peritoneal dialysis*&lt;/Title&gt;&lt;Template&gt;Journal Article&lt;/Template&gt;&lt;Star&gt;0&lt;/Star&gt;&lt;Tag&gt;0&lt;/Tag&gt;&lt;Author&gt;Wei, Fang; Oreopoulos, Dimitrios G; Bargman, Joanne M&lt;/Author&gt;&lt;Year&gt;2008&lt;/Year&gt;&lt;Details&gt;&lt;_issue&gt;11&lt;/_issue&gt;&lt;_journal&gt;Nephrology Dialysis Transplantation&lt;/_journal&gt;&lt;_pages&gt;11&lt;/_pages&gt;&lt;_created&gt;63405238&lt;/_created&gt;&lt;_modified&gt;63405238&lt;/_modified&gt;&lt;_impact_factor&gt;   4.531&lt;/_impact_factor&gt;&lt;_collection_scope&gt;SCI;SCIE&lt;/_collection_scope&gt;&lt;/Details&gt;&lt;Extra&gt;&lt;DBUID&gt;{749A27AD-B5E1-4ED6-ABD8-A7B8F16E1CAE}&lt;/DBUID&gt;&lt;/Extra&gt;&lt;/Item&gt;&lt;/References&gt;&lt;/Group&gt;&lt;Group&gt;&lt;References&gt;&lt;Item&gt;&lt;ID&gt;47&lt;/ID&gt;&lt;UID&gt;{CF8A9397-DFCE-4192-8D11-FA7BD259F0CA}&lt;/UID&gt;&lt;Title&gt;Effects of angiotensin-converting enzyme inhibitors and angiotensin receptor blockers on cardiovascular events and residual renal function in dialysis patients: a meta-analysis of randomised controlled trials&lt;/Title&gt;&lt;Template&gt;Journal Article&lt;/Template&gt;&lt;Star&gt;0&lt;/Star&gt;&lt;Tag&gt;0&lt;/Tag&gt;&lt;Author&gt;Liu, Y; Ma, X; Zheng, J; Jia, J; Yan, T&lt;/Author&gt;&lt;Year&gt;2017&lt;/Year&gt;&lt;Details&gt;&lt;_accession_num&gt;28666408&lt;/_accession_num&gt;&lt;_author_adr&gt;Department of Nephrology, General Hospital of Tianjin Medical University, NO. 154, Anshan road, Heping District, Tianjin, China.; Division of Nephrology, Department of Medicine, The Third Affiliated Hospital of  Sun Yat-sen University, Guangzhou, People&amp;apos;s Republic of China.; Radiology Department, General Hospital of Tianjin Medical University, Tianjin, People&amp;apos;s Republic of China.; Department of Nephrology, General Hospital of Tianjin Medical University, NO. 154, Anshan road, Heping District, Tianjin, China.; Department of Nephrology, General Hospital of Tianjin Medical University, NO. 154, Anshan road, Heping District, Tianjin, China. tiekunyan@163.com.&lt;/_author_adr&gt;&lt;_date_display&gt;2017 Jun 30&lt;/_date_display&gt;&lt;_date&gt;2017-06-30&lt;/_date&gt;&lt;_doi&gt;10.1186/s12882-017-0605-7&lt;/_doi&gt;&lt;_isbn&gt;1471-2369 (Electronic); 1471-2369 (Linking)&lt;/_isbn&gt;&lt;_issue&gt;1&lt;/_issue&gt;&lt;_journal&gt;BMC Nephrol&lt;/_journal&gt;&lt;_keywords&gt;Angiotensin receptor blockers; Angiotensin-converting enzyme inhibitors; Cardiovascular events; Dialysis; Meta-analysis; Residual renal function&lt;/_keywords&gt;&lt;_language&gt;eng&lt;/_language&gt;&lt;_pages&gt;206&lt;/_pages&gt;&lt;_subject_headings&gt;Angiotensin Receptor Antagonists/*therapeutic use; Angiotensin-Converting Enzyme Inhibitors/*therapeutic use; Cardiovascular Diseases/*drug therapy/epidemiology/physiopathology; Humans; Kidney/drug effects/physiology; Randomized Controlled Trials as Topic/*methods; Renal Dialysis/adverse effects/*trends; Renal Insufficiency, Chronic/epidemiology/physiopathology/*therapy; Treatment Outcome&lt;/_subject_headings&gt;&lt;_tertiary_title&gt;BMC nephrology&lt;/_tertiary_title&gt;&lt;_type_work&gt;Journal Article; Meta-Analysis; Review&lt;/_type_work&gt;&lt;_url&gt;http://www.ncbi.nlm.nih.gov/entrez/query.fcgi?cmd=Retrieve&amp;amp;db=pubmed&amp;amp;dopt=Abstract&amp;amp;list_uids=28666408&amp;amp;query_hl=1&lt;/_url&gt;&lt;_volume&gt;18&lt;/_volume&gt;&lt;_created&gt;63405250&lt;/_created&gt;&lt;_modified&gt;63405250&lt;/_modified&gt;&lt;_db_updated&gt;PubMed&lt;/_db_updated&gt;&lt;_impact_factor&gt;   1.913&lt;/_impact_factor&gt;&lt;_collection_scope&gt;SCIE&lt;/_collection_scope&gt;&lt;/Details&gt;&lt;Extra&gt;&lt;DBUID&gt;{749A27AD-B5E1-4ED6-ABD8-A7B8F16E1CAE}&lt;/DBUID&gt;&lt;/Extra&gt;&lt;/Item&gt;&lt;/References&gt;&lt;/Group&gt;&lt;/Citation&gt;_x000a_"/>
    <w:docVar w:name="NE.Ref{C59FE936-1B63-471C-B052-F7B07429F071}" w:val=" ADDIN NE.Ref.{C59FE936-1B63-471C-B052-F7B07429F071}&lt;Citation&gt;&lt;Group&gt;&lt;References&gt;&lt;Item&gt;&lt;ID&gt;113&lt;/ID&gt;&lt;UID&gt;{44CBC28C-194A-4BBD-A8E9-265C4DF21214}&lt;/UID&gt;&lt;Title&gt;Renoprotective effect of renin-angiotensin-aldosterone system blockade in patients  with predialysis advanced chronic kidney disease, hypertension, and anemia&lt;/Title&gt;&lt;Template&gt;Journal Article&lt;/Template&gt;&lt;Star&gt;0&lt;/Star&gt;&lt;Tag&gt;5&lt;/Tag&gt;&lt;Author&gt;Hsu, T W; Liu, J S; Hung, S C; Kuo, K L; Chang, Y K; Chen, Y C; Hsu, C C; Tarng, D C&lt;/Author&gt;&lt;Year&gt;2014&lt;/Year&gt;&lt;Details&gt;&lt;_accession_num&gt;24343093&lt;/_accession_num&gt;&lt;_author_adr&gt;Division of Nephrology, Department of Internal Medicine, National Yang-Ming  University Hospital, Ilan City, Taiwan.; Division of Geriatrics and Gerontology, Institute of Population Health Sciences,  National Health Research Institutes, Zhunan, Taiwan.; Division of Nephrology, Buddhist Tzu Chi Hospital Taipei Branch, New Taipei, Taiwan.; Division of Nephrology, Buddhist Tzu Chi Hospital Taipei Branch, New Taipei, Taiwan.; Division of Geriatrics and Gerontology, Institute of Population Health Sciences,  National Health Research Institutes, Zhunan, Taiwan.; Department and Institute of Nursing, School of Nursing, National Yang-Ming  University, Taipei, Taiwan.; Division of Geriatrics and Gerontology, Institute of Population Health Sciences,  National Health Research Institutes, Zhunan, Taiwan5Department of Health Services  Administration, China Medical University and Hospital, Taichung, Taiwan.; Division of Nephrology, Department of Medicine, Taipei Veterans General Hospital,  Taipei, Taiwan7Institutes of Physiology and Clinical Medicine, National Yang-Ming  University, Taipei, Taiwan.&lt;/_author_adr&gt;&lt;_date_display&gt;2014 Mar&lt;/_date_display&gt;&lt;_date&gt;2014-03-01&lt;/_date&gt;&lt;_doi&gt;10.1001/jamainternmed.2013.12700&lt;/_doi&gt;&lt;_isbn&gt;2168-6114 (Electronic); 2168-6106 (Linking)&lt;/_isbn&gt;&lt;_issue&gt;3&lt;/_issue&gt;&lt;_journal&gt;JAMA Intern Med&lt;/_journal&gt;&lt;_language&gt;eng&lt;/_language&gt;&lt;_pages&gt;347-54&lt;/_pages&gt;&lt;_subject_headings&gt;Aged; Anemia/complications/*drug therapy; Angiotensin Receptor Antagonists/pharmacology/*therapeutic use; Angiotensin-Converting Enzyme Inhibitors/pharmacology/*therapeutic use; Disease Progression; Female; Humans; Hypertension/complications/*drug therapy; Kidney/*drug effects; Male; Middle Aged; Prospective Studies; Renal Dialysis; Renal Insufficiency, Chronic/complications/*drug therapy/therapy; Renin-Angiotensin System/*drug effects; Risk Factors; Taiwan&lt;/_subject_headings&gt;&lt;_tertiary_title&gt;JAMA internal medicine&lt;/_tertiary_title&gt;&lt;_type_work&gt;Journal Article; Research Support, Non-U.S. Gov&amp;apos;t&lt;/_type_work&gt;&lt;_url&gt;http://www.ncbi.nlm.nih.gov/entrez/query.fcgi?cmd=Retrieve&amp;amp;db=pubmed&amp;amp;dopt=Abstract&amp;amp;list_uids=24343093&amp;amp;query_hl=1&lt;/_url&gt;&lt;_volume&gt;174&lt;/_volume&gt;&lt;_created&gt;63457236&lt;/_created&gt;&lt;_modified&gt;63457418&lt;/_modified&gt;&lt;_impact_factor&gt;  18.652&lt;/_impact_factor&gt;&lt;_collection_scope&gt;SCI;SCIE&lt;/_collection_scope&gt;&lt;/Details&gt;&lt;Extra&gt;&lt;DBUID&gt;{749A27AD-B5E1-4ED6-ABD8-A7B8F16E1CAE}&lt;/DBUID&gt;&lt;/Extra&gt;&lt;/Item&gt;&lt;/References&gt;&lt;/Group&gt;&lt;/Citation&gt;_x000a_"/>
    <w:docVar w:name="NE.Ref{C5EA1F4E-EBF7-4A2C-B429-7C4D0A94F2BA}" w:val=" ADDIN NE.Ref.{C5EA1F4E-EBF7-4A2C-B429-7C4D0A94F2BA}&lt;Citation&gt;&lt;Group&gt;&lt;References&gt;&lt;Item&gt;&lt;ID&gt;158&lt;/ID&gt;&lt;UID&gt;{A526159A-7287-4011-9C6A-1634ED74808A}&lt;/UID&gt;&lt;Title&gt;Low dose spironolactone reduces blood pressure in patients with resistant  hypertension and type 2 diabetes mellitus: a double blind randomized clinical trial&lt;/Title&gt;&lt;Template&gt;Journal Article&lt;/Template&gt;&lt;Star&gt;0&lt;/Star&gt;&lt;Tag&gt;0&lt;/Tag&gt;&lt;Author&gt;Oxlund, C S; Henriksen, J E; Tarnow, L; Schousboe, K; Gram, J; Jacobsen, I A&lt;/Author&gt;&lt;Year&gt;2013&lt;/Year&gt;&lt;Details&gt;&lt;_accession_num&gt;24107738&lt;/_accession_num&gt;&lt;_author_adr&gt;aDepartment of Endocrinology, Odense University Hospital, Odense bSteno Diabetes  Centre, Gentofte cDepartment of Medicine, Sygehus Lillebælt, Fredericia dDepartment  of Endocrinology, Sydvestjysk Sygehus, Esbjerg, Denmark.&lt;/_author_adr&gt;&lt;_collection_scope&gt;SCI;SCIE&lt;/_collection_scope&gt;&lt;_created&gt;63480508&lt;/_created&gt;&lt;_date&gt;2013-10-01&lt;/_date&gt;&lt;_date_display&gt;2013 Oct&lt;/_date_display&gt;&lt;_doi&gt;10.1097/HJH.0b013e3283638b1a&lt;/_doi&gt;&lt;_impact_factor&gt;   4.171&lt;/_impact_factor&gt;&lt;_isbn&gt;1473-5598 (Electronic); 0263-6352 (Linking)&lt;/_isbn&gt;&lt;_issue&gt;10&lt;/_issue&gt;&lt;_journal&gt;J Hypertens&lt;/_journal&gt;&lt;_language&gt;eng&lt;/_language&gt;&lt;_modified&gt;63480508&lt;/_modified&gt;&lt;_pages&gt;2094-102&lt;/_pages&gt;&lt;_subject_headings&gt;Adult; Aged; Albumins/chemistry; Aldosterone/metabolism; Antihypertensive Agents/therapeutic use; Blood Pressure/*drug effects; Blood Pressure Monitoring, Ambulatory; Diabetes Complications/*drug therapy; Diabetes Mellitus, Type 2; Double-Blind Method; Female; Humans; Hypertension/diagnosis/*drug therapy; Male; Middle Aged; Spironolactone/*administration &amp;amp; dosage/*therapeutic use&lt;/_subject_headings&gt;&lt;_tertiary_title&gt;Journal of hypertension&lt;/_tertiary_title&gt;&lt;_type_work&gt;Journal Article; Multicenter Study; Randomized Controlled Trial; Research Support, Non-U.S. Gov&amp;apos;t&lt;/_type_work&gt;&lt;_url&gt;http://www.ncbi.nlm.nih.gov/entrez/query.fcgi?cmd=Retrieve&amp;amp;db=pubmed&amp;amp;dopt=Abstract&amp;amp;list_uids=24107738&amp;amp;query_hl=1&lt;/_url&gt;&lt;_volume&gt;31&lt;/_volume&gt;&lt;/Details&gt;&lt;Extra&gt;&lt;DBUID&gt;{749A27AD-B5E1-4ED6-ABD8-A7B8F16E1CAE}&lt;/DBUID&gt;&lt;/Extra&gt;&lt;/Item&gt;&lt;/References&gt;&lt;/Group&gt;&lt;Group&gt;&lt;References&gt;&lt;Item&gt;&lt;ID&gt;159&lt;/ID&gt;&lt;UID&gt;{C1A93CCB-27D4-4452-8A12-F843B1D8D2CC}&lt;/UID&gt;&lt;Title&gt;Spironolactone versus placebo, bisoprolol, and doxazosin to determine the optimal  treatment for drug-resistant hypertension (PATHWAY-2): a randomised, double-blind,  crossover trial&lt;/Title&gt;&lt;Template&gt;Journal Article&lt;/Template&gt;&lt;Star&gt;0&lt;/Star&gt;&lt;Tag&gt;0&lt;/Tag&gt;&lt;Author&gt;Williams, B; MacDonald, T M; Morant, S; Webb, D J; Sever, P; McInnes, G; Ford, I; Cruickshank, J K; Caulfield, M J; Salsbury, J; Mackenzie, I; Padmanabhan, S; Brown, M J&lt;/Author&gt;&lt;Year&gt;2015&lt;/Year&gt;&lt;Details&gt;&lt;_accession_num&gt;26414968&lt;/_accession_num&gt;&lt;_author_adr&gt;Institute of Cardiovascular Sciences University College London and National  Institute for Health Research (NIHR) UCL/UCL Hospitals Biomedical Research Centre,  London, UK. Electronic address: bryan.williams@ucl.ac.uk.; Medicines Monitoring Unit, Medical Research Institute, University of Dundee, Dundee,  UK.; Medicines Monitoring Unit, Medical Research Institute, University of Dundee, Dundee,  UK.; Clinical Pharmacology Unit, University of Edinburgh, Centre for Cardiovascular  Science, Queen&amp;apos;s Medical Research Institute, Edinburgh, UK.; International Centre for Circulatory Health, Imperial College, London, UK.; BHF Glasgow Cardiovascular Research Centre, Institute of Cardiovascular and Medical  Sciences, University of Glasgow, Glasgow, UK.; Robertson Centre for Biostatistics, Glasgow University, Glasgow, UK.; Cardiovascular Medicine &amp;amp; Diabetes, King&amp;apos;s College London, London, UK.; William Harvey Research Institute, Barts and The London School of Medicine and  Dentistry, Queen Mary University of London, London, UK.; Clinical Pharmacology Unit, Addenbrooke&amp;apos;s Hospital, University of Cambridge, UK.; Medicines Monitoring Unit, Medical Research Institute, University of Dundee, Dundee,  UK.; BHF Glasgow Cardiovascular Research Centre, Institute of Cardiovascular and Medical  Sciences, University of Glasgow, Glasgow, UK.; Clinical Pharmacology Unit, Addenbrooke&amp;apos;s Hospital, University of Cambridge, UK.  Electronic address: m.j.brown@cai.cam.ac.uk.&lt;/_author_adr&gt;&lt;_collection_scope&gt;SCI;SCIE&lt;/_collection_scope&gt;&lt;_created&gt;63480510&lt;/_created&gt;&lt;_date&gt;2015-11-21&lt;/_date&gt;&lt;_date_display&gt;2015 Nov 21&lt;/_date_display&gt;&lt;_doi&gt;10.1016/S0140-6736(15)00257-3&lt;/_doi&gt;&lt;_impact_factor&gt;  60.392&lt;/_impact_factor&gt;&lt;_isbn&gt;1474-547X (Electronic); 0140-6736 (Print); 0140-6736 (Linking)&lt;/_isbn&gt;&lt;_issue&gt;10008&lt;/_issue&gt;&lt;_journal&gt;Lancet&lt;/_journal&gt;&lt;_language&gt;eng&lt;/_language&gt;&lt;_modified&gt;63480510&lt;/_modified&gt;&lt;_ori_publication&gt;Copyright © 2015 Williams et al. Open Access article distributed under the terms of _x000d__x000a_      CC BY. Published by Elsevier Ltd.. All rights reserved.&lt;/_ori_publication&gt;&lt;_pages&gt;2059-2068&lt;/_pages&gt;&lt;_subject_headings&gt;Adrenergic alpha-1 Receptor Antagonists/*therapeutic use; Adrenergic beta-1 Receptor Antagonists/*therapeutic use; Aged; Bisoprolol/*therapeutic use; Cross-Over Studies; Double-Blind Method; Doxazosin/*therapeutic use; Female; Humans; Hypertension/*drug therapy; Male; Middle Aged; Mineralocorticoid Receptor Antagonists/*therapeutic use; Spironolactone/*therapeutic use; Treatment Outcome&lt;/_subject_headings&gt;&lt;_tertiary_title&gt;Lancet (London, England)&lt;/_tertiary_title&gt;&lt;_type_work&gt;Comparative Study; Journal Article; Randomized Controlled Trial; Research Support, Non-U.S. Gov&amp;apos;t&lt;/_type_work&gt;&lt;_url&gt;http://www.ncbi.nlm.nih.gov/entrez/query.fcgi?cmd=Retrieve&amp;amp;db=pubmed&amp;amp;dopt=Abstract&amp;amp;list_uids=26414968&amp;amp;query_hl=1&lt;/_url&gt;&lt;_volume&gt;386&lt;/_volume&gt;&lt;/Details&gt;&lt;Extra&gt;&lt;DBUID&gt;{749A27AD-B5E1-4ED6-ABD8-A7B8F16E1CAE}&lt;/DBUID&gt;&lt;/Extra&gt;&lt;/Item&gt;&lt;/References&gt;&lt;/Group&gt;&lt;/Citation&gt;_x000a_"/>
    <w:docVar w:name="NE.Ref{C7F66068-CE89-4215-AFB2-79C4E7BC5151}" w:val=" ADDIN NE.Ref.{C7F66068-CE89-4215-AFB2-79C4E7BC5151}&lt;Citation&gt;&lt;Group&gt;&lt;References&gt;&lt;Item&gt;&lt;ID&gt;143&lt;/ID&gt;&lt;UID&gt;{442B9431-8F18-4AD0-9B35-4827E9ABBED2}&lt;/UID&gt;&lt;Title&gt;2018 ESC/ESH Guidelines for the management of arterial hypertension: The Task Force for the management of arterial hypertension of the European Society of Cardiology and the European Society of Hypertension&lt;/Title&gt;&lt;Template&gt;Journal Article&lt;/Template&gt;&lt;Star&gt;0&lt;/Star&gt;&lt;Tag&gt;0&lt;/Tag&gt;&lt;Author&gt;Williams, Bryan; Mancia, Giuseppe; Spiering, Wilko; Agabiti Rosei, Enrico; Azizi, Michel; Burnier, Michel; Clement, Denis L; Coca, Antonio; De Simone, Giovanni; Dominiczak, Anna&lt;/Author&gt;&lt;Year&gt;2018&lt;/Year&gt;&lt;Details&gt;&lt;_collection_scope&gt;SCI;SCIE&lt;/_collection_scope&gt;&lt;_created&gt;63468958&lt;/_created&gt;&lt;_impact_factor&gt;   4.171&lt;/_impact_factor&gt;&lt;_issue&gt;10&lt;/_issue&gt;&lt;_journal&gt;Journal of Hypertension&lt;/_journal&gt;&lt;_modified&gt;63468958&lt;/_modified&gt;&lt;_pages&gt;1953-2041&lt;/_pages&gt;&lt;_volume&gt;36&lt;/_volume&gt;&lt;/Details&gt;&lt;Extra&gt;&lt;DBUID&gt;{749A27AD-B5E1-4ED6-ABD8-A7B8F16E1CAE}&lt;/DBUID&gt;&lt;/Extra&gt;&lt;/Item&gt;&lt;/References&gt;&lt;/Group&gt;&lt;/Citation&gt;_x000a_"/>
    <w:docVar w:name="NE.Ref{C970667C-4F2A-463D-83A1-9687B9AEFC45}" w:val=" ADDIN NE.Ref.{C970667C-4F2A-463D-83A1-9687B9AEFC45}&lt;Citation&gt;&lt;Group&gt;&lt;References&gt;&lt;Item&gt;&lt;ID&gt;103&lt;/ID&gt;&lt;UID&gt;{C22D7752-727D-41CB-BA8C-F6B1A4C0A818}&lt;/UID&gt;&lt;Title&gt;α/β受体阻滞剂在高血压治疗中应用的中国专家共识&lt;/Title&gt;&lt;Template&gt;Journal Article&lt;/Template&gt;&lt;Star&gt;0&lt;/Star&gt;&lt;Tag&gt;0&lt;/Tag&gt;&lt;Author&gt;赵连友; 孙宁玲; 孙英贤; 李玉明; 李南方; 田刚; 谢良地; 郭艺芳; 李悦; 冯颖青; 苏海; 李勇&lt;/Author&gt;&lt;Year&gt;2016&lt;/Year&gt;&lt;Details&gt;&lt;_author_adr&gt;第四军医大学唐都医院心内科;北京大学人民医院心脏中心;中国医科大学附属第一医院心内科;天津武警后勤学院;新疆自治区高血压研究所;西安交通大学附属第一医院心内科;福建医科大学附属第一医院;河北省人民医院老年心脏科;哈尔滨医科大学附属第一医院心内科;广东省人民医院心内科;江西医科大学附属二院心内科;复旦大学附属华山医院心内科;中国医师协会高血压专业委员会;&lt;/_author_adr&gt;&lt;_collection_scope&gt;CSCD;PKU&lt;/_collection_scope&gt;&lt;_created&gt;63434375&lt;/_created&gt;&lt;_db_provider&gt;CNKI&lt;/_db_provider&gt;&lt;_isbn&gt;1673-7245&lt;/_isbn&gt;&lt;_issue&gt;06&lt;/_issue&gt;&lt;_journal&gt;中华高血压杂志&lt;/_journal&gt;&lt;_keywords&gt;β受体阻滞剂;卡维地洛;美托洛尔;拉贝洛尔;高血压治疗;阿罗洛尔;专家共识;&lt;/_keywords&gt;&lt;_modified&gt;63434375&lt;/_modified&gt;&lt;_pages&gt;521-526&lt;/_pages&gt;&lt;_volume&gt;24&lt;/_volume&gt;&lt;_translated_author&gt;Zhao, Lianyou;Sun, Ningling;Sun, Yingxian;Li, Yuming;Li, Nanfang;Tian, Gang;Xie, Liangdi;Guo, Yifang;Li, Yue;Feng, Yingqing;Su, Hai;Li, Yong&lt;/_translated_author&gt;&lt;/Details&gt;&lt;Extra&gt;&lt;DBUID&gt;{749A27AD-B5E1-4ED6-ABD8-A7B8F16E1CAE}&lt;/DBUID&gt;&lt;/Extra&gt;&lt;/Item&gt;&lt;/References&gt;&lt;/Group&gt;&lt;/Citation&gt;_x000a_"/>
    <w:docVar w:name="NE.Ref{CACBE8AA-07B0-499C-B3E1-119235A28A36}" w:val=" ADDIN NE.Ref.{CACBE8AA-07B0-499C-B3E1-119235A28A36}&lt;Citation&gt;&lt;Group&gt;&lt;References&gt;&lt;Item&gt;&lt;ID&gt;52&lt;/ID&gt;&lt;UID&gt;{46600BCB-0255-4C40-9A78-70837B63AC86}&lt;/UID&gt;&lt;Title&gt;中国高血压防治指南2018年修订版&lt;/Title&gt;&lt;Template&gt;Journal Article&lt;/Template&gt;&lt;Star&gt;0&lt;/Star&gt;&lt;Tag&gt;0&lt;/Tag&gt;&lt;Author&gt;修订委员会中国高血压防治指南&lt;/Author&gt;&lt;Year&gt;2019&lt;/Year&gt;&lt;Details&gt;&lt;_issue&gt;001&lt;/_issue&gt;&lt;_journal&gt;心脑血管病防治&lt;/_journal&gt;&lt;_pages&gt;1-44&lt;/_pages&gt;&lt;_volume&gt;019&lt;/_volume&gt;&lt;_created&gt;63405566&lt;/_created&gt;&lt;_modified&gt;63405566&lt;/_modified&gt;&lt;_translated_author&gt;Xiu, Dingweiyuanhuizhongguogaoxueyafangzhizhinan&lt;/_translated_author&gt;&lt;/Details&gt;&lt;Extra&gt;&lt;DBUID&gt;{749A27AD-B5E1-4ED6-ABD8-A7B8F16E1CAE}&lt;/DBUID&gt;&lt;/Extra&gt;&lt;/Item&gt;&lt;/References&gt;&lt;/Group&gt;&lt;/Citation&gt;_x000a_"/>
    <w:docVar w:name="NE.Ref{CB454DCF-1735-49DE-B6B1-867D24D91DA6}" w:val=" ADDIN NE.Ref.{CB454DCF-1735-49DE-B6B1-867D24D91DA6}&lt;Citation&gt;&lt;Group&gt;&lt;References&gt;&lt;Item&gt;&lt;ID&gt;89&lt;/ID&gt;&lt;UID&gt;{B39653D8-ABB5-40DD-9295-2D96BC3369A9}&lt;/UID&gt;&lt;Title&gt;2020 International Society of Hypertension global hypertension practice guidelines&lt;/Title&gt;&lt;Template&gt;Journal Article&lt;/Template&gt;&lt;Star&gt;0&lt;/Star&gt;&lt;Tag&gt;0&lt;/Tag&gt;&lt;Author&gt;Unger, T; Borghi, C; Charchar, F; Khan, N A; Poulter, N R; Prabhakaran, D; Ramirez, A; Schlaich, M; Stergiou, G S; Tomaszewski, M; Wainford, R D; Williams, B; Schutte, A E&lt;/Author&gt;&lt;Year&gt;2020&lt;/Year&gt;&lt;Details&gt;&lt;_accession_num&gt;32371787&lt;/_accession_num&gt;&lt;_author_adr&gt;CARIM - School for Cardiovascular Diseases, Maastricht University, Maastricht, The  Netherlands.; Department of Medical and Surgical Sciences, University of Bologna, Bologna, Italy.; Federation University Australia, School of Health and Life Sciences, Ballarat.; Department of Physiology, University of Melbourne, Melbourne, Australia.; Department of Cardiovascular Sciences, University of Leicester, Leicester, UK.; University of British Columbia.; Center for Health Evaluation and Outcomes Sciences, Vancouver, Canada.; Imperial Clinical Trials Unit, Imperial College London, UK.; Public Health Foundation of India.; Centre for Chronic Disease Control, New Delhi, India.; London School of Hygiene and Tropical Medicine, UK.; Hypertension and Metabolic Unit, University Hospital, Favaloro Foundation, Buenos  Aires, Argentina.; Dobney Hypertension Centre, School of Medicine, Royal Perth Hospital Unit,  University of Western Australia, Perth.; Neurovascular Hypertension &amp;amp; Kidney Disease Laboratory, Baker Heart and Diabetes  Institute, Melbourne, Victoria, Australia.; Hypertension Center STRIDE-7, School of Medicine, Third Department of Medicine,  Sotiria Hospital, National and Kapodistrian University of Athens, Athens, Greece.; Division of Cardiovascular Sciences, Faculty of Medicine, Biology and Health,  University of Manchester.; Division of Medicine and Manchester Academic Health Science Centre, Manchester  University NHS Foundation Trust Manchester, Manchester, UK.; Department of Pharmacology and Experimental Therapeutics, Boston University School  of Medicine, Boston.; The Whitaker Cardiovascular Institute, Boston University.; Department of Health Sciences, Boston University Sargent College, Boston,  Massachusetts, USA.; University College London, NHR University College London, Hospitals Biomedical  Research Centre, London, UK.; Faculty of Medicine, University of New South Wales, The George Institute for Global  Health, Sydney, Australia.; Hypertension in Africa Research Team, South African MRC Unit for Hypertension and  Cardiovascular Disease, North-West University, Potchefstroom, South Africa.&lt;/_author_adr&gt;&lt;_collection_scope&gt;SCI;SCIE&lt;/_collection_scope&gt;&lt;_created&gt;63426944&lt;/_created&gt;&lt;_date&gt;2020-06-01&lt;/_date&gt;&lt;_date_display&gt;2020 Jun&lt;/_date_display&gt;&lt;_doi&gt;10.1097/HJH.0000000000002453&lt;/_doi&gt;&lt;_impact_factor&gt;   4.171&lt;/_impact_factor&gt;&lt;_isbn&gt;1473-5598 (Electronic); 0263-6352 (Linking)&lt;/_isbn&gt;&lt;_issue&gt;6&lt;/_issue&gt;&lt;_journal&gt;J Hypertens&lt;/_journal&gt;&lt;_language&gt;eng&lt;/_language&gt;&lt;_modified&gt;63426944&lt;/_modified&gt;&lt;_pages&gt;982-1004&lt;/_pages&gt;&lt;_tertiary_title&gt;Journal of hypertension&lt;/_tertiary_title&gt;&lt;_type_work&gt;Journal Article&lt;/_type_work&gt;&lt;_url&gt;http://www.ncbi.nlm.nih.gov/entrez/query.fcgi?cmd=Retrieve&amp;amp;db=pubmed&amp;amp;dopt=Abstract&amp;amp;list_uids=32371787&amp;amp;query_hl=1&lt;/_url&gt;&lt;_volume&gt;38&lt;/_volume&gt;&lt;/Details&gt;&lt;Extra&gt;&lt;DBUID&gt;{749A27AD-B5E1-4ED6-ABD8-A7B8F16E1CAE}&lt;/DBUID&gt;&lt;/Extra&gt;&lt;/Item&gt;&lt;/References&gt;&lt;/Group&gt;&lt;/Citation&gt;_x000a_"/>
    <w:docVar w:name="NE.Ref{CBFD1E77-06D2-4019-96B7-6954C2316AFD}" w:val=" ADDIN NE.Ref.{CBFD1E77-06D2-4019-96B7-6954C2316AFD}&lt;Citation&gt;&lt;Group&gt;&lt;References&gt;&lt;Item&gt;&lt;ID&gt;81&lt;/ID&gt;&lt;UID&gt;{5C949BE9-AC36-463C-BD1F-3967C2EE873A}&lt;/UID&gt;&lt;Title&gt;Hypertension Control in Adults With CKD in China: Baseline Results From the Chinese  Cohort Study of Chronic Kidney Disease (C-STRIDE)&lt;/Title&gt;&lt;Template&gt;Journal Article&lt;/Template&gt;&lt;Star&gt;0&lt;/Star&gt;&lt;Tag&gt;0&lt;/Tag&gt;&lt;Author&gt;Yan, Z; Wang, Y; Li, S; Wang, J; Zhang, L; Tan, H; Li, S; Yang, L; Pei, H; Zhang, L; Wang, Y; Duan, J; Jiao, S; Zhao, M; Fu, S&lt;/Author&gt;&lt;Year&gt;2018&lt;/Year&gt;&lt;Details&gt;&lt;_accession_num&gt;29304216&lt;/_accession_num&gt;&lt;_author_adr&gt;Renal Division, Department of Medicine, The Second Hospital of Hebei Medical  University.; Renal Division, Department of Medicine, Peking University First Hospital.; Renal Division, Department of Medicine, The Second Hospital of Hebei Medical  University.; Renal Division, Department of Medicine, Peking University First Hospital.; Renal Division, Department of Medicine, Peking University First Hospital.; Renal Division, Department of Medicine, The Second Hospital of Hebei Medical  University.; Renal Division, Department of Medicine, The Second Hospital of Hebei Medical  University.; Renal Division, Department of Medicine, The Second Hospital of Hebei Medical  University.; Renal Division, Department of Medicine, The Second Hospital of Hebei Medical  University.; Renal Division, Department of Medicine, The Second Hospital of Hebei Medical  University.; Renal Division, Department of Medicine, The Second Hospital of Hebei Medical  University.; Renal Division, Department of Medicine, The Second Hospital of Hebei Medical  University.; Renal Division, Department of Medicine, The Second Hospital of Hebei Medical  University.; Renal Division, Department of Medicine, Peking University First Hospital.; Renal Division, Department of Medicine, The Second Hospital of Hebei Medical  University.&lt;/_author_adr&gt;&lt;_date_display&gt;2018 Mar 10&lt;/_date_display&gt;&lt;_date&gt;2018-03-10&lt;/_date&gt;&lt;_doi&gt;10.1093/ajh/hpx222&lt;/_doi&gt;&lt;_isbn&gt;1941-7225 (Electronic); 0895-7061 (Linking)&lt;/_isbn&gt;&lt;_issue&gt;4&lt;/_issue&gt;&lt;_journal&gt;Am J Hypertens&lt;/_journal&gt;&lt;_language&gt;eng&lt;/_language&gt;&lt;_pages&gt;486-494&lt;/_pages&gt;&lt;_subject_headings&gt;Adolescent; Adult; Aged; Antihypertensive Agents/*therapeutic use; *Blood Pressure; China/epidemiology; Clinical Decision-Making; Comorbidity; Cross-Sectional Studies; Drug Prescriptions; Drug Therapy, Combination; Female; Humans; Hypertension/diagnosis/*drug therapy/epidemiology/physiopathology; Male; Middle Aged; *Practice Patterns, Physicians&amp;apos;; Prospective Studies; Renal Insufficiency, Chronic/diagnosis/*epidemiology/physiopathology; Risk Factors; Treatment Outcome; Young Adult&lt;/_subject_headings&gt;&lt;_tertiary_title&gt;American journal of hypertension&lt;/_tertiary_title&gt;&lt;_type_work&gt;Journal Article; Multicenter Study; Research Support, Non-U.S. Gov&amp;apos;t&lt;/_type_work&gt;&lt;_url&gt;http://www.ncbi.nlm.nih.gov/entrez/query.fcgi?cmd=Retrieve&amp;amp;db=pubmed&amp;amp;dopt=Abstract&amp;amp;list_uids=29304216&amp;amp;query_hl=1&lt;/_url&gt;&lt;_volume&gt;31&lt;/_volume&gt;&lt;_created&gt;63426761&lt;/_created&gt;&lt;_modified&gt;63426761&lt;/_modified&gt;&lt;_impact_factor&gt;   2.669&lt;/_impact_factor&gt;&lt;_collection_scope&gt;SCI;SCIE&lt;/_collection_scope&gt;&lt;/Details&gt;&lt;Extra&gt;&lt;DBUID&gt;{749A27AD-B5E1-4ED6-ABD8-A7B8F16E1CAE}&lt;/DBUID&gt;&lt;/Extra&gt;&lt;/Item&gt;&lt;/References&gt;&lt;/Group&gt;&lt;/Citation&gt;_x000a_"/>
    <w:docVar w:name="NE.Ref{CC1EFD78-F3C7-45E5-9BBE-A72D7B7DEFDF}" w:val=" ADDIN NE.Ref.{CC1EFD78-F3C7-45E5-9BBE-A72D7B7DEFDF}&lt;Citation&gt;&lt;Group&gt;&lt;References&gt;&lt;Item&gt;&lt;ID&gt;52&lt;/ID&gt;&lt;UID&gt;{46600BCB-0255-4C40-9A78-70837B63AC86}&lt;/UID&gt;&lt;Title&gt;中国高血压防治指南2018年修订版&lt;/Title&gt;&lt;Template&gt;Journal Article&lt;/Template&gt;&lt;Star&gt;0&lt;/Star&gt;&lt;Tag&gt;0&lt;/Tag&gt;&lt;Author&gt;修订委员会中国高血压防治指南&lt;/Author&gt;&lt;Year&gt;2019&lt;/Year&gt;&lt;Details&gt;&lt;_issue&gt;001&lt;/_issue&gt;&lt;_journal&gt;心脑血管病防治&lt;/_journal&gt;&lt;_pages&gt;1-44&lt;/_pages&gt;&lt;_volume&gt;019&lt;/_volume&gt;&lt;_created&gt;63405566&lt;/_created&gt;&lt;_modified&gt;63405566&lt;/_modified&gt;&lt;_translated_author&gt;Xiu, Dingweiyuanhuizhongguogaoxueyafangzhizhinan&lt;/_translated_author&gt;&lt;/Details&gt;&lt;Extra&gt;&lt;DBUID&gt;{749A27AD-B5E1-4ED6-ABD8-A7B8F16E1CAE}&lt;/DBUID&gt;&lt;/Extra&gt;&lt;/Item&gt;&lt;/References&gt;&lt;/Group&gt;&lt;/Citation&gt;_x000a_"/>
    <w:docVar w:name="NE.Ref{CCACE473-BAED-4AA1-9366-F2B672EFA79E}" w:val=" ADDIN NE.Ref.{CCACE473-BAED-4AA1-9366-F2B672EFA79E}&lt;Citation&gt;&lt;Group&gt;&lt;References&gt;&lt;Item&gt;&lt;ID&gt;52&lt;/ID&gt;&lt;UID&gt;{46600BCB-0255-4C40-9A78-70837B63AC86}&lt;/UID&gt;&lt;Title&gt;中国高血压防治指南2018年修订版&lt;/Title&gt;&lt;Template&gt;Journal Article&lt;/Template&gt;&lt;Star&gt;0&lt;/Star&gt;&lt;Tag&gt;0&lt;/Tag&gt;&lt;Author&gt;修订委员会中国高血压防治指南&lt;/Author&gt;&lt;Year&gt;2019&lt;/Year&gt;&lt;Details&gt;&lt;_issue&gt;001&lt;/_issue&gt;&lt;_journal&gt;心脑血管病防治&lt;/_journal&gt;&lt;_pages&gt;1-44&lt;/_pages&gt;&lt;_volume&gt;019&lt;/_volume&gt;&lt;_created&gt;63405566&lt;/_created&gt;&lt;_modified&gt;63405566&lt;/_modified&gt;&lt;_translated_author&gt;Xiu, Dingweiyuanhuizhongguogaoxueyafangzhizhinan&lt;/_translated_author&gt;&lt;/Details&gt;&lt;Extra&gt;&lt;DBUID&gt;{749A27AD-B5E1-4ED6-ABD8-A7B8F16E1CAE}&lt;/DBUID&gt;&lt;/Extra&gt;&lt;/Item&gt;&lt;/References&gt;&lt;/Group&gt;&lt;/Citation&gt;_x000a_"/>
    <w:docVar w:name="NE.Ref{CF468AB4-493B-4878-A65D-ECB8DE7D2D96}" w:val=" ADDIN NE.Ref.{CF468AB4-493B-4878-A65D-ECB8DE7D2D96}&lt;Citation&gt;&lt;Group&gt;&lt;References&gt;&lt;Item&gt;&lt;ID&gt;89&lt;/ID&gt;&lt;UID&gt;{B39653D8-ABB5-40DD-9295-2D96BC3369A9}&lt;/UID&gt;&lt;Title&gt;2020 International Society of Hypertension global hypertension practice guidelines&lt;/Title&gt;&lt;Template&gt;Journal Article&lt;/Template&gt;&lt;Star&gt;0&lt;/Star&gt;&lt;Tag&gt;0&lt;/Tag&gt;&lt;Author&gt;Unger, T; Borghi, C; Charchar, F; Khan, N A; Poulter, N R; Prabhakaran, D; Ramirez, A; Schlaich, M; Stergiou, G S; Tomaszewski, M; Wainford, R D; Williams, B; Schutte, A E&lt;/Author&gt;&lt;Year&gt;2020&lt;/Year&gt;&lt;Details&gt;&lt;_accession_num&gt;32371787&lt;/_accession_num&gt;&lt;_author_adr&gt;CARIM - School for Cardiovascular Diseases, Maastricht University, Maastricht, The  Netherlands.; Department of Medical and Surgical Sciences, University of Bologna, Bologna, Italy.; Federation University Australia, School of Health and Life Sciences, Ballarat.; Department of Physiology, University of Melbourne, Melbourne, Australia.; Department of Cardiovascular Sciences, University of Leicester, Leicester, UK.; University of British Columbia.; Center for Health Evaluation and Outcomes Sciences, Vancouver, Canada.; Imperial Clinical Trials Unit, Imperial College London, UK.; Public Health Foundation of India.; Centre for Chronic Disease Control, New Delhi, India.; London School of Hygiene and Tropical Medicine, UK.; Hypertension and Metabolic Unit, University Hospital, Favaloro Foundation, Buenos  Aires, Argentina.; Dobney Hypertension Centre, School of Medicine, Royal Perth Hospital Unit,  University of Western Australia, Perth.; Neurovascular Hypertension &amp;amp; Kidney Disease Laboratory, Baker Heart and Diabetes  Institute, Melbourne, Victoria, Australia.; Hypertension Center STRIDE-7, School of Medicine, Third Department of Medicine,  Sotiria Hospital, National and Kapodistrian University of Athens, Athens, Greece.; Division of Cardiovascular Sciences, Faculty of Medicine, Biology and Health,  University of Manchester.; Division of Medicine and Manchester Academic Health Science Centre, Manchester  University NHS Foundation Trust Manchester, Manchester, UK.; Department of Pharmacology and Experimental Therapeutics, Boston University School  of Medicine, Boston.; The Whitaker Cardiovascular Institute, Boston University.; Department of Health Sciences, Boston University Sargent College, Boston,  Massachusetts, USA.; University College London, NHR University College London, Hospitals Biomedical  Research Centre, London, UK.; Faculty of Medicine, University of New South Wales, The George Institute for Global  Health, Sydney, Australia.; Hypertension in Africa Research Team, South African MRC Unit for Hypertension and  Cardiovascular Disease, North-West University, Potchefstroom, South Africa.&lt;/_author_adr&gt;&lt;_date_display&gt;2020 Jun&lt;/_date_display&gt;&lt;_date&gt;2020-06-01&lt;/_date&gt;&lt;_doi&gt;10.1097/HJH.0000000000002453&lt;/_doi&gt;&lt;_isbn&gt;1473-5598 (Electronic); 0263-6352 (Linking)&lt;/_isbn&gt;&lt;_issue&gt;6&lt;/_issue&gt;&lt;_journal&gt;J Hypertens&lt;/_journal&gt;&lt;_language&gt;eng&lt;/_language&gt;&lt;_pages&gt;982-1004&lt;/_pages&gt;&lt;_tertiary_title&gt;Journal of hypertension&lt;/_tertiary_title&gt;&lt;_type_work&gt;Journal Article&lt;/_type_work&gt;&lt;_url&gt;http://www.ncbi.nlm.nih.gov/entrez/query.fcgi?cmd=Retrieve&amp;amp;db=pubmed&amp;amp;dopt=Abstract&amp;amp;list_uids=32371787&amp;amp;query_hl=1&lt;/_url&gt;&lt;_volume&gt;38&lt;/_volume&gt;&lt;_created&gt;63426944&lt;/_created&gt;&lt;_modified&gt;63426944&lt;/_modified&gt;&lt;_impact_factor&gt;   4.171&lt;/_impact_factor&gt;&lt;_collection_scope&gt;SCI;SCIE&lt;/_collection_scope&gt;&lt;/Details&gt;&lt;Extra&gt;&lt;DBUID&gt;{749A27AD-B5E1-4ED6-ABD8-A7B8F16E1CAE}&lt;/DBUID&gt;&lt;/Extra&gt;&lt;/Item&gt;&lt;/References&gt;&lt;/Group&gt;&lt;/Citation&gt;_x000a_"/>
    <w:docVar w:name="NE.Ref{CF6FEB20-4DB5-475F-AF45-52C7CA5BE9BA}" w:val=" ADDIN NE.Ref.{CF6FEB20-4DB5-475F-AF45-52C7CA5BE9BA}&lt;Citation&gt;&lt;Group&gt;&lt;References&gt;&lt;Item&gt;&lt;ID&gt;113&lt;/ID&gt;&lt;UID&gt;{44CBC28C-194A-4BBD-A8E9-265C4DF21214}&lt;/UID&gt;&lt;Title&gt;Renoprotective effect of renin-angiotensin-aldosterone system blockade in patients  with predialysis advanced chronic kidney disease, hypertension, and anemia&lt;/Title&gt;&lt;Template&gt;Journal Article&lt;/Template&gt;&lt;Star&gt;0&lt;/Star&gt;&lt;Tag&gt;0&lt;/Tag&gt;&lt;Author&gt;Hsu, T W; Liu, J S; Hung, S C; Kuo, K L; Chang, Y K; Chen, Y C; Hsu, C C; Tarng, D C&lt;/Author&gt;&lt;Year&gt;2014&lt;/Year&gt;&lt;Details&gt;&lt;_accession_num&gt;24343093&lt;/_accession_num&gt;&lt;_author_adr&gt;Division of Nephrology, Department of Internal Medicine, National Yang-Ming  University Hospital, Ilan City, Taiwan.; Division of Geriatrics and Gerontology, Institute of Population Health Sciences,  National Health Research Institutes, Zhunan, Taiwan.; Division of Nephrology, Buddhist Tzu Chi Hospital Taipei Branch, New Taipei, Taiwan.; Division of Nephrology, Buddhist Tzu Chi Hospital Taipei Branch, New Taipei, Taiwan.; Division of Geriatrics and Gerontology, Institute of Population Health Sciences,  National Health Research Institutes, Zhunan, Taiwan.; Department and Institute of Nursing, School of Nursing, National Yang-Ming  University, Taipei, Taiwan.; Division of Geriatrics and Gerontology, Institute of Population Health Sciences,  National Health Research Institutes, Zhunan, Taiwan5Department of Health Services  Administration, China Medical University and Hospital, Taichung, Taiwan.; Division of Nephrology, Department of Medicine, Taipei Veterans General Hospital,  Taipei, Taiwan7Institutes of Physiology and Clinical Medicine, National Yang-Ming  University, Taipei, Taiwan.&lt;/_author_adr&gt;&lt;_date_display&gt;2014 Mar&lt;/_date_display&gt;&lt;_date&gt;2014-03-01&lt;/_date&gt;&lt;_doi&gt;10.1001/jamainternmed.2013.12700&lt;/_doi&gt;&lt;_isbn&gt;2168-6114 (Electronic); 2168-6106 (Linking)&lt;/_isbn&gt;&lt;_issue&gt;3&lt;/_issue&gt;&lt;_journal&gt;JAMA Intern Med&lt;/_journal&gt;&lt;_language&gt;eng&lt;/_language&gt;&lt;_pages&gt;347-54&lt;/_pages&gt;&lt;_subject_headings&gt;Aged; Anemia/complications/*drug therapy; Angiotensin Receptor Antagonists/pharmacology/*therapeutic use; Angiotensin-Converting Enzyme Inhibitors/pharmacology/*therapeutic use; Disease Progression; Female; Humans; Hypertension/complications/*drug therapy; Kidney/*drug effects; Male; Middle Aged; Prospective Studies; Renal Dialysis; Renal Insufficiency, Chronic/complications/*drug therapy/therapy; Renin-Angiotensin System/*drug effects; Risk Factors; Taiwan&lt;/_subject_headings&gt;&lt;_tertiary_title&gt;JAMA internal medicine&lt;/_tertiary_title&gt;&lt;_type_work&gt;Journal Article; Research Support, Non-U.S. Gov&amp;apos;t&lt;/_type_work&gt;&lt;_url&gt;http://www.ncbi.nlm.nih.gov/entrez/query.fcgi?cmd=Retrieve&amp;amp;db=pubmed&amp;amp;dopt=Abstract&amp;amp;list_uids=24343093&amp;amp;query_hl=1&lt;/_url&gt;&lt;_volume&gt;174&lt;/_volume&gt;&lt;_created&gt;63457236&lt;/_created&gt;&lt;_modified&gt;63457236&lt;/_modified&gt;&lt;_impact_factor&gt;  18.652&lt;/_impact_factor&gt;&lt;_collection_scope&gt;SCI;SCIE&lt;/_collection_scope&gt;&lt;/Details&gt;&lt;Extra&gt;&lt;DBUID&gt;{749A27AD-B5E1-4ED6-ABD8-A7B8F16E1CAE}&lt;/DBUID&gt;&lt;/Extra&gt;&lt;/Item&gt;&lt;/References&gt;&lt;/Group&gt;&lt;/Citation&gt;_x000a_"/>
    <w:docVar w:name="NE.Ref{D211B980-7A2C-4F6B-A77E-A97BDD25A7F1}" w:val=" ADDIN NE.Ref.{D211B980-7A2C-4F6B-A77E-A97BDD25A7F1}&lt;Citation&gt;&lt;Group&gt;&lt;References&gt;&lt;Item&gt;&lt;ID&gt;96&lt;/ID&gt;&lt;UID&gt;{C77FC58A-7EEB-4392-9F21-2DB62EAE5F0F}&lt;/UID&gt;&lt;Title&gt;Perindopril-based blood pressure lowering reduces major vascular events in Asian and Western participants with cerebrovascular disease: the PROGRESS trial&lt;/Title&gt;&lt;Template&gt;Journal Article&lt;/Template&gt;&lt;Star&gt;0&lt;/Star&gt;&lt;Tag&gt;0&lt;/Tag&gt;&lt;Author&gt;Arima, Hisatomi; Anderson, Craig; Omae, Teruo; Liu, Lisheng; Tzourio, Christophe; Woodward, Mark; Macmahon, Stephen; Neal, Bruce; Rodgers, Anthony; Chalmers, John&lt;/Author&gt;&lt;Year&gt;2010&lt;/Year&gt;&lt;Details&gt;&lt;_issue&gt;2&lt;/_issue&gt;&lt;_journal&gt;Journal of Hypertension&lt;/_journal&gt;&lt;_pages&gt;395-400&lt;/_pages&gt;&lt;_volume&gt;28&lt;/_volume&gt;&lt;_created&gt;63428625&lt;/_created&gt;&lt;_modified&gt;63428625&lt;/_modified&gt;&lt;_impact_factor&gt;   4.171&lt;/_impact_factor&gt;&lt;_collection_scope&gt;SCI;SCIE&lt;/_collection_scope&gt;&lt;/Details&gt;&lt;Extra&gt;&lt;DBUID&gt;{749A27AD-B5E1-4ED6-ABD8-A7B8F16E1CAE}&lt;/DBUID&gt;&lt;/Extra&gt;&lt;/Item&gt;&lt;/References&gt;&lt;/Group&gt;&lt;/Citation&gt;_x000a_"/>
    <w:docVar w:name="NE.Ref{D3C81387-2573-40D1-9D3F-04459B8E5363}" w:val=" ADDIN NE.Ref.{D3C81387-2573-40D1-9D3F-04459B8E5363}&lt;Citation&gt;&lt;Group&gt;&lt;References&gt;&lt;Item&gt;&lt;ID&gt;52&lt;/ID&gt;&lt;UID&gt;{46600BCB-0255-4C40-9A78-70837B63AC86}&lt;/UID&gt;&lt;Title&gt;中国高血压防治指南2018年修订版&lt;/Title&gt;&lt;Template&gt;Journal Article&lt;/Template&gt;&lt;Star&gt;0&lt;/Star&gt;&lt;Tag&gt;0&lt;/Tag&gt;&lt;Author&gt;修订委员会中国高血压防治指南&lt;/Author&gt;&lt;Year&gt;2019&lt;/Year&gt;&lt;Details&gt;&lt;_issue&gt;001&lt;/_issue&gt;&lt;_journal&gt;心脑血管病防治&lt;/_journal&gt;&lt;_pages&gt;1-44&lt;/_pages&gt;&lt;_volume&gt;019&lt;/_volume&gt;&lt;_created&gt;63405566&lt;/_created&gt;&lt;_modified&gt;63405566&lt;/_modified&gt;&lt;_translated_author&gt;Xiu, Dingweiyuanhuizhongguogaoxueyafangzhizhinan&lt;/_translated_author&gt;&lt;/Details&gt;&lt;Extra&gt;&lt;DBUID&gt;{749A27AD-B5E1-4ED6-ABD8-A7B8F16E1CAE}&lt;/DBUID&gt;&lt;/Extra&gt;&lt;/Item&gt;&lt;/References&gt;&lt;/Group&gt;&lt;/Citation&gt;_x000a_"/>
    <w:docVar w:name="NE.Ref{D3F1B49A-2FCF-4739-9FEB-770ECDEB0342}" w:val=" ADDIN NE.Ref.{D3F1B49A-2FCF-4739-9FEB-770ECDEB0342}&lt;Citation&gt;&lt;Group&gt;&lt;References&gt;&lt;Item&gt;&lt;ID&gt;98&lt;/ID&gt;&lt;UID&gt;{EC462227-5A6C-4B24-A9BF-44DCC1ED8250}&lt;/UID&gt;&lt;Title&gt;降压治疗对中国脑血管病患者脑卒中再发预防的多中心随机双盲对照临床研究&lt;/Title&gt;&lt;Template&gt;Journal Article&lt;/Template&gt;&lt;Star&gt;0&lt;/Star&gt;&lt;Tag&gt;0&lt;/Tag&gt;&lt;Author&gt;刘力生; 龚兰生; 王文&lt;/Author&gt;&lt;Year&gt;2005&lt;/Year&gt;&lt;Details&gt;&lt;_issue&gt;7&lt;/_issue&gt;&lt;_journal&gt;中华心血管病杂志&lt;/_journal&gt;&lt;_created&gt;63428629&lt;/_created&gt;&lt;_modified&gt;63428629&lt;/_modified&gt;&lt;_collection_scope&gt;CSCD;PKU&lt;/_collection_scope&gt;&lt;_translated_author&gt;Liu, Lisheng;Gong, Lansheng;Wang, Wen&lt;/_translated_author&gt;&lt;/Details&gt;&lt;Extra&gt;&lt;DBUID&gt;{749A27AD-B5E1-4ED6-ABD8-A7B8F16E1CAE}&lt;/DBUID&gt;&lt;/Extra&gt;&lt;/Item&gt;&lt;/References&gt;&lt;/Group&gt;&lt;/Citation&gt;_x000a_"/>
    <w:docVar w:name="NE.Ref{D66E3FC4-E21B-4B20-B7F7-E7B48EA32AFD}" w:val=" ADDIN NE.Ref.{D66E3FC4-E21B-4B20-B7F7-E7B48EA32AFD}&lt;Citation&gt;&lt;Group&gt;&lt;References&gt;&lt;Item&gt;&lt;ID&gt;95&lt;/ID&gt;&lt;UID&gt;{E9D18D9D-5BFE-4791-ACDB-DB9E6892C94C}&lt;/UID&gt;&lt;Title&gt;Randomised trial of a perindopril-based blood-pressure-lowering regimen among 6105 individuals with previous stroke or transient ischaemic attack&lt;/Title&gt;&lt;Template&gt;Journal Article&lt;/Template&gt;&lt;Star&gt;0&lt;/Star&gt;&lt;Tag&gt;0&lt;/Tag&gt;&lt;Author/&gt;&lt;Year&gt;2001&lt;/Year&gt;&lt;Details&gt;&lt;_db_provider&gt;北京万方数据股份有限公司&lt;/_db_provider&gt;&lt;_doi&gt;10.1016/S0140-6736(01)06178-5&lt;/_doi&gt;&lt;_issue&gt;9287&lt;/_issue&gt;&lt;_journal&gt;The Lancet&lt;/_journal&gt;&lt;_volume&gt;358&lt;/_volume&gt;&lt;_created&gt;63428622&lt;/_created&gt;&lt;_modified&gt;63428623&lt;/_modified&gt;&lt;_url&gt;https://linkinghub.elsevier.com/retrieve/pii/S0140673601061785_x000d__x000a_https://api.elsevier.com/content/article/PII:S0140673601061785?httpAccept=text/xml&lt;/_url&gt;&lt;_pages&gt;1033-1041&lt;/_pages&gt;&lt;_tertiary_title&gt;The Lancet&lt;/_tertiary_title&gt;&lt;_isbn&gt;01406736&lt;/_isbn&gt;&lt;_accessed&gt;63428623&lt;/_accessed&gt;&lt;_db_updated&gt;CrossRef&lt;/_db_updated&gt;&lt;_impact_factor&gt;  60.392&lt;/_impact_factor&gt;&lt;/Details&gt;&lt;Extra&gt;&lt;DBUID&gt;{749A27AD-B5E1-4ED6-ABD8-A7B8F16E1CAE}&lt;/DBUID&gt;&lt;/Extra&gt;&lt;/Item&gt;&lt;/References&gt;&lt;/Group&gt;&lt;/Citation&gt;_x000a_"/>
    <w:docVar w:name="NE.Ref{D6C9658C-D62F-487E-B92B-A45519FB20B2}" w:val=" ADDIN NE.Ref.{D6C9658C-D62F-487E-B92B-A45519FB20B2}&lt;Citation&gt;&lt;Group&gt;&lt;References&gt;&lt;Item&gt;&lt;ID&gt;106&lt;/ID&gt;&lt;UID&gt;{E67BEE87-2890-48A2-B9A0-04CC2637234B}&lt;/UID&gt;&lt;Title&gt;Metabolic effects of carvedilol vs metoprolol in patients with type 2 diabetes mellitus and hypertension: a randomized controlled trial.&lt;/Title&gt;&lt;Template&gt;Journal Article&lt;/Template&gt;&lt;Star&gt;0&lt;/Star&gt;&lt;Tag&gt;0&lt;/Tag&gt;&lt;Author&gt;Bakris, G L; Fonseca, V; Katholi, R L&lt;/Author&gt;&lt;Year&gt;2005&lt;/Year&gt;&lt;Details&gt;&lt;_created&gt;63434383&lt;/_created&gt;&lt;_issue&gt;2&lt;/_issue&gt;&lt;_journal&gt;Jama&lt;/_journal&gt;&lt;_modified&gt;63434383&lt;/_modified&gt;&lt;_pages&gt;20&lt;/_pages&gt;&lt;_volume&gt;14&lt;/_volume&gt;&lt;/Details&gt;&lt;Extra&gt;&lt;DBUID&gt;{749A27AD-B5E1-4ED6-ABD8-A7B8F16E1CAE}&lt;/DBUID&gt;&lt;/Extra&gt;&lt;/Item&gt;&lt;/References&gt;&lt;/Group&gt;&lt;/Citation&gt;_x000a_"/>
    <w:docVar w:name="NE.Ref{D6F81A19-8275-43A6-83DE-AC70222F612F}" w:val=" ADDIN NE.Ref.{D6F81A19-8275-43A6-83DE-AC70222F612F}&lt;Citation&gt;&lt;Group&gt;&lt;References&gt;&lt;Item&gt;&lt;ID&gt;35&lt;/ID&gt;&lt;UID&gt;{F7505257-B7AA-4106-9F84-27AA3384C4E4}&lt;/UID&gt;&lt;Title&gt;Kidney disease: Improving global outcomes (KDIGO) blood pressure work group. KDIGO clinical practice guideline for the management of blood pressure in chronic kidney disease&lt;/Title&gt;&lt;Template&gt;Journal Article&lt;/Template&gt;&lt;Star&gt;0&lt;/Star&gt;&lt;Tag&gt;0&lt;/Tag&gt;&lt;Author&gt;Becker, G J; Wheeler, D C; De Zeeuw, D; Fujita, T; Zoccali, C&lt;/Author&gt;&lt;Year&gt;2012&lt;/Year&gt;&lt;Details&gt;&lt;_issue&gt;5&lt;/_issue&gt;&lt;_journal&gt;Kidney International Supplements&lt;/_journal&gt;&lt;_pages&gt;337-414&lt;/_pages&gt;&lt;_volume&gt;2&lt;/_volume&gt;&lt;_created&gt;63405183&lt;/_created&gt;&lt;_modified&gt;63405183&lt;/_modified&gt;&lt;_impact_factor&gt;  12.818&lt;/_impact_factor&gt;&lt;_collection_scope&gt;SCIE&lt;/_collection_scope&gt;&lt;/Details&gt;&lt;Extra&gt;&lt;DBUID&gt;{749A27AD-B5E1-4ED6-ABD8-A7B8F16E1CAE}&lt;/DBUID&gt;&lt;/Extra&gt;&lt;/Item&gt;&lt;/References&gt;&lt;/Group&gt;&lt;/Citation&gt;_x000a_"/>
    <w:docVar w:name="NE.Ref{DABBB313-2252-4E0C-98A4-B434C741A32B}" w:val=" ADDIN NE.Ref.{DABBB313-2252-4E0C-98A4-B434C741A32B}&lt;Citation&gt;&lt;Group&gt;&lt;References&gt;&lt;Item&gt;&lt;ID&gt;108&lt;/ID&gt;&lt;UID&gt;{E40D461A-9CFD-4C8E-85C8-1C6450C76C09}&lt;/UID&gt;&lt;Title&gt;Hypertension in dialysis patients: a consensus document by the European Renal and Cardiovascular Medicine (EURECA-m) working group of the European Renal Association - European Dialysis and Transplant Association (ERA-EDTA) and the Hypertension and the Kidn&lt;/Title&gt;&lt;Template&gt;Journal Article&lt;/Template&gt;&lt;Star&gt;0&lt;/Star&gt;&lt;Tag&gt;0&lt;/Tag&gt;&lt;Author&gt;Sarafidis, Pantelis A; Alexandre, Persu; Rajiv, Agarwal; Michel, Burnier; Peter, De Leeuw; Ferro, Charles J; Jean-Michel, Halimi; Heine, Gunnar H; Michel, Jadoul; Faical, Jarraya&lt;/Author&gt;&lt;Year&gt;2017&lt;/Year&gt;&lt;Details&gt;&lt;_created&gt;63434387&lt;/_created&gt;&lt;_issue&gt;4&lt;/_issue&gt;&lt;_journal&gt;Nephrol Dial Transplant&lt;/_journal&gt;&lt;_modified&gt;63434387&lt;/_modified&gt;&lt;_pages&gt;620-640&lt;/_pages&gt;&lt;/Details&gt;&lt;Extra&gt;&lt;DBUID&gt;{749A27AD-B5E1-4ED6-ABD8-A7B8F16E1CAE}&lt;/DBUID&gt;&lt;/Extra&gt;&lt;/Item&gt;&lt;/References&gt;&lt;/Group&gt;&lt;/Citation&gt;_x000a_"/>
    <w:docVar w:name="NE.Ref{DB40580A-5038-45BB-A017-D1F917E7871C}" w:val=" ADDIN NE.Ref.{DB40580A-5038-45BB-A017-D1F917E7871C}&lt;Citation&gt;&lt;Group&gt;&lt;References&gt;&lt;Item&gt;&lt;ID&gt;155&lt;/ID&gt;&lt;UID&gt;{FBCA028F-E50D-4B85-9BFA-99997BC07CAD}&lt;/UID&gt;&lt;Title&gt;Hypertension in dialysis patients: a consensus document by the European Renal and  Cardiovascular Medicine (EURECA-m) working group of the European Renal  Association-European Dialysis and Transplant Association (ERA-EDTA) and the  Hypertension and the Kidney working group of the European Society of Hypertension  (ESH)&lt;/Title&gt;&lt;Template&gt;Journal Article&lt;/Template&gt;&lt;Star&gt;0&lt;/Star&gt;&lt;Tag&gt;0&lt;/Tag&gt;&lt;Author&gt;Sarafidis, P A; Persu, A; Agarwal, R; Burnier, M; de Leeuw, P; Ferro, C J; Halimi, J M; Heine, G H; Jadoul, M; Jarraya, F; Kanbay, M; Mallamaci, F; Mark, P B; Ortiz, A; Parati, G; Pontremoli, R; Rossignol, P; Ruilope, L; Van der Niepen, P; Vanholder, R; Verhaar, M C; Wiecek, A; Wuerzner, G; London, G M; Zoccali, C&lt;/Author&gt;&lt;Year&gt;2017&lt;/Year&gt;&lt;Details&gt;&lt;_accession_num&gt;28340239&lt;/_accession_num&gt;&lt;_author_adr&gt;Department of Nephrology, Hippokration Hospital, Aristotle University of  Thessaloniki, Thessaloniki, Greece.; Pole of Cardiovascular Research, Institut de Recherche Expérimentale et Clinique,  and Division of Cardiology, Cliniques Universitaires Saint-Luc, Université  Catholique de Louvain, Brussels, Belgium.; Department of Medicine, Indiana University School of Medicine and Richard L.  Roudebush Veterans Administration Medical Center, Indianapolis, IN, USA.; Service of Nephrology and Hypertension, Lausanne University Hospital, Lausanne,  Switzerland.; Department of Medicine, Maastricht University Medical Center, Maastricht and  Zuyderland Medical Center, Geleen/Heerlen, The Netherlands.; Department of Renal Medicine, University Hospitals Birmingham NHS Foundation Trust,  Birmingham, UK.; Service de Néphrologie-Immunologie Clinique, Hôpital Bretonneau, François-Rabelais  University, Tours, France.; Saarland University Medical Center, Internal Medicine IV-Nephrology and  Hypertension, Homburg, Germany.; Division of Nephrology, Cliniques Universitaires Saint-Luc, Université Catholique de  Louvain, Brussels, Belgium.; Department of Nephrology, Sfax University Hospital and Research Unit, Faculty of  Medicine, Sfax University, Sfax, Tunisia.; Department of Medicine, Division of Nephrology, Koc University School of Medicine,  Istanbul, Turkey.; CNR-IFC, Clinical Epidemiology and Pathophysiology of Hypertension and Renal  Diseases Unit, Ospedali Riuniti, Reggio Calabria, Italy.; Institute of Cardiovascular and Medical Sciences, University of Glasgow, Glasgow,  UK.; IIS-Fundacion Jimenez Diaz, School of Medicine, University Autonoma of Madrid, FRIAT  and REDINREN, Madrid, Spain.; Department of Cardiovascular, Neural, and Metabolic Sciences, San Luca Hospital,  Istituto Auxologico Italiano and Department of Medicine and Surgery, University of  Milano-Bicocca, Milan, Italy.; Università degli Studi and IRCCS Azienda Ospedaliera Universitaria San Martino-IST,  Genova, Italy.; INSERM, Centre d&amp;apos;Investigations Cliniques Plurithématique 1433, UMR 1116, Université  de Lorraine, CHRU de Nancy, F-CRIN INI-CRCT Cardiovascular and Renal Clinical  Trialists, and Association Lorraine de Traitement de l&amp;apos;Insuffisance Rénale, Nancy,  France.; Hypertension Unit &amp;amp; Institute of Research i?+?12, Hospital Universitario 12 de  Octubre, Madrid, Spain.; Department of Nephrology and Hypertension, Universitair Ziekenhuis Brussel - VUB,  Brussels, Belgium.; Nephrology Section, Department of Internal Medicine, Ghent University Hospital,  Gent, Belgium.; Department of Nephrology and Hypertension, University Medical Center Utrecht, The  Netherlands.; Department of Nephrology, Transplantation and Internal Medicine, Medical University  of Silesia in Katowice, Katowice, Poland.; Service of Nephrology and Hypertension, Lausanne University Hospital, Lausanne,  Switzerland.; Manhes Hospital and FCRIN INI-CRCTC, Manhes, France.; CNR-IFC, Clinical Epidemiology and Pathophysiology of Hypertension and Renal  Diseases Unit, Ospedali Riuniti, Reggio Calabria, Italy.&lt;/_author_adr&gt;&lt;_date_display&gt;2017 Apr 1&lt;/_date_display&gt;&lt;_date&gt;2017-04-01&lt;/_date&gt;&lt;_doi&gt;10.1093/ndt/gfw433&lt;/_doi&gt;&lt;_isbn&gt;1460-2385 (Electronic); 0931-0509 (Linking)&lt;/_isbn&gt;&lt;_issue&gt;4&lt;/_issue&gt;&lt;_journal&gt;Nephrol Dial Transplant&lt;/_journal&gt;&lt;_keywords&gt;*blood pressure; *end-stage renal disease; *haemodialysis; *hypertension; *peritoneal dialysis&lt;/_keywords&gt;&lt;_language&gt;eng&lt;/_language&gt;&lt;_ori_publication&gt;© The Author 2017. Published by Oxford University Press on behalf of ERA-EDTA. All _x000d__x000a_      rights reserved.&lt;/_ori_publication&gt;&lt;_pages&gt;620-640&lt;/_pages&gt;&lt;_subject_headings&gt;Antihypertensive Agents/therapeutic use; Consensus; Humans; Hypertension/*drug therapy/epidemiology/*etiology; Kidney Failure, Chronic/*therapy; Practice Guidelines as Topic/*standards; Renal Dialysis/*adverse effects; Societies, Medical&lt;/_subject_headings&gt;&lt;_tertiary_title&gt;Nephrology, dialysis, transplantation : official publication of the European _x000d__x000a_      Dialysis and Transplant Association - European Renal Association&lt;/_tertiary_title&gt;&lt;_type_work&gt;Journal Article; Review&lt;/_type_work&gt;&lt;_url&gt;http://www.ncbi.nlm.nih.gov/entrez/query.fcgi?cmd=Retrieve&amp;amp;db=pubmed&amp;amp;dopt=Abstract&amp;amp;list_uids=28340239&amp;amp;query_hl=1&lt;/_url&gt;&lt;_volume&gt;32&lt;/_volume&gt;&lt;_created&gt;63469112&lt;/_created&gt;&lt;_modified&gt;63469112&lt;/_modified&gt;&lt;_impact_factor&gt;   4.531&lt;/_impact_factor&gt;&lt;/Details&gt;&lt;Extra&gt;&lt;DBUID&gt;{749A27AD-B5E1-4ED6-ABD8-A7B8F16E1CAE}&lt;/DBUID&gt;&lt;/Extra&gt;&lt;/Item&gt;&lt;/References&gt;&lt;/Group&gt;&lt;/Citation&gt;_x000a_"/>
    <w:docVar w:name="NE.Ref{DC7F2340-A047-4719-BCFA-067853265BFE}" w:val=" ADDIN NE.Ref.{DC7F2340-A047-4719-BCFA-067853265BFE}&lt;Citation&gt;&lt;Group&gt;&lt;References&gt;&lt;Item&gt;&lt;ID&gt;44&lt;/ID&gt;&lt;UID&gt;{7012E2B8-6A35-4FDC-8D41-BDD6DD866F18}&lt;/UID&gt;&lt;Title&gt;Effects of an angiotensin-converting enzyme inhibitor on residual renal function  in patients receiving peritoneal dialysis. A randomized, controlled study&lt;/Title&gt;&lt;Template&gt;Journal Article&lt;/Template&gt;&lt;Star&gt;0&lt;/Star&gt;&lt;Tag&gt;0&lt;/Tag&gt;&lt;Author&gt;Li, P K; Chow, K M; Wong, T Y; Leung, C B; Szeto, C C&lt;/Author&gt;&lt;Year&gt;2003&lt;/Year&gt;&lt;Details&gt;&lt;_accession_num&gt;12859160&lt;/_accession_num&gt;&lt;_author_adr&gt;Department of Medicine and Therapeutics, Prince of Wales Hospital, The Chinese University of Hong Kong, Ngan Shing Street, Shatin, Hong Kong, China. philipli@cuhk.edu.hk&lt;/_author_adr&gt;&lt;_date_display&gt;2003 Jul 15&lt;/_date_display&gt;&lt;_date&gt;2003-07-15&lt;/_date&gt;&lt;_doi&gt;10.7326/0003-4819-139-2-200307150-00010&lt;/_doi&gt;&lt;_isbn&gt;1539-3704 (Electronic); 0003-4819 (Linking)&lt;/_isbn&gt;&lt;_issue&gt;2&lt;/_issue&gt;&lt;_journal&gt;Ann Intern Med&lt;/_journal&gt;&lt;_language&gt;eng&lt;/_language&gt;&lt;_pages&gt;105-12&lt;/_pages&gt;&lt;_subject_headings&gt;Angiotensin-Converting Enzyme Inhibitors/adverse effects/*therapeutic use; Anuria/prevention &amp;amp; control; Combined Modality Therapy; Glomerular Filtration Rate/drug effects; Humans; Kidney/*physiopathology; Kidney Failure, Chronic/*physiopathology/*therapy; Multivariate Analysis; *Peritoneal Dialysis; Ramipril/adverse effects/*therapeutic use&lt;/_subject_headings&gt;&lt;_tertiary_title&gt;Annals of internal medicine&lt;/_tertiary_title&gt;&lt;_type_work&gt;Clinical Trial; Journal Article; Randomized Controlled Trial; Research Support, Non-U.S. Gov&amp;apos;t&lt;/_type_work&gt;&lt;_url&gt;http://www.ncbi.nlm.nih.gov/entrez/query.fcgi?cmd=Retrieve&amp;amp;db=pubmed&amp;amp;dopt=Abstract&amp;amp;list_uids=12859160&amp;amp;query_hl=1&lt;/_url&gt;&lt;_volume&gt;139&lt;/_volume&gt;&lt;_created&gt;63405217&lt;/_created&gt;&lt;_modified&gt;63405217&lt;/_modified&gt;&lt;_db_updated&gt;PubMed&lt;/_db_updated&gt;&lt;_impact_factor&gt;  21.317&lt;/_impact_factor&gt;&lt;_collection_scope&gt;SCI;SCIE&lt;/_collection_scope&gt;&lt;/Details&gt;&lt;Extra&gt;&lt;DBUID&gt;{749A27AD-B5E1-4ED6-ABD8-A7B8F16E1CAE}&lt;/DBUID&gt;&lt;/Extra&gt;&lt;/Item&gt;&lt;/References&gt;&lt;/Group&gt;&lt;Group&gt;&lt;References&gt;&lt;Item&gt;&lt;ID&gt;45&lt;/ID&gt;&lt;UID&gt;{C3DA6107-129F-453A-B2EE-A38C5091A02D}&lt;/UID&gt;&lt;Title&gt;Effects of an angiotensin II receptor blocker, valsartan, on residual renal function in patients on CAPD&lt;/Title&gt;&lt;Template&gt;Journal Article&lt;/Template&gt;&lt;Star&gt;0&lt;/Star&gt;&lt;Tag&gt;0&lt;/Tag&gt;&lt;Author&gt;Suzuki, Hiromichi; Kanno, Yoshihiko; Sugahara, Soichi; Okada, Hirokazu; Nakamoto, Hidetomo&lt;/Author&gt;&lt;Year&gt;2004&lt;/Year&gt;&lt;Details&gt;&lt;_issue&gt;6&lt;/_issue&gt;&lt;_journal&gt;American Journal of Kidney Diseases&lt;/_journal&gt;&lt;_pages&gt;1056-1064&lt;/_pages&gt;&lt;_volume&gt;43&lt;/_volume&gt;&lt;_created&gt;63405223&lt;/_created&gt;&lt;_modified&gt;63405223&lt;/_modified&gt;&lt;_impact_factor&gt;   6.618&lt;/_impact_factor&gt;&lt;_collection_scope&gt;SCI;SCIE&lt;/_collection_scope&gt;&lt;/Details&gt;&lt;Extra&gt;&lt;DBUID&gt;{749A27AD-B5E1-4ED6-ABD8-A7B8F16E1CAE}&lt;/DBUID&gt;&lt;/Extra&gt;&lt;/Item&gt;&lt;/References&gt;&lt;/Group&gt;&lt;/Citation&gt;_x000a_"/>
    <w:docVar w:name="NE.Ref{DC9CBED4-1976-4CBC-BF76-B41301BF46CD}" w:val=" ADDIN NE.Ref.{DC9CBED4-1976-4CBC-BF76-B41301BF46CD}&lt;Citation&gt;&lt;Group&gt;&lt;References&gt;&lt;Item&gt;&lt;ID&gt;115&lt;/ID&gt;&lt;UID&gt;{DB6A12A5-E441-443C-81D4-B5DD7C7B5EB2}&lt;/UID&gt;&lt;Title&gt;Effects of Intensive BP Control in CKD&lt;/Title&gt;&lt;Template&gt;Journal Article&lt;/Template&gt;&lt;Star&gt;0&lt;/Star&gt;&lt;Tag&gt;0&lt;/Tag&gt;&lt;Author&gt;Cheung, A K; Rahman, M; Reboussin, D M; Craven, T E; Greene, T; Kimmel, P L; Cushman, W C; Hawfield, A T; Johnson, K C; Lewis, C E; Oparil, S; Rocco, M V; Sink, K M; Whelton, P K; Wright, JT Jr; Basile, J; Beddhu, S; Bhatt, U; Chang, T I; Chertow, G M; Chonchol, M; Freedman, B I; Haley, W; Ix, J H; Katz, L A; Killeen, A A; Papademetriou, V; Ricardo, A C; Servilla, K; Wall, B; Wolfgram, D; Yee, J&lt;/Author&gt;&lt;Year&gt;2017&lt;/Year&gt;&lt;Details&gt;&lt;_accession_num&gt;28642330&lt;/_accession_num&gt;&lt;_author_adr&gt;Division of Nephrology and Hypertension and alfred.cheung@hsc.utah.edu.; Medical Service, Veterans Affairs Salt Lake City Healthcare System, Salt Lake City,  Utah.; Division of Nephrology and Hypertension, University Hospitals Cleveland Medical  Center, Case Western Reserve University Hospitals, Cleveland, Ohio.; Department of Medicine, Louis Stokes Cleveland Veterans Affairs Medical Center,  Cleveland, Ohio.; Department of Biostatistical Sciences, Wake Forest School of Medicine,  Winston-Salem, North Carolina.; Department of Biostatistical Sciences, Wake Forest School of Medicine,  Winston-Salem, North Carolina.; Department of Population Health Sciences, University of Utah, Salt Lake City, Utah.; Division of Kidney, Urologic, and Hematologic Diseases, National Institute of  Diabetes and Digestive and Kidney Diseases, National Institutes of Health, Bethesda,  Maryland.; Hypertension Section, Medical Service and.; Department of Internal Medicine, Section on Nephrology and.; Department of Preventive Medicine and.; Division of Preventive Medicine, School of Medicine, University of Alabama at  Birmingham School of Medicine, Birmingham, Alabama.; Division of Cardiovascular Disease, Department of Medicine, University of Alabama at  Birmingham, Birmingham, Alabama.; Department of Internal Medicine, Section on Nephrology and.; Department of Internal Medicine, Section on Gerontology and Geriatric Medicine, Wake  Forest School of Medicine, Winston-Salem, North Carolina.; Department of Epidemiology, Tulane University School of Public Health and Tropical  Medicine, New Orleans, Louisiana.; Division of Nephrology and Hypertension, University Hospitals Cleveland Medical  Center, Case Western Reserve University Hospitals, Cleveland, Ohio.; Department of Medicine, Medical University of South Carolina, Charleston, South  Carolina.; Primary Care Research, Ralph H. Johnson Veterans Affairs Medical Center, Charleston,  South Carolina.; Division of Nephrology and Hypertension and.; Medical Service, Veterans Affairs Salt Lake City Healthcare System, Salt Lake City,  Utah.; Division of Nephrology, Ohio State University Medical Center, Columbus, Ohio.; Division of Nephrology, Department of Medicine, Stanford University School of  Medicine, Stanford, California.; Division of Nephrology, Department of Medicine, Stanford University School of  Medicine, Stanford, California.; Department of Medicine, Division of Renal Diseases and Hypertension, University of  Colorado Anschutz Medical Campus, Aurora, Colorado.; Department of Internal Medicine, Section on Nephrology and.; Division of Nephrology and Hypertension, Mayo Clinic Florida, Jacksonville, Florida.; Division of Nephrology-Hypertension, Department of Medicine, University of  California, San Diego, California.; Medical Service, Veterans Affairs New York Harbor Healthcare System, New York, New  York.; Department of Medicine, New York University School of Medicine, New York, New York.; Department of Laboratory Medicine and Pathology, University of Minnesota,  Minneapolis, Minnesota.; Division of Cardiology, Department of Medicine, Veterans Affairs Medical Center,  Washington, DC.; Department of Medicine, Division of Nephrology, University of Illinois, Chicago,  Illinois.; Renal Section, Medicine Service, New Mexico Veterans Affairs Health Care System,  Albuquerque, New Mexico.; Nephrology Section, Internal Medicine, Memphis Veterans Affairs Medical Center,  Memphis, Tennessee.; Department of Nephrology, University of Tennessee Health Science Center, Memphis,  Tennessee.; Section of Nephrology, Department of Medicine, Milwaukee Veterans Affairs Medical  Center, Milwaukee, Wisconsin; and.; Division of Nephrology and Hypertension, Henry Ford Hospital, Detroit, Michigan.&lt;/_author_adr&gt;&lt;_date_display&gt;2017 Sep&lt;/_date_display&gt;&lt;_date&gt;2017-09-01&lt;/_date&gt;&lt;_doi&gt;10.1681/ASN.2017020148&lt;/_doi&gt;&lt;_isbn&gt;1533-3450 (Electronic); 1046-6673 (Print); 1046-6673 (Linking)&lt;/_isbn&gt;&lt;_issue&gt;9&lt;/_issue&gt;&lt;_journal&gt;J Am Soc Nephrol&lt;/_journal&gt;&lt;_keywords&gt;blood pressure; cardiovascular disease; chronic kidney disease; glomerular filtration rate; hypertension; mortality&lt;/_keywords&gt;&lt;_language&gt;eng&lt;/_language&gt;&lt;_ori_publication&gt;Copyright © 2017 by the American Society of Nephrology.&lt;/_ori_publication&gt;&lt;_pages&gt;2812-2823&lt;/_pages&gt;&lt;_subject_headings&gt;Acute Coronary Syndrome/epidemiology; Aged; Aged, 80 and over; Antihypertensive Agents/therapeutic use; *Blood Pressure; *Cause of Death; Female; Follow-Up Studies; Glomerular Filtration Rate; Heart Failure/epidemiology; Humans; Hypertension/complications/*drug therapy/*physiopathology; Kidney Failure, Chronic/physiopathology; Male; Middle Aged; Myocardial Infarction/epidemiology; Renal Insufficiency, Chronic/complications/*physiopathology; Stroke/epidemiology; Systole&lt;/_subject_headings&gt;&lt;_tertiary_title&gt;Journal of the American Society of Nephrology : JASN&lt;/_tertiary_title&gt;&lt;_type_work&gt;Journal Article; Randomized Controlled Trial&lt;/_type_work&gt;&lt;_url&gt;http://www.ncbi.nlm.nih.gov/entrez/query.fcgi?cmd=Retrieve&amp;amp;db=pubmed&amp;amp;dopt=Abstract&amp;amp;list_uids=28642330&amp;amp;query_hl=1&lt;/_url&gt;&lt;_volume&gt;28&lt;/_volume&gt;&lt;_created&gt;63467564&lt;/_created&gt;&lt;_modified&gt;63467564&lt;/_modified&gt;&lt;_impact_factor&gt;   9.274&lt;/_impact_factor&gt;&lt;_collection_scope&gt;SCI;SCIE&lt;/_collection_scope&gt;&lt;/Details&gt;&lt;Extra&gt;&lt;DBUID&gt;{749A27AD-B5E1-4ED6-ABD8-A7B8F16E1CAE}&lt;/DBUID&gt;&lt;/Extra&gt;&lt;/Item&gt;&lt;/References&gt;&lt;/Group&gt;&lt;/Citation&gt;_x000a_"/>
    <w:docVar w:name="NE.Ref{DD963D92-5CEF-4DBE-841E-4EA62EFD23C0}" w:val=" ADDIN NE.Ref.{DD963D92-5CEF-4DBE-841E-4EA62EFD23C0}&lt;Citation&gt;&lt;Group&gt;&lt;References&gt;&lt;Item&gt;&lt;ID&gt;89&lt;/ID&gt;&lt;UID&gt;{B39653D8-ABB5-40DD-9295-2D96BC3369A9}&lt;/UID&gt;&lt;Title&gt;2020 International Society of Hypertension global hypertension practice guidelines&lt;/Title&gt;&lt;Template&gt;Journal Article&lt;/Template&gt;&lt;Star&gt;0&lt;/Star&gt;&lt;Tag&gt;0&lt;/Tag&gt;&lt;Author&gt;Unger, T; Borghi, C; Charchar, F; Khan, N A; Poulter, N R; Prabhakaran, D; Ramirez, A; Schlaich, M; Stergiou, G S; Tomaszewski, M; Wainford, R D; Williams, B; Schutte, A E&lt;/Author&gt;&lt;Year&gt;2020&lt;/Year&gt;&lt;Details&gt;&lt;_accession_num&gt;32371787&lt;/_accession_num&gt;&lt;_author_adr&gt;CARIM - School for Cardiovascular Diseases, Maastricht University, Maastricht, The  Netherlands.; Department of Medical and Surgical Sciences, University of Bologna, Bologna, Italy.; Federation University Australia, School of Health and Life Sciences, Ballarat.; Department of Physiology, University of Melbourne, Melbourne, Australia.; Department of Cardiovascular Sciences, University of Leicester, Leicester, UK.; University of British Columbia.; Center for Health Evaluation and Outcomes Sciences, Vancouver, Canada.; Imperial Clinical Trials Unit, Imperial College London, UK.; Public Health Foundation of India.; Centre for Chronic Disease Control, New Delhi, India.; London School of Hygiene and Tropical Medicine, UK.; Hypertension and Metabolic Unit, University Hospital, Favaloro Foundation, Buenos  Aires, Argentina.; Dobney Hypertension Centre, School of Medicine, Royal Perth Hospital Unit,  University of Western Australia, Perth.; Neurovascular Hypertension &amp;amp; Kidney Disease Laboratory, Baker Heart and Diabetes  Institute, Melbourne, Victoria, Australia.; Hypertension Center STRIDE-7, School of Medicine, Third Department of Medicine,  Sotiria Hospital, National and Kapodistrian University of Athens, Athens, Greece.; Division of Cardiovascular Sciences, Faculty of Medicine, Biology and Health,  University of Manchester.; Division of Medicine and Manchester Academic Health Science Centre, Manchester  University NHS Foundation Trust Manchester, Manchester, UK.; Department of Pharmacology and Experimental Therapeutics, Boston University School  of Medicine, Boston.; The Whitaker Cardiovascular Institute, Boston University.; Department of Health Sciences, Boston University Sargent College, Boston,  Massachusetts, USA.; University College London, NHR University College London, Hospitals Biomedical  Research Centre, London, UK.; Faculty of Medicine, University of New South Wales, The George Institute for Global  Health, Sydney, Australia.; Hypertension in Africa Research Team, South African MRC Unit for Hypertension and  Cardiovascular Disease, North-West University, Potchefstroom, South Africa.&lt;/_author_adr&gt;&lt;_date_display&gt;2020 Jun&lt;/_date_display&gt;&lt;_date&gt;2020-06-01&lt;/_date&gt;&lt;_doi&gt;10.1097/HJH.0000000000002453&lt;/_doi&gt;&lt;_isbn&gt;1473-5598 (Electronic); 0263-6352 (Linking)&lt;/_isbn&gt;&lt;_issue&gt;6&lt;/_issue&gt;&lt;_journal&gt;J Hypertens&lt;/_journal&gt;&lt;_language&gt;eng&lt;/_language&gt;&lt;_pages&gt;982-1004&lt;/_pages&gt;&lt;_tertiary_title&gt;Journal of hypertension&lt;/_tertiary_title&gt;&lt;_type_work&gt;Journal Article&lt;/_type_work&gt;&lt;_url&gt;http://www.ncbi.nlm.nih.gov/entrez/query.fcgi?cmd=Retrieve&amp;amp;db=pubmed&amp;amp;dopt=Abstract&amp;amp;list_uids=32371787&amp;amp;query_hl=1&lt;/_url&gt;&lt;_volume&gt;38&lt;/_volume&gt;&lt;_created&gt;63426944&lt;/_created&gt;&lt;_modified&gt;63426944&lt;/_modified&gt;&lt;_impact_factor&gt;   4.171&lt;/_impact_factor&gt;&lt;_collection_scope&gt;SCI;SCIE&lt;/_collection_scope&gt;&lt;/Details&gt;&lt;Extra&gt;&lt;DBUID&gt;{749A27AD-B5E1-4ED6-ABD8-A7B8F16E1CAE}&lt;/DBUID&gt;&lt;/Extra&gt;&lt;/Item&gt;&lt;/References&gt;&lt;/Group&gt;&lt;/Citation&gt;_x000a_"/>
    <w:docVar w:name="NE.Ref{DE03E71A-5B1B-4384-A005-87AAECB127A9}" w:val=" ADDIN NE.Ref.{DE03E71A-5B1B-4384-A005-87AAECB127A9}&lt;Citation&gt;&lt;Group&gt;&lt;References&gt;&lt;Item&gt;&lt;ID&gt;52&lt;/ID&gt;&lt;UID&gt;{46600BCB-0255-4C40-9A78-70837B63AC86}&lt;/UID&gt;&lt;Title&gt;中国高血压防治指南2018年修订版&lt;/Title&gt;&lt;Template&gt;Journal Article&lt;/Template&gt;&lt;Star&gt;0&lt;/Star&gt;&lt;Tag&gt;0&lt;/Tag&gt;&lt;Author&gt;修订委员会中国高血压防治指南&lt;/Author&gt;&lt;Year&gt;2019&lt;/Year&gt;&lt;Details&gt;&lt;_issue&gt;001&lt;/_issue&gt;&lt;_journal&gt;心脑血管病防治&lt;/_journal&gt;&lt;_pages&gt;1-44&lt;/_pages&gt;&lt;_volume&gt;019&lt;/_volume&gt;&lt;_created&gt;63405566&lt;/_created&gt;&lt;_modified&gt;63405566&lt;/_modified&gt;&lt;_translated_author&gt;Xiu, Dingweiyuanhuizhongguogaoxueyafangzhizhinan&lt;/_translated_author&gt;&lt;/Details&gt;&lt;Extra&gt;&lt;DBUID&gt;{749A27AD-B5E1-4ED6-ABD8-A7B8F16E1CAE}&lt;/DBUID&gt;&lt;/Extra&gt;&lt;/Item&gt;&lt;/References&gt;&lt;/Group&gt;&lt;/Citation&gt;_x000a_"/>
    <w:docVar w:name="NE.Ref{DE111CC7-25B5-43CB-A2F5-89B3C5550687}" w:val=" ADDIN NE.Ref.{DE111CC7-25B5-43CB-A2F5-89B3C5550687}&lt;Citation&gt;&lt;Group&gt;&lt;References&gt;&lt;Item&gt;&lt;ID&gt;158&lt;/ID&gt;&lt;UID&gt;{A526159A-7287-4011-9C6A-1634ED74808A}&lt;/UID&gt;&lt;Title&gt;Low dose spironolactone reduces blood pressure in patients with resistant  hypertension and type 2 diabetes mellitus: a double blind randomized clinical trial&lt;/Title&gt;&lt;Template&gt;Journal Article&lt;/Template&gt;&lt;Star&gt;0&lt;/Star&gt;&lt;Tag&gt;0&lt;/Tag&gt;&lt;Author&gt;Oxlund, C S; Henriksen, J E; Tarnow, L; Schousboe, K; Gram, J; Jacobsen, I A&lt;/Author&gt;&lt;Year&gt;2013&lt;/Year&gt;&lt;Details&gt;&lt;_accession_num&gt;24107738&lt;/_accession_num&gt;&lt;_author_adr&gt;aDepartment of Endocrinology, Odense University Hospital, Odense bSteno Diabetes  Centre, Gentofte cDepartment of Medicine, Sygehus Lillebælt, Fredericia dDepartment  of Endocrinology, Sydvestjysk Sygehus, Esbjerg, Denmark.&lt;/_author_adr&gt;&lt;_date_display&gt;2013 Oct&lt;/_date_display&gt;&lt;_date&gt;2013-10-01&lt;/_date&gt;&lt;_doi&gt;10.1097/HJH.0b013e3283638b1a&lt;/_doi&gt;&lt;_isbn&gt;1473-5598 (Electronic); 0263-6352 (Linking)&lt;/_isbn&gt;&lt;_issue&gt;10&lt;/_issue&gt;&lt;_journal&gt;J Hypertens&lt;/_journal&gt;&lt;_language&gt;eng&lt;/_language&gt;&lt;_pages&gt;2094-102&lt;/_pages&gt;&lt;_subject_headings&gt;Adult; Aged; Albumins/chemistry; Aldosterone/metabolism; Antihypertensive Agents/therapeutic use; Blood Pressure/*drug effects; Blood Pressure Monitoring, Ambulatory; Diabetes Complications/*drug therapy; Diabetes Mellitus, Type 2; Double-Blind Method; Female; Humans; Hypertension/diagnosis/*drug therapy; Male; Middle Aged; Spironolactone/*administration &amp;amp; dosage/*therapeutic use&lt;/_subject_headings&gt;&lt;_tertiary_title&gt;Journal of hypertension&lt;/_tertiary_title&gt;&lt;_type_work&gt;Journal Article; Multicenter Study; Randomized Controlled Trial; Research Support, Non-U.S. Gov&amp;apos;t&lt;/_type_work&gt;&lt;_url&gt;http://www.ncbi.nlm.nih.gov/entrez/query.fcgi?cmd=Retrieve&amp;amp;db=pubmed&amp;amp;dopt=Abstract&amp;amp;list_uids=24107738&amp;amp;query_hl=1&lt;/_url&gt;&lt;_volume&gt;31&lt;/_volume&gt;&lt;_created&gt;63480508&lt;/_created&gt;&lt;_modified&gt;63480508&lt;/_modified&gt;&lt;_impact_factor&gt;   4.171&lt;/_impact_factor&gt;&lt;_collection_scope&gt;SCI;SCIE&lt;/_collection_scope&gt;&lt;/Details&gt;&lt;Extra&gt;&lt;DBUID&gt;{749A27AD-B5E1-4ED6-ABD8-A7B8F16E1CAE}&lt;/DBUID&gt;&lt;/Extra&gt;&lt;/Item&gt;&lt;/References&gt;&lt;/Group&gt;&lt;Group&gt;&lt;References&gt;&lt;Item&gt;&lt;ID&gt;159&lt;/ID&gt;&lt;UID&gt;{C1A93CCB-27D4-4452-8A12-F843B1D8D2CC}&lt;/UID&gt;&lt;Title&gt;Spironolactone versus placebo, bisoprolol, and doxazosin to determine the optimal  treatment for drug-resistant hypertension (PATHWAY-2): a randomised, double-blind,  crossover trial&lt;/Title&gt;&lt;Template&gt;Journal Article&lt;/Template&gt;&lt;Star&gt;0&lt;/Star&gt;&lt;Tag&gt;0&lt;/Tag&gt;&lt;Author&gt;Williams, B; MacDonald, T M; Morant, S; Webb, D J; Sever, P; McInnes, G; Ford, I; Cruickshank, J K; Caulfield, M J; Salsbury, J; Mackenzie, I; Padmanabhan, S; Brown, M J&lt;/Author&gt;&lt;Year&gt;2015&lt;/Year&gt;&lt;Details&gt;&lt;_accession_num&gt;26414968&lt;/_accession_num&gt;&lt;_author_adr&gt;Institute of Cardiovascular Sciences University College London and National  Institute for Health Research (NIHR) UCL/UCL Hospitals Biomedical Research Centre,  London, UK. Electronic address: bryan.williams@ucl.ac.uk.; Medicines Monitoring Unit, Medical Research Institute, University of Dundee, Dundee,  UK.; Medicines Monitoring Unit, Medical Research Institute, University of Dundee, Dundee,  UK.; Clinical Pharmacology Unit, University of Edinburgh, Centre for Cardiovascular  Science, Queen&amp;apos;s Medical Research Institute, Edinburgh, UK.; International Centre for Circulatory Health, Imperial College, London, UK.; BHF Glasgow Cardiovascular Research Centre, Institute of Cardiovascular and Medical  Sciences, University of Glasgow, Glasgow, UK.; Robertson Centre for Biostatistics, Glasgow University, Glasgow, UK.; Cardiovascular Medicine &amp;amp; Diabetes, King&amp;apos;s College London, London, UK.; William Harvey Research Institute, Barts and The London School of Medicine and  Dentistry, Queen Mary University of London, London, UK.; Clinical Pharmacology Unit, Addenbrooke&amp;apos;s Hospital, University of Cambridge, UK.; Medicines Monitoring Unit, Medical Research Institute, University of Dundee, Dundee,  UK.; BHF Glasgow Cardiovascular Research Centre, Institute of Cardiovascular and Medical  Sciences, University of Glasgow, Glasgow, UK.; Clinical Pharmacology Unit, Addenbrooke&amp;apos;s Hospital, University of Cambridge, UK.  Electronic address: m.j.brown@cai.cam.ac.uk.&lt;/_author_adr&gt;&lt;_date_display&gt;2015 Nov 21&lt;/_date_display&gt;&lt;_date&gt;2015-11-21&lt;/_date&gt;&lt;_doi&gt;10.1016/S0140-6736(15)00257-3&lt;/_doi&gt;&lt;_isbn&gt;1474-547X (Electronic); 0140-6736 (Print); 0140-6736 (Linking)&lt;/_isbn&gt;&lt;_issue&gt;10008&lt;/_issue&gt;&lt;_journal&gt;Lancet&lt;/_journal&gt;&lt;_language&gt;eng&lt;/_language&gt;&lt;_ori_publication&gt;Copyright © 2015 Williams et al. Open Access article distributed under the terms of _x000d__x000a_      CC BY. Published by Elsevier Ltd.. All rights reserved.&lt;/_ori_publication&gt;&lt;_pages&gt;2059-2068&lt;/_pages&gt;&lt;_subject_headings&gt;Adrenergic alpha-1 Receptor Antagonists/*therapeutic use; Adrenergic beta-1 Receptor Antagonists/*therapeutic use; Aged; Bisoprolol/*therapeutic use; Cross-Over Studies; Double-Blind Method; Doxazosin/*therapeutic use; Female; Humans; Hypertension/*drug therapy; Male; Middle Aged; Mineralocorticoid Receptor Antagonists/*therapeutic use; Spironolactone/*therapeutic use; Treatment Outcome&lt;/_subject_headings&gt;&lt;_tertiary_title&gt;Lancet (London, England)&lt;/_tertiary_title&gt;&lt;_type_work&gt;Comparative Study; Journal Article; Randomized Controlled Trial; Research Support, Non-U.S. Gov&amp;apos;t&lt;/_type_work&gt;&lt;_url&gt;http://www.ncbi.nlm.nih.gov/entrez/query.fcgi?cmd=Retrieve&amp;amp;db=pubmed&amp;amp;dopt=Abstract&amp;amp;list_uids=26414968&amp;amp;query_hl=1&lt;/_url&gt;&lt;_volume&gt;386&lt;/_volume&gt;&lt;_created&gt;63480510&lt;/_created&gt;&lt;_modified&gt;63480510&lt;/_modified&gt;&lt;_impact_factor&gt;  60.392&lt;/_impact_factor&gt;&lt;_collection_scope&gt;SCI;SCIE&lt;/_collection_scope&gt;&lt;/Details&gt;&lt;Extra&gt;&lt;DBUID&gt;{749A27AD-B5E1-4ED6-ABD8-A7B8F16E1CAE}&lt;/DBUID&gt;&lt;/Extra&gt;&lt;/Item&gt;&lt;/References&gt;&lt;/Group&gt;&lt;/Citation&gt;_x000a_"/>
    <w:docVar w:name="NE.Ref{E0468774-1A3F-4C0E-A485-5282FD93C543}" w:val=" ADDIN NE.Ref.{E0468774-1A3F-4C0E-A485-5282FD93C543}&lt;Citation&gt;&lt;Group&gt;&lt;References&gt;&lt;Item&gt;&lt;ID&gt;44&lt;/ID&gt;&lt;UID&gt;{7012E2B8-6A35-4FDC-8D41-BDD6DD866F18}&lt;/UID&gt;&lt;Title&gt;Effects of an Angiotensin-Converting Enzyme Inhibitor on Residual Renal Function in Patients Receiving Peritoneal Dialysis&lt;/Title&gt;&lt;Template&gt;Journal Article&lt;/Template&gt;&lt;Star&gt;0&lt;/Star&gt;&lt;Tag&gt;0&lt;/Tag&gt;&lt;Author&gt;Li, Philip Kam-Tao; Chow, Kai-Ming; Wong, Teresa Yuk-Hwa; Leung, Chi-Bon; Szeto, Cheuk-Chun&lt;/Author&gt;&lt;Year&gt;2003&lt;/Year&gt;&lt;Details&gt;&lt;_accessed&gt;63405281&lt;/_accessed&gt;&lt;_accession_num&gt;12859160&lt;/_accession_num&gt;&lt;_author_adr&gt;Department of Medicine and Therapeutics, Prince of Wales Hospital, The Chinese University of Hong Kong, Ngan Shing Street, Shatin, Hong Kong, China. philipli@cuhk.edu.hk&lt;/_author_adr&gt;&lt;_collection_scope&gt;SCI;SCIE&lt;/_collection_scope&gt;&lt;_created&gt;63405217&lt;/_created&gt;&lt;_date&gt;54453600&lt;/_date&gt;&lt;_date_display&gt;2003 Jul 15&lt;/_date_display&gt;&lt;_db_updated&gt;CrossRef&lt;/_db_updated&gt;&lt;_doi&gt;10.7326/0003-4819-139-2-200307150-00010&lt;/_doi&gt;&lt;_impact_factor&gt;  21.317&lt;/_impact_factor&gt;&lt;_isbn&gt;0003-4819&lt;/_isbn&gt;&lt;_issue&gt;2&lt;/_issue&gt;&lt;_journal&gt;Annals of Internal Medicine&lt;/_journal&gt;&lt;_language&gt;eng&lt;/_language&gt;&lt;_modified&gt;63405281&lt;/_modified&gt;&lt;_pages&gt;105&lt;/_pages&gt;&lt;_subject_headings&gt;Angiotensin-Converting Enzyme Inhibitors/adverse effects/*therapeutic use; Anuria/prevention &amp;amp; control; Combined Modality Therapy; Glomerular Filtration Rate/drug effects; Humans; Kidney/*physiopathology; Kidney Failure, Chronic/*physiopathology/*therapy; Multivariate Analysis; *Peritoneal Dialysis; Ramipril/adverse effects/*therapeutic use&lt;/_subject_headings&gt;&lt;_tertiary_title&gt;Ann Intern Med&lt;/_tertiary_title&gt;&lt;_type_work&gt;Clinical Trial; Journal Article; Randomized Controlled Trial; Research Support, Non-U.S. Gov&amp;apos;t&lt;/_type_work&gt;&lt;_url&gt;http://annals.org/article.aspx?doi=10.7326/0003-4819-139-2-200307150-00010&lt;/_url&gt;&lt;_volume&gt;139&lt;/_volume&gt;&lt;/Details&gt;&lt;Extra&gt;&lt;DBUID&gt;{749A27AD-B5E1-4ED6-ABD8-A7B8F16E1CAE}&lt;/DBUID&gt;&lt;/Extra&gt;&lt;/Item&gt;&lt;/References&gt;&lt;/Group&gt;&lt;Group&gt;&lt;References&gt;&lt;Item&gt;&lt;ID&gt;45&lt;/ID&gt;&lt;UID&gt;{C3DA6107-129F-453A-B2EE-A38C5091A02D}&lt;/UID&gt;&lt;Title&gt;Effects of an angiotensin II receptor blocker, valsartan, on residual renal function in patients on CAPD&lt;/Title&gt;&lt;Template&gt;Journal Article&lt;/Template&gt;&lt;Star&gt;0&lt;/Star&gt;&lt;Tag&gt;0&lt;/Tag&gt;&lt;Author&gt;Suzuki, Hiromichi; Kanno, Yoshihiko; Sugahara, Soichi; Okada, Hirokazu; Nakamoto, Hidetomo&lt;/Author&gt;&lt;Year&gt;2004&lt;/Year&gt;&lt;Details&gt;&lt;_accessed&gt;63405281&lt;/_accessed&gt;&lt;_collection_scope&gt;SCI;SCIE&lt;/_collection_scope&gt;&lt;_created&gt;63405223&lt;/_created&gt;&lt;_date&gt;54698400&lt;/_date&gt;&lt;_date_display&gt;2004&lt;/_date_display&gt;&lt;_db_updated&gt;PKU Search&lt;/_db_updated&gt;&lt;_doi&gt;10.1053/j.ajkd.2004.01.019&lt;/_doi&gt;&lt;_impact_factor&gt;   6.618&lt;/_impact_factor&gt;&lt;_isbn&gt;0272-6386&lt;/_isbn&gt;&lt;_issue&gt;6&lt;/_issue&gt;&lt;_journal&gt;American journal of kidney diseases&lt;/_journal&gt;&lt;_keywords&gt;Antihypertensive agents; weekly creatinine clearance (CrCl); Kidney - blood supply; Prospective Studies; Tetrazoles - pharmacology; Kidney - pathology; Valsartan; Humans; Middle Aged; Male; Angiotensin II Type 1 Receptor Blockers - pharmacology; Creatinine - metabolism; Proteinuria - urine; Hypertension - prevention &amp;amp; control; Female; Blood Pressure - drug effects; Retrospective Studies; Urine - physiology; Kidney - drug effects; Japan; Valine - analogs &amp;amp; derivatives; Antihypertensive Agents - therapeutic use; Creatinine - urine; Peritoneal Cavity - blood supply; Peritoneal Dialysis, Continuous Ambulatory - methods; Creatinine - blood; Kidney Failure, Chronic; Valine - pharmacology&lt;/_keywords&gt;&lt;_modified&gt;63405281&lt;/_modified&gt;&lt;_number&gt;1&lt;/_number&gt;&lt;_ori_publication&gt;Elsevier BV&lt;/_ori_publication&gt;&lt;_pages&gt;1056-1064&lt;/_pages&gt;&lt;_place_published&gt;United States&lt;/_place_published&gt;&lt;_url&gt;http://pku.summon.serialssolutions.com/2.0.0/link/0/eLvHCXMwnV3JTsMwELVKD4gLO5RVvtOUxEuaHEsXUUSlHnriEnmJgVZyqob-P-MkVQEVBEg-WPKWeCYzzxn7GSFKWr73xSZIoiARKoQMeARZpZnUREW-VoaF7ijx0yh6HJNBnz_UUPObgD6nt9OWmM4Kik9W8G0WlJ8UQLmjeOzdrQl3aRmnJG3igY6F1YGZzV18dkpub6YCwLfJP31wPoO9vz3nPtqtQCbulFpxgGqpPUTboyqMfoReSs7iHGcGCwvp-TUrdrJbPBxisIHpHJbiWIKjm6WLJgZtzEHFhG3izEJ5XpzggowbxXlGJ10MrSuW1txV63bGvWM0GfQn3XuvunLBUwS-fS9Ujq8F_LrgNFa-IcpdbCVSYbRqG2ooZGWsuQGcJLlmAVOSBc4sKA3AhJ6gus1s2kBYCCiLBCGSSUZ8KngIxkS6pXhqYmLO0M1qypN5SayRFAFxTmFB4ubO3ZDJEj-AFEPtlVR-VZuvBJdUQKIECAlI6cd2p6WU12NweH3QnvN_9niBdsqtPu63zSWqvy2W6RXams-W14W6vgNBBecg&lt;/_url&gt;&lt;_volume&gt;43&lt;/_volume&gt;&lt;/Details&gt;&lt;Extra&gt;&lt;DBUID&gt;{749A27AD-B5E1-4ED6-ABD8-A7B8F16E1CAE}&lt;/DBUID&gt;&lt;/Extra&gt;&lt;/Item&gt;&lt;/References&gt;&lt;/Group&gt;&lt;/Citation&gt;_x000a_"/>
    <w:docVar w:name="NE.Ref{E1D5D44C-9B4C-451F-9029-AC481EF67382}" w:val=" ADDIN NE.Ref.{E1D5D44C-9B4C-451F-9029-AC481EF67382}&lt;Citation&gt;&lt;Group&gt;&lt;References&gt;&lt;Item&gt;&lt;ID&gt;52&lt;/ID&gt;&lt;UID&gt;{46600BCB-0255-4C40-9A78-70837B63AC86}&lt;/UID&gt;&lt;Title&gt;中国高血压防治指南2018年修订版&lt;/Title&gt;&lt;Template&gt;Journal Article&lt;/Template&gt;&lt;Star&gt;0&lt;/Star&gt;&lt;Tag&gt;0&lt;/Tag&gt;&lt;Author&gt;修订委员会中国高血压防治指南&lt;/Author&gt;&lt;Year&gt;2019&lt;/Year&gt;&lt;Details&gt;&lt;_issue&gt;001&lt;/_issue&gt;&lt;_journal&gt;心脑血管病防治&lt;/_journal&gt;&lt;_pages&gt;1-44&lt;/_pages&gt;&lt;_volume&gt;019&lt;/_volume&gt;&lt;_created&gt;63405566&lt;/_created&gt;&lt;_modified&gt;63405566&lt;/_modified&gt;&lt;_translated_author&gt;Xiu, Dingweiyuanhuizhongguogaoxueyafangzhizhinan&lt;/_translated_author&gt;&lt;/Details&gt;&lt;Extra&gt;&lt;DBUID&gt;{749A27AD-B5E1-4ED6-ABD8-A7B8F16E1CAE}&lt;/DBUID&gt;&lt;/Extra&gt;&lt;/Item&gt;&lt;/References&gt;&lt;/Group&gt;&lt;/Citation&gt;_x000a_"/>
    <w:docVar w:name="NE.Ref{E1F72E44-5957-4367-BFC8-D42D2CFD17D1}" w:val=" ADDIN NE.Ref.{E1F72E44-5957-4367-BFC8-D42D2CFD17D1}&lt;Citation&gt;&lt;Group&gt;&lt;References&gt;&lt;Item&gt;&lt;ID&gt;43&lt;/ID&gt;&lt;UID&gt;{9FE3A6E7-C631-46F1-97F4-93ED0C823E17}&lt;/UID&gt;&lt;Title&gt;Superiority of Icodextrin Compared with 4.25% Dextrose for Peritoneal Ultrafiltration&lt;/Title&gt;&lt;Template&gt;Journal Article&lt;/Template&gt;&lt;Star&gt;0&lt;/Star&gt;&lt;Tag&gt;0&lt;/Tag&gt;&lt;Author&gt;Finkelstein, Fredric; Healy, Helen; Abu-Alfa, Ali; Ahmad, Suhail; Brown, Fiona; Gehr, Todd; Nash, Kevin; Sorkin, Michael; Mujais, Salim&lt;/Author&gt;&lt;Year&gt;2005&lt;/Year&gt;&lt;Details&gt;&lt;_accessed&gt;63405281&lt;/_accessed&gt;&lt;_accession_num&gt;15625070&lt;/_accession_num&gt;&lt;_author_adr&gt;Yale University School of Medicine, New Haven, CT, USA.&lt;/_author_adr&gt;&lt;_collection_scope&gt;SCI;SCIE&lt;/_collection_scope&gt;&lt;_created&gt;63405216&lt;/_created&gt;&lt;_date&gt;2005-02-01&lt;/_date&gt;&lt;_date_display&gt;2005 Feb&lt;/_date_display&gt;&lt;_db_updated&gt;CrossRef&lt;/_db_updated&gt;&lt;_doi&gt;10.1681/ASN.2004090793&lt;/_doi&gt;&lt;_impact_factor&gt;   9.274&lt;/_impact_factor&gt;&lt;_isbn&gt;1046-6673&lt;/_isbn&gt;&lt;_issue&gt;2&lt;/_issue&gt;&lt;_journal&gt;Journal of the American Society of Nephrology&lt;/_journal&gt;&lt;_language&gt;eng&lt;/_language&gt;&lt;_modified&gt;63405281&lt;/_modified&gt;&lt;_pages&gt;546-554&lt;/_pages&gt;&lt;_subject_headings&gt;Dialysis Solutions/*pharmacology; Double-Blind Method; Female; Follow-Up Studies; Glucans/*pharmacology; Glucose/*pharmacology; Humans; Icodextrin; Kidney Failure, Chronic/diagnosis/*therapy; Kidney Function Tests; Male; Middle Aged; Peritoneal Dialysis/adverse effects/*methods; Probability; Prospective Studies; Reference Values; Risk Assessment; Severity of Illness Index; Treatment Outcome; Ultrafiltration/*methods&lt;/_subject_headings&gt;&lt;_tertiary_title&gt;JASN&lt;/_tertiary_title&gt;&lt;_type_work&gt;Clinical Trial; Comparative Study; Journal Article; Multicenter Study; Randomized Controlled Trial; Research Support, Non-U.S. Gov&amp;apos;t&lt;/_type_work&gt;&lt;_url&gt;http://www.jasn.org/lookup/doi/10.1681/ASN.2004090793_x000d__x000a_https://syndication.highwire.org/content/doi/10.1681/ASN.2004090793&lt;/_url&gt;&lt;_volume&gt;16&lt;/_volume&gt;&lt;/Details&gt;&lt;Extra&gt;&lt;DBUID&gt;{749A27AD-B5E1-4ED6-ABD8-A7B8F16E1CAE}&lt;/DBUID&gt;&lt;/Extra&gt;&lt;/Item&gt;&lt;/References&gt;&lt;/Group&gt;&lt;/Citation&gt;_x000a_"/>
    <w:docVar w:name="NE.Ref{E25EC129-B4EB-4AB7-92A9-755BF396846F}" w:val=" ADDIN NE.Ref.{E25EC129-B4EB-4AB7-92A9-755BF396846F}&lt;Citation&gt;&lt;Group&gt;&lt;References&gt;&lt;Item&gt;&lt;ID&gt;152&lt;/ID&gt;&lt;UID&gt;{FE53CFA6-B2F8-4DAB-B267-9C0A1E01F302}&lt;/UID&gt;&lt;Title&gt;Essential points from Evidence-based Clinical Practice Guidelines for Chronic Kidney Disease 2018&lt;/Title&gt;&lt;Template&gt;Journal Article&lt;/Template&gt;&lt;Star&gt;0&lt;/Star&gt;&lt;Tag&gt;0&lt;/Tag&gt;&lt;Author&gt;Nephrology, Japanese Society Of&lt;/Author&gt;&lt;Year&gt;2019&lt;/Year&gt;&lt;Details&gt;&lt;_accessed&gt;63791275&lt;/_accessed&gt;&lt;_collection_scope&gt;SCIE&lt;/_collection_scope&gt;&lt;_created&gt;63469083&lt;/_created&gt;&lt;_impact_factor&gt;   1.770&lt;/_impact_factor&gt;&lt;_journal&gt;Clinical and Experimental Nephrology&lt;/_journal&gt;&lt;_modified&gt;63469083&lt;/_modified&gt;&lt;/Details&gt;&lt;Extra&gt;&lt;DBUID&gt;{749A27AD-B5E1-4ED6-ABD8-A7B8F16E1CAE}&lt;/DBUID&gt;&lt;/Extra&gt;&lt;/Item&gt;&lt;/References&gt;&lt;/Group&gt;&lt;/Citation&gt;_x000a_"/>
    <w:docVar w:name="NE.Ref{E3C4858E-6032-4F43-8CFC-D27F72A96BA3}" w:val=" ADDIN NE.Ref.{E3C4858E-6032-4F43-8CFC-D27F72A96BA3}&lt;Citation&gt;&lt;Group&gt;&lt;References&gt;&lt;Item&gt;&lt;ID&gt;52&lt;/ID&gt;&lt;UID&gt;{46600BCB-0255-4C40-9A78-70837B63AC86}&lt;/UID&gt;&lt;Title&gt;中国高血压防治指南2018年修订版&lt;/Title&gt;&lt;Template&gt;Journal Article&lt;/Template&gt;&lt;Star&gt;0&lt;/Star&gt;&lt;Tag&gt;0&lt;/Tag&gt;&lt;Author&gt;中国高血压防治指南修订委员会&lt;/Author&gt;&lt;Year&gt;2019&lt;/Year&gt;&lt;Details&gt;&lt;_accessed&gt;63408433&lt;/_accessed&gt;&lt;_created&gt;63405566&lt;/_created&gt;&lt;_issue&gt;001&lt;/_issue&gt;&lt;_journal&gt;心脑血管病防治&lt;/_journal&gt;&lt;_modified&gt;63408433&lt;/_modified&gt;&lt;_pages&gt;1-44&lt;/_pages&gt;&lt;_volume&gt;019&lt;/_volume&gt;&lt;_translated_author&gt;Zhong, Guogaoxueyafangzhizhinanxiudingweiyuanhui&lt;/_translated_author&gt;&lt;/Details&gt;&lt;Extra&gt;&lt;DBUID&gt;{749A27AD-B5E1-4ED6-ABD8-A7B8F16E1CAE}&lt;/DBUID&gt;&lt;/Extra&gt;&lt;/Item&gt;&lt;/References&gt;&lt;/Group&gt;&lt;/Citation&gt;_x000a_"/>
    <w:docVar w:name="NE.Ref{E419AEE5-8837-4495-81D8-CAA1B041F469}" w:val=" ADDIN NE.Ref.{E419AEE5-8837-4495-81D8-CAA1B041F469}&lt;Citation&gt;&lt;Group&gt;&lt;References&gt;&lt;Item&gt;&lt;ID&gt;89&lt;/ID&gt;&lt;UID&gt;{B39653D8-ABB5-40DD-9295-2D96BC3369A9}&lt;/UID&gt;&lt;Title&gt;2020 International Society of Hypertension global hypertension practice guidelines&lt;/Title&gt;&lt;Template&gt;Journal Article&lt;/Template&gt;&lt;Star&gt;0&lt;/Star&gt;&lt;Tag&gt;0&lt;/Tag&gt;&lt;Author&gt;Unger, T; Borghi, C; Charchar, F; Khan, N A; Poulter, N R; Prabhakaran, D; Ramirez, A; Schlaich, M; Stergiou, G S; Tomaszewski, M; Wainford, R D; Williams, B; Schutte, A E&lt;/Author&gt;&lt;Year&gt;2020&lt;/Year&gt;&lt;Details&gt;&lt;_accession_num&gt;32371787&lt;/_accession_num&gt;&lt;_author_adr&gt;CARIM - School for Cardiovascular Diseases, Maastricht University, Maastricht, The  Netherlands.; Department of Medical and Surgical Sciences, University of Bologna, Bologna, Italy.; Federation University Australia, School of Health and Life Sciences, Ballarat.; Department of Physiology, University of Melbourne, Melbourne, Australia.; Department of Cardiovascular Sciences, University of Leicester, Leicester, UK.; University of British Columbia.; Center for Health Evaluation and Outcomes Sciences, Vancouver, Canada.; Imperial Clinical Trials Unit, Imperial College London, UK.; Public Health Foundation of India.; Centre for Chronic Disease Control, New Delhi, India.; London School of Hygiene and Tropical Medicine, UK.; Hypertension and Metabolic Unit, University Hospital, Favaloro Foundation, Buenos  Aires, Argentina.; Dobney Hypertension Centre, School of Medicine, Royal Perth Hospital Unit,  University of Western Australia, Perth.; Neurovascular Hypertension &amp;amp; Kidney Disease Laboratory, Baker Heart and Diabetes  Institute, Melbourne, Victoria, Australia.; Hypertension Center STRIDE-7, School of Medicine, Third Department of Medicine,  Sotiria Hospital, National and Kapodistrian University of Athens, Athens, Greece.; Division of Cardiovascular Sciences, Faculty of Medicine, Biology and Health,  University of Manchester.; Division of Medicine and Manchester Academic Health Science Centre, Manchester  University NHS Foundation Trust Manchester, Manchester, UK.; Department of Pharmacology and Experimental Therapeutics, Boston University School  of Medicine, Boston.; The Whitaker Cardiovascular Institute, Boston University.; Department of Health Sciences, Boston University Sargent College, Boston,  Massachusetts, USA.; University College London, NHR University College London, Hospitals Biomedical  Research Centre, London, UK.; Faculty of Medicine, University of New South Wales, The George Institute for Global  Health, Sydney, Australia.; Hypertension in Africa Research Team, South African MRC Unit for Hypertension and  Cardiovascular Disease, North-West University, Potchefstroom, South Africa.&lt;/_author_adr&gt;&lt;_date_display&gt;2020 Jun&lt;/_date_display&gt;&lt;_date&gt;2020-06-01&lt;/_date&gt;&lt;_doi&gt;10.1097/HJH.0000000000002453&lt;/_doi&gt;&lt;_isbn&gt;1473-5598 (Electronic); 0263-6352 (Linking)&lt;/_isbn&gt;&lt;_issue&gt;6&lt;/_issue&gt;&lt;_journal&gt;J Hypertens&lt;/_journal&gt;&lt;_language&gt;eng&lt;/_language&gt;&lt;_pages&gt;982-1004&lt;/_pages&gt;&lt;_tertiary_title&gt;Journal of hypertension&lt;/_tertiary_title&gt;&lt;_type_work&gt;Journal Article&lt;/_type_work&gt;&lt;_url&gt;http://www.ncbi.nlm.nih.gov/entrez/query.fcgi?cmd=Retrieve&amp;amp;db=pubmed&amp;amp;dopt=Abstract&amp;amp;list_uids=32371787&amp;amp;query_hl=1&lt;/_url&gt;&lt;_volume&gt;38&lt;/_volume&gt;&lt;_created&gt;63426944&lt;/_created&gt;&lt;_modified&gt;63426944&lt;/_modified&gt;&lt;_impact_factor&gt;   4.171&lt;/_impact_factor&gt;&lt;_collection_scope&gt;SCI;SCIE&lt;/_collection_scope&gt;&lt;/Details&gt;&lt;Extra&gt;&lt;DBUID&gt;{749A27AD-B5E1-4ED6-ABD8-A7B8F16E1CAE}&lt;/DBUID&gt;&lt;/Extra&gt;&lt;/Item&gt;&lt;/References&gt;&lt;/Group&gt;&lt;/Citation&gt;_x000a_"/>
    <w:docVar w:name="NE.Ref{E44E49EE-521D-408A-9700-DC11F4116553}" w:val=" ADDIN NE.Ref.{E44E49EE-521D-408A-9700-DC11F4116553}&lt;Citation&gt;&lt;Group&gt;&lt;References&gt;&lt;Item&gt;&lt;ID&gt;125&lt;/ID&gt;&lt;UID&gt;{FF0C285F-35AA-46E5-A480-4E0829379853}&lt;/UID&gt;&lt;Title&gt;Blood pressure and volume management in dialysis: conclusions from a Kidney Disease:  Improving Global Outcomes (KDIGO) Controversies Conference&lt;/Title&gt;&lt;Template&gt;Journal Article&lt;/Template&gt;&lt;Star&gt;0&lt;/Star&gt;&lt;Tag&gt;0&lt;/Tag&gt;&lt;Author&gt;Flythe, J E; Chang, T I; Gallagher, M P; Lindley, E; Madero, M; Sarafidis, P A; Unruh, M L; Wang, A Y; Weiner, D E; Cheung, M; Jadoul, M; Winkelmayer, W C; Polkinghorne, K R&lt;/Author&gt;&lt;Year&gt;2020&lt;/Year&gt;&lt;Details&gt;&lt;_accessed&gt;63791433&lt;/_accessed&gt;&lt;_accession_num&gt;32278617&lt;/_accession_num&gt;&lt;_author_adr&gt;University of North Carolina Kidney Center, Division of Nephrology and Hypertension,  Department of Medicine, UNC School of Medicine, Chapel Hill, North Carolina, USA;  Cecil G. Sheps Center for Health Services Research, University of North Carolina,  Chapel Hill, North Carolina, USA. Electronic address: jflythe@med.unc.edu.; Division of Nephrology, Stanford University School of Medicine, Palo Alto,  California, USA.; George Institute for Global Health, Renal and Metabolic Division, Camperdown,  Australia; Concord Repatriation General Hospital, Department of Renal Medicine,  Sydney, Australia.; Department of Renal Medicine, Leeds Teaching Hospitals NHS Trust, Leeds, UK.; Department of Medicine, Division of Nephrology, National Institute of Cardiology  &amp;quot;Ignacio Chávez&amp;quot;, Mexico City, Mexico.; Department of Nephrology, Hippokration Hospital, Aristotle University of  Thessaloniki, Thessaloniki, Greece.; Department of Internal Medicine, University of New Mexico School of Medicine,  Albuquerque, New Mexico, USA.; Department of Medicine, Queen Mary Hospital, University of Hong Kong, Hong Kong,  China.; William B. Schwartz Division of Nephrology, Tufts Medical Center, Boston,  Massachusetts, USA.; KDIGO, Brussels, Belgium.; Department of Nephrology, Cliniques universitaires Saint-Luc, Université catholique  de Louvain, Brussels, Belgium.; Selzman Institute for Kidney Health, Section of Nephrology, Department of Medicine,  Baylor College of Medicine, Houston, Texas, USA.; Department of Nephrology, Monash Health, Clayton, Melbourne, Australia; Department  of Medicine, Monash University, Clayton, Melbourne, Australia; Department of  Epidemiology and Preventive Medicine, Monash University, Prahan, Melbourne,  Australia. Electronic address: kevan.polkinghorne@monash.edu.&lt;/_author_adr&gt;&lt;_collection_scope&gt;SCI;SCIE&lt;/_collection_scope&gt;&lt;_created&gt;63468683&lt;/_created&gt;&lt;_date&gt;2020-05-01&lt;/_date&gt;&lt;_date_display&gt;2020 May&lt;/_date_display&gt;&lt;_doi&gt;10.1016/j.kint.2020.01.046&lt;/_doi&gt;&lt;_impact_factor&gt;   8.945&lt;/_impact_factor&gt;&lt;_isbn&gt;1523-1755 (Electronic); 0085-2538 (Print); 0085-2538 (Linking)&lt;/_isbn&gt;&lt;_issue&gt;5&lt;/_issue&gt;&lt;_journal&gt;Kidney Int&lt;/_journal&gt;&lt;_keywords&gt;hemodialysis; patient-reported outcome measures; peritoneal dialysis; quality of life; residual kidney function&lt;/_keywords&gt;&lt;_language&gt;eng&lt;/_language&gt;&lt;_modified&gt;63791433&lt;/_modified&gt;&lt;_ori_publication&gt;Copyright © 2020 International Society of Nephrology. Published by Elsevier Inc. All _x000d__x000a_      rights reserved.&lt;/_ori_publication&gt;&lt;_pages&gt;861-876&lt;/_pages&gt;&lt;_tertiary_title&gt;Kidney international&lt;/_tertiary_title&gt;&lt;_type_work&gt;Practice Guideline&lt;/_type_work&gt;&lt;_url&gt;http://www.ncbi.nlm.nih.gov/entrez/query.fcgi?cmd=Retrieve&amp;amp;db=pubmed&amp;amp;dopt=Abstract&amp;amp;list_uids=32278617&amp;amp;query_hl=1&lt;/_url&gt;&lt;_volume&gt;97&lt;/_volume&gt;&lt;/Details&gt;&lt;Extra&gt;&lt;DBUID&gt;{749A27AD-B5E1-4ED6-ABD8-A7B8F16E1CAE}&lt;/DBUID&gt;&lt;/Extra&gt;&lt;/Item&gt;&lt;/References&gt;&lt;/Group&gt;&lt;/Citation&gt;_x000a_"/>
    <w:docVar w:name="NE.Ref{E5CF98CE-E575-4802-8C59-566C212F398C}" w:val=" ADDIN NE.Ref.{E5CF98CE-E575-4802-8C59-566C212F398C}&lt;Citation&gt;&lt;Group&gt;&lt;References&gt;&lt;Item&gt;&lt;ID&gt;142&lt;/ID&gt;&lt;UID&gt;{9D3276F2-5FF4-44B6-A130-16C1F6EE4FC9}&lt;/UID&gt;&lt;Title&gt;BP in Dialysis: Results of a Pilot Study&lt;/Title&gt;&lt;Template&gt;Journal Article&lt;/Template&gt;&lt;Star&gt;0&lt;/Star&gt;&lt;Tag&gt;0&lt;/Tag&gt;&lt;Author&gt;Miskulin, Dana C; Gassman, Jennifer; Schrader, Ronald; Gul, Ambreen; Jhamb, Manisha; Ploth, David W; Negrea, Lavinia; Kwong, Raymond Y; Levey, Andrew S; Singh, Ajay K&lt;/Author&gt;&lt;Year&gt;2018&lt;/Year&gt;&lt;Details&gt;&lt;_journal&gt;Journal of the American Society of Nephrology Jasn&lt;/_journal&gt;&lt;_pages&gt;ASN.2017020135&lt;/_pages&gt;&lt;_created&gt;63468952&lt;/_created&gt;&lt;_modified&gt;63468952&lt;/_modified&gt;&lt;/Details&gt;&lt;Extra&gt;&lt;DBUID&gt;{749A27AD-B5E1-4ED6-ABD8-A7B8F16E1CAE}&lt;/DBUID&gt;&lt;/Extra&gt;&lt;/Item&gt;&lt;/References&gt;&lt;/Group&gt;&lt;/Citation&gt;_x000a_"/>
    <w:docVar w:name="NE.Ref{E5E63F91-D3C5-4E30-B8EB-7C5A741226B6}" w:val=" ADDIN NE.Ref.{E5E63F91-D3C5-4E30-B8EB-7C5A741226B6}&lt;Citation&gt;&lt;Group&gt;&lt;References&gt;&lt;Item&gt;&lt;ID&gt;106&lt;/ID&gt;&lt;UID&gt;{E67BEE87-2890-48A2-B9A0-04CC2637234B}&lt;/UID&gt;&lt;Title&gt;Metabolic effects of carvedilol vs metoprolol in patients with type 2 diabetes mellitus and hypertension: a randomized controlled trial.&lt;/Title&gt;&lt;Template&gt;Journal Article&lt;/Template&gt;&lt;Star&gt;0&lt;/Star&gt;&lt;Tag&gt;0&lt;/Tag&gt;&lt;Author&gt;Bakris, G L; Fonseca, V; Katholi, R L&lt;/Author&gt;&lt;Year&gt;2005&lt;/Year&gt;&lt;Details&gt;&lt;_issue&gt;2&lt;/_issue&gt;&lt;_journal&gt;Jama&lt;/_journal&gt;&lt;_pages&gt;20&lt;/_pages&gt;&lt;_volume&gt;14&lt;/_volume&gt;&lt;_created&gt;63434383&lt;/_created&gt;&lt;_modified&gt;63434383&lt;/_modified&gt;&lt;/Details&gt;&lt;Extra&gt;&lt;DBUID&gt;{749A27AD-B5E1-4ED6-ABD8-A7B8F16E1CAE}&lt;/DBUID&gt;&lt;/Extra&gt;&lt;/Item&gt;&lt;/References&gt;&lt;/Group&gt;&lt;/Citation&gt;_x000a_"/>
    <w:docVar w:name="NE.Ref{E68755CB-09CC-4E14-93B3-88B46C85BA6F}" w:val=" ADDIN NE.Ref.{E68755CB-09CC-4E14-93B3-88B46C85BA6F}&lt;Citation&gt;&lt;Group&gt;&lt;References&gt;&lt;Item&gt;&lt;ID&gt;86&lt;/ID&gt;&lt;UID&gt;{E2B86A7C-1D2C-48A8-8B75-9FF5ACEFFB4B}&lt;/UID&gt;&lt;Title&gt;2017 ACC/AHA/AAPA/ABC/ACPM/AGS/APhA/ASH/ASPC/NMA/PCNA Guideline for the Prevention,  Detection, Evaluation, and Management of High Blood Pressure in Adults: Executive  Summary: A Report of the American College of Cardiology/American Heart Association  Task Force on Clinical Practice Guidelines&lt;/Title&gt;&lt;Template&gt;Journal Article&lt;/Template&gt;&lt;Star&gt;0&lt;/Star&gt;&lt;Tag&gt;0&lt;/Tag&gt;&lt;Author&gt;Whelton, P K; Carey, R M; Aronow, W S; Casey, DE Jr; Collins, K J; Dennison, Himmelfarb C; DePalma, S M; Gidding, S; Jamerson, K A; Jones, D W; MacLaughlin, E J; Muntner, P; Ovbiagele, B; Smith, SC Jr; Spencer, C C; Stafford, R S; Taler, S J; Thomas, R J; Williams, KA Sr; Williamson, J D; Wright, JT Jr&lt;/Author&gt;&lt;Year&gt;2018&lt;/Year&gt;&lt;Details&gt;&lt;_accession_num&gt;30354655&lt;/_accession_num&gt;&lt;_author_adr&gt;American Society for Preventive Cardiology Representative. †ACC/AHA Representative.  ‡Lay Volunteer/Patient Representative. §Preventive Cardiovascular Nurses Association  Representative. ‖American Academy of Physician Assistants Representative. ¶Task  Force Liaison. #Association of Black Cardiologists Representative. **American  Pharmacists Association Representative. ††ACC/AHA Prevention Subcommittee Liaison.  ‡‡American College of Preventive Medicine Representative. §§American Society of  Hypertension Representative. ‖‖Task Force on Performance Measures Liaison.  ¶¶American Geriatrics Society Representative. ##National Medical Association  Representative.; American Society for Preventive Cardiology Representative. †ACC/AHA Representative.  ‡Lay Volunteer/Patient Representative. §Preventive Cardiovascular Nurses Association  Representative. ‖American Academy of Physician Assistants Representative. ¶Task  Force Liaison. #Association of Black Cardiologists Representative. **American  Pharmacists Association Representative. ††ACC/AHA Prevention Subcommittee Liaison.  ‡‡American College of Preventive Medicine Representative. §§American Society of  Hypertension Representative. ‖‖Task Force on Performance Measures Liaison.  ¶¶American Geriatrics Society Representative. ##National Medical Association  Representative.; American Society for Preventive Cardiology Representative. †ACC/AHA Representative.  ‡Lay Volunteer/Patient Representative. §Preventive Cardiovascular Nurses Association  Representative. ‖American Academy of Physician Assistants Representative. ¶Task  Force Liaison. #Association of Black Cardiologists Representative. **American  Pharmacists Association Representative. ††ACC/AHA Prevention Subcommittee Liaison.  ‡‡American College of Preventive Medicine Representative. §§American Society of  Hypertension Representative. ‖‖Task Force on Performance Measures Liaison.  ¶¶American Geriatrics Society Representative. ##National Medical Association  Representative.; American Society for Preventive Cardiology Representative. †ACC/AHA Representative.  ‡Lay Volunteer/Patient Representative. §Preventive Cardiovascular Nurses Association  Representative. ‖American Academy of Physician Assistants Representative. ¶Task  Force Liaison. #Association of Black Cardiologists Representative. **American  Pharmacists Association Representative. ††ACC/AHA Prevention Subcommittee Liaison.  ‡‡American College of Preventive Medicine Representative. §§American Society of  Hypertension Representative. ‖‖Task Force on Performance Measures Liaison.  ¶¶American Geriatrics Society Representative. ##National Medical Association  Representative.; American Society for Preventive Cardiology Representative. †ACC/AHA Representative.  ‡Lay Volunteer/Patient Representative. §Preventive Cardiovascular Nurses Association  Representative. ‖American Academy of Physician Assistants Representative. ¶Task  Force Liaison. #Association of Black Cardiologists Representative. **American  Pharmacists Association Representative. ††ACC/AHA Prevention Subcommittee Liaison.  ‡‡American College of Preventive Medicine Representative. §§American Society of  Hypertension Representative. ‖‖Task Force on Performance Measures Liaison.  ¶¶American Geriatrics Society Representative. ##National Medical Association  Representative.; American Society for Preventive Cardiology Representative. †ACC/AHA Representative.  ‡Lay Volunteer/Patient Representative. §Preventive Cardiovascular Nurses Association  Representative. ‖American Academy of Physician Assistants Representative. ¶Task  Force Liaison. #Association of Black Cardiologists Representative. **American  Pharmacists Association Representative. ††ACC/AHA Prevention Subcommittee Liaison.  ‡‡American College of Preventive Medicine Representative. §§American Society of  Hypertension Representative. ‖‖Task Force on Performance Measures Liaison.  ¶¶American Geriatrics Society Representative. ##National Medical Association  Representative.; American Society for Preventive Cardiology Representative. †ACC/AHA Representative.  ‡Lay Volunteer/Patient Representative. §Preventive Cardiovascular Nurses Association  Representative. ‖American Academy of Physician Assistants Representative. ¶Task  Force Liaison. #Association of Black Cardiologists Representative. **American  Pharmacists Association Representative. ††ACC/AHA Prevention Subcommittee Liaison.  ‡‡American College of Preventive Medicine Representative. §§American Society of  Hypertension Representative. ‖‖Task Force on Performance Measures Liaison.  ¶¶American Geriatrics Society Representative. ##National Medical Association  Representative.; American Society for Preventive Cardiology Representative. †ACC/AHA Representative.  ‡Lay Volunteer/Patient Representative. §Preventive Cardiovascular Nurses Association  Representative. ‖American Academy of Physician Assistants Representative. ¶Task  Force Liaison. #Association of Black Cardiologists Representative. **American  Pharmacists Association Representative. ††ACC/AHA Prevention Subcommittee Liaison.  ‡‡American College of Preventive Medicine Representative. §§American Society of  Hypertension Representative. ‖‖Task Force on Performance Measures Liaison.  ¶¶American Geriatrics Society Representative. ##National Medical Association  Representative.; American Society for Preventive Cardiology Representative. †ACC/AHA Representative.  ‡Lay Volunteer/Patient Representative. §Preventive Cardiovascular Nurses Association  Representative. ‖American Academy of Physician Assistants Representative. ¶Task  Force Liaison. #Association of Black Cardiologists Representative. **American  Pharmacists Association Representative. ††ACC/AHA Prevention Subcommittee Liaison.  ‡‡American College of Preventive Medicine Representative. §§American Society of  Hypertension Representative. ‖‖Task Force on Performance Measures Liaison.  ¶¶American Geriatrics Society Representative. ##National Medical Association  Representative.; American Society for Preventive Cardiology Representative. †ACC/AHA Representative.  ‡Lay Volunteer/Patient Representative. §Preventive Cardiovascular Nurses Association  Representative. ‖American Academy of Physician Assistants Representative. ¶Task  Force Liaison. #Association of Black Cardiologists Representative. **American  Pharmacists Association Representative. ††ACC/AHA Prevention Subcommittee Liaison.  ‡‡American College of Preventive Medicine Representative. §§American Society of  Hypertension Representative. ‖‖Task Force on Performance Measures Liaison.  ¶¶American Geriatrics Society Representative. ##National Medical Association  Representative.; American Society for Preventive Cardiology Representative. †ACC/AHA Representative.  ‡Lay Volunteer/Patient Representative. §Preventive Cardiovascular Nurses Association  Representative. ‖American Academy of Physician Assistants Representative. ¶Task  Force Liaison. #Association of Black Cardiologists Representative. **American  Pharmacists Association Representative. ††ACC/AHA Prevention Subcommittee Liaison.  ‡‡American College of Preventive Medicine Representative. §§American Society of  Hypertension Representative. ‖‖Task Force on Performance Measures Liaison.  ¶¶American Geriatrics Society Representative. ##National Medical Association  Representative.; American Society for Preventive Cardiology Representative. †ACC/AHA Representative.  ‡Lay Volunteer/Patient Representative. §Preventive Cardiovascular Nurses Association  Representative. ‖American Academy of Physician Assistants Representative. ¶Task  Force Liaison. #Association of Black Cardiologists Representative. **American  Pharmacists Association Representative. ††ACC/AHA Prevention Subcommittee Liaison.  ‡‡American College of Preventive Medicine Representative. §§American Society of  Hypertension Representative. ‖‖Task Force on Performance Measures Liaison.  ¶¶American Geriatrics Society Representative. ##National Medical Association  Representative.; American Society for Preventive Cardiology Representative. †ACC/AHA Representative.  ‡Lay Volunteer/Patient Representative. §Preventive Cardiovascular Nurses Association  Representative. ‖American Academy of Physician Assistants Representative. ¶Task  Force Liaison. #Association of Black Cardiologists Representative. **American  Pharmacists Association Representative. ††ACC/AHA Prevention Subcommittee Liaison.  ‡‡American College of Preventive Medicine Representative. §§American Society of  Hypertension Representative. ‖‖Task Force on Performance Measures Liaison.  ¶¶American Geriatrics Society Representative. ##National Medical Association  Representative.; American Society for Preventive Cardiology Representative. †ACC/AHA Representative.  ‡Lay Volunteer/Patient Representative. §Preventive Cardiovascular Nurses Association  Representative. ‖American Academy of Physician Assistants Representative. ¶Task  Force Liaison. #Association of Black Cardiologists Representative. **American  Pharmacists Association Representative. ††ACC/AHA Prevention Subcommittee Liaison.  ‡‡American College of Preventive Medicine Representative. §§American Society of  Hypertension Representative. ‖‖Task Force on Performance Measures Liaison.  ¶¶American Geriatrics Society Representative. ##National Medical Association  Representative.; American Society for Preventive Cardiology Representative. †ACC/AHA Representative.  ‡Lay Volunteer/Patient Representative. §Preventive Cardiovascular Nurses Association  Representative. ‖American Academy of Physician Assistants Representative. ¶Task  Force Liaison. #Association of Black Cardiologists Representative. **American  Pharmacists Association Representative. ††ACC/AHA Prevention Subcommittee Liaison.  ‡‡American College of Preventive Medicine Representative. §§American Society of  Hypertension Representative. ‖‖Task Force on Performance Measures Liaison.  ¶¶American Geriatrics Society Representative. ##National Medical Association  Representative.; American Society for Preventive Cardiology Representative. †ACC/AHA Representative.  ‡Lay Volunteer/Patient Representative. §Preventive Cardiovascular Nurses Association  Representative. ‖American Academy of Physician Assistants Representative. ¶Task  Force Liaison. #Association of Black Cardiologists Representative. **American  Pharmacists Association Representative. ††ACC/AHA Prevention Subcommittee Liaison.  ‡‡American College of Preventive Medicine Representative. §§American Society of  Hypertension Representative. ‖‖Task Force on Performance Measures Liaison.  ¶¶American Geriatrics Society Representative. ##National Medical Association  Representative.; American Society for Preventive Cardiology Representative. †ACC/AHA Representative.  ‡Lay Volunteer/Patient Representative. §Preventive Cardiovascular Nurses Association  Representative. ‖American Academy of Physician Assistants Representative. ¶Task  Force Liaison. #Association of Black Cardiologists Representative. **American  Pharmacists Association Representative. ††ACC/AHA Prevention Subcommittee Liaison.  ‡‡American College of Preventive Medicine Representative. §§American Society of  Hypertension Representative. ‖‖Task Force on Performance Measures Liaison.  ¶¶American Geriatrics Society Representative. ##National Medical Association  Representative.; American Society for Preventive Cardiology Representative. †ACC/AHA Representative.  ‡Lay Volunteer/Patient Representative. §Preventive Cardiovascular Nurses Association  Representative. ‖American Academy of Physician Assistants Representative. ¶Task  Force Liaison. #Association of Black Cardiologists Representative. **American  Pharmacists Association Representative. ††ACC/AHA Prevention Subcommittee Liaison.  ‡‡American College of Preventive Medicine Representative. §§American Society of  Hypertension Representative. ‖‖Task Force on Performance Measures Liaison.  ¶¶American Geriatrics Society Representative. ##National Medical Association  Representative.; American Society for Preventive Cardiology Representative. †ACC/AHA Representative.  ‡Lay Volunteer/Patient Representative. §Preventive Cardiovascular Nurses Association  Representative. ‖American Academy of Physician Assistants Representative. ¶Task  Force Liaison. #Association of Black Cardiologists Representative. **American  Pharmacists Association Representative. ††ACC/AHA Prevention Subcommittee Liaison.  ‡‡American College of Preventive Medicine Representative. §§American Society of  Hypertension Representative. ‖‖Task Force on Performance Measures Liaison.  ¶¶American Geriatrics Society Representative. ##National Medical Association  Representative.; American Society for Preventive Cardiology Representative. †ACC/AHA Representative.  ‡Lay Volunteer/Patient Representative. §Preventive Cardiovascular Nurses Association  Representative. ‖American Academy of Physician Assistants Representative. ¶Task  Force Liaison. #Association of Black Cardiologists Representative. **American  Pharmacists Association Representative. ††ACC/AHA Prevention Subcommittee Liaison.  ‡‡American College of Preventive Medicine Representative. §§American Society of  Hypertension Representative. ‖‖Task Force on Performance Measures Liaison.  ¶¶American Geriatrics Society Representative. ##National Medical Association  Representative.; American Society for Preventive Cardiology Representative. †ACC/AHA Representative.  ‡Lay Volunteer/Patient Representative. §Preventive Cardiovascular Nurses Association  Representative. ‖American Academy of Physician Assistants Representative. ¶Task  Force Liaison. #Association of Black Cardiologists Representative. **American  Pharmacists Association Representative. ††ACC/AHA Prevention Subcommittee Liaison.  ‡‡American College of Preventive Medicine Representative. §§American Society of  Hypertension Representative. ‖‖Task Force on Performance Measures Liaison.  ¶¶American Geriatrics Society Representative. ##National Medical Association  Representative.&lt;/_author_adr&gt;&lt;_collection_scope&gt;SCI;SCIE&lt;/_collection_scope&gt;&lt;_created&gt;63426840&lt;/_created&gt;&lt;_date&gt;2018-10-23&lt;/_date&gt;&lt;_date_display&gt;2018 Oct 23&lt;/_date_display&gt;&lt;_doi&gt;10.1161/CIR.0000000000000597&lt;/_doi&gt;&lt;_impact_factor&gt;  23.603&lt;/_impact_factor&gt;&lt;_isbn&gt;1524-4539 (Electronic); 0009-7322 (Linking)&lt;/_isbn&gt;&lt;_issue&gt;17&lt;/_issue&gt;&lt;_journal&gt;Circulation&lt;/_journal&gt;&lt;_keywords&gt;*AHA Scientific Statements; *ambulatory care; *antihypertensive agents; *behavior modification; *blood pressure; *chronic kidney disease; *diabetes; *hypertension; *hypertension emergency; *lifestyle measures; *measurement; *nonpharmacologic treatment; *resistant hypertension; *risk reduction; *secondary hypertension; *systems of care; *treatment adherence; *treatment outcomes&lt;/_keywords&gt;&lt;_language&gt;eng&lt;/_language&gt;&lt;_modified&gt;63426840&lt;/_modified&gt;&lt;_pages&gt;e426-e483&lt;/_pages&gt;&lt;_subject_headings&gt;Aged; American Heart Association; Antihypertensive Agents/adverse effects/*therapeutic use; Blood Pressure/*drug effects; Cardiology/*standards; Comorbidity; Consensus; Evidence-Based Medicine/standards; Female; Humans; Hypertension/diagnosis/*drug therapy/epidemiology/physiopathology; Male; Middle Aged; Risk Factors; Treatment Outcome; United States&lt;/_subject_headings&gt;&lt;_tertiary_title&gt;Circulation&lt;/_tertiary_title&gt;&lt;_type_work&gt;Journal Article; Practice Guideline; Systematic Review&lt;/_type_work&gt;&lt;_url&gt;http://www.ncbi.nlm.nih.gov/entrez/query.fcgi?cmd=Retrieve&amp;amp;db=pubmed&amp;amp;dopt=Abstract&amp;amp;list_uids=30354655&amp;amp;query_hl=1&lt;/_url&gt;&lt;_volume&gt;138&lt;/_volume&gt;&lt;/Details&gt;&lt;Extra&gt;&lt;DBUID&gt;{749A27AD-B5E1-4ED6-ABD8-A7B8F16E1CAE}&lt;/DBUID&gt;&lt;/Extra&gt;&lt;/Item&gt;&lt;/References&gt;&lt;/Group&gt;&lt;/Citation&gt;_x000a_"/>
    <w:docVar w:name="NE.Ref{E8C8C669-8B02-482D-8FC3-993740FD1F11}" w:val=" ADDIN NE.Ref.{E8C8C669-8B02-482D-8FC3-993740FD1F11}&lt;Citation&gt;&lt;Group&gt;&lt;References&gt;&lt;Item&gt;&lt;ID&gt;113&lt;/ID&gt;&lt;UID&gt;{44CBC28C-194A-4BBD-A8E9-265C4DF21214}&lt;/UID&gt;&lt;Title&gt;Renoprotective effect of renin-angiotensin-aldosterone system blockade in patients  with predialysis advanced chronic kidney disease, hypertension, and anemia&lt;/Title&gt;&lt;Template&gt;Journal Article&lt;/Template&gt;&lt;Star&gt;0&lt;/Star&gt;&lt;Tag&gt;0&lt;/Tag&gt;&lt;Author&gt;Hsu, T W; Liu, J S; Hung, S C; Kuo, K L; Chang, Y K; Chen, Y C; Hsu, C C; Tarng, D C&lt;/Author&gt;&lt;Year&gt;2014&lt;/Year&gt;&lt;Details&gt;&lt;_accession_num&gt;24343093&lt;/_accession_num&gt;&lt;_author_adr&gt;Division of Nephrology, Department of Internal Medicine, National Yang-Ming  University Hospital, Ilan City, Taiwan.; Division of Geriatrics and Gerontology, Institute of Population Health Sciences,  National Health Research Institutes, Zhunan, Taiwan.; Division of Nephrology, Buddhist Tzu Chi Hospital Taipei Branch, New Taipei, Taiwan.; Division of Nephrology, Buddhist Tzu Chi Hospital Taipei Branch, New Taipei, Taiwan.; Division of Geriatrics and Gerontology, Institute of Population Health Sciences,  National Health Research Institutes, Zhunan, Taiwan.; Department and Institute of Nursing, School of Nursing, National Yang-Ming  University, Taipei, Taiwan.; Division of Geriatrics and Gerontology, Institute of Population Health Sciences,  National Health Research Institutes, Zhunan, Taiwan5Department of Health Services  Administration, China Medical University and Hospital, Taichung, Taiwan.; Division of Nephrology, Department of Medicine, Taipei Veterans General Hospital,  Taipei, Taiwan7Institutes of Physiology and Clinical Medicine, National Yang-Ming  University, Taipei, Taiwan.&lt;/_author_adr&gt;&lt;_date_display&gt;2014 Mar&lt;/_date_display&gt;&lt;_date&gt;2014-03-01&lt;/_date&gt;&lt;_doi&gt;10.1001/jamainternmed.2013.12700&lt;/_doi&gt;&lt;_isbn&gt;2168-6114 (Electronic); 2168-6106 (Linking)&lt;/_isbn&gt;&lt;_issue&gt;3&lt;/_issue&gt;&lt;_journal&gt;JAMA Intern Med&lt;/_journal&gt;&lt;_language&gt;eng&lt;/_language&gt;&lt;_pages&gt;347-54&lt;/_pages&gt;&lt;_subject_headings&gt;Aged; Anemia/complications/*drug therapy; Angiotensin Receptor Antagonists/pharmacology/*therapeutic use; Angiotensin-Converting Enzyme Inhibitors/pharmacology/*therapeutic use; Disease Progression; Female; Humans; Hypertension/complications/*drug therapy; Kidney/*drug effects; Male; Middle Aged; Prospective Studies; Renal Dialysis; Renal Insufficiency, Chronic/complications/*drug therapy/therapy; Renin-Angiotensin System/*drug effects; Risk Factors; Taiwan&lt;/_subject_headings&gt;&lt;_tertiary_title&gt;JAMA internal medicine&lt;/_tertiary_title&gt;&lt;_type_work&gt;Journal Article; Research Support, Non-U.S. Gov&amp;apos;t&lt;/_type_work&gt;&lt;_url&gt;http://www.ncbi.nlm.nih.gov/entrez/query.fcgi?cmd=Retrieve&amp;amp;db=pubmed&amp;amp;dopt=Abstract&amp;amp;list_uids=24343093&amp;amp;query_hl=1&lt;/_url&gt;&lt;_volume&gt;174&lt;/_volume&gt;&lt;_created&gt;63457236&lt;/_created&gt;&lt;_modified&gt;63457236&lt;/_modified&gt;&lt;_impact_factor&gt;  18.652&lt;/_impact_factor&gt;&lt;_collection_scope&gt;SCI;SCIE&lt;/_collection_scope&gt;&lt;/Details&gt;&lt;Extra&gt;&lt;DBUID&gt;{749A27AD-B5E1-4ED6-ABD8-A7B8F16E1CAE}&lt;/DBUID&gt;&lt;/Extra&gt;&lt;/Item&gt;&lt;/References&gt;&lt;/Group&gt;&lt;/Citation&gt;_x000a_"/>
    <w:docVar w:name="NE.Ref{E8FD4279-C91B-4C5D-A08D-701C77D0EB23}" w:val=" ADDIN NE.Ref.{E8FD4279-C91B-4C5D-A08D-701C77D0EB23}&lt;Citation&gt;&lt;Group&gt;&lt;References&gt;&lt;Item&gt;&lt;ID&gt;135&lt;/ID&gt;&lt;UID&gt;{7B5F6439-DF05-477B-BF3F-14FABD14B4F5}&lt;/UID&gt;&lt;Title&gt;Chronobiology of arterial hypertension in hemodialysis patients: implications for  home blood pressure monitoring&lt;/Title&gt;&lt;Template&gt;Journal Article&lt;/Template&gt;&lt;Star&gt;0&lt;/Star&gt;&lt;Tag&gt;0&lt;/Tag&gt;&lt;Author&gt;Agarwal, R; Light, R P&lt;/Author&gt;&lt;Year&gt;2009&lt;/Year&gt;&lt;Details&gt;&lt;_accession_num&gt;19515473&lt;/_accession_num&gt;&lt;_author_adr&gt;Division of Nephrology, Richard L. Roudebush VA Medical Center, Indianapolis, IN,  USA. ragarwal@iupui.edu&lt;/_author_adr&gt;&lt;_collection_scope&gt;SCI;SCIE&lt;/_collection_scope&gt;&lt;_created&gt;63468907&lt;/_created&gt;&lt;_date&gt;2009-10-01&lt;/_date&gt;&lt;_date_display&gt;2009 Oct&lt;/_date_display&gt;&lt;_doi&gt;10.1053/j.ajkd.2009.03.018&lt;/_doi&gt;&lt;_impact_factor&gt;   6.618&lt;/_impact_factor&gt;&lt;_isbn&gt;1523-6838 (Electronic); 0272-6386 (Print); 0272-6386 (Linking)&lt;/_isbn&gt;&lt;_issue&gt;4&lt;/_issue&gt;&lt;_journal&gt;Am J Kidney Dis&lt;/_journal&gt;&lt;_language&gt;eng&lt;/_language&gt;&lt;_modified&gt;63468907&lt;/_modified&gt;&lt;_pages&gt;693-701&lt;/_pages&gt;&lt;_subject_headings&gt;Adult; African Americans/statistics &amp;amp; numerical data; Aged; Antihypertensive Agents/therapeutic use; *Blood Pressure; *Blood Pressure Monitoring, Ambulatory; *Circadian Rhythm; Female; Humans; Hypertension/ethnology/*physiopathology; Male; Middle Aged; Randomized Controlled Trials as Topic; *Renal Dialysis&lt;/_subject_headings&gt;&lt;_tertiary_title&gt;American journal of kidney diseases : the official journal of the National Kidney _x000d__x000a_      Foundation&lt;/_tertiary_title&gt;&lt;_type_work&gt;Comparative Study; Journal Article; Research Support, N.I.H., Extramural&lt;/_type_work&gt;&lt;_url&gt;http://www.ncbi.nlm.nih.gov/entrez/query.fcgi?cmd=Retrieve&amp;amp;db=pubmed&amp;amp;dopt=Abstract&amp;amp;list_uids=19515473&amp;amp;query_hl=1&lt;/_url&gt;&lt;_volume&gt;54&lt;/_volume&gt;&lt;/Details&gt;&lt;Extra&gt;&lt;DBUID&gt;{749A27AD-B5E1-4ED6-ABD8-A7B8F16E1CAE}&lt;/DBUID&gt;&lt;/Extra&gt;&lt;/Item&gt;&lt;/References&gt;&lt;/Group&gt;&lt;/Citation&gt;_x000a_"/>
    <w:docVar w:name="NE.Ref{EC753D2F-6F17-4C4B-A027-486730859546}" w:val=" ADDIN NE.Ref.{EC753D2F-6F17-4C4B-A027-486730859546}&lt;Citation&gt;&lt;Group&gt;&lt;References&gt;&lt;Item&gt;&lt;ID&gt;36&lt;/ID&gt;&lt;UID&gt;{425AC5C4-7851-493A-95EE-07492C316602}&lt;/UID&gt;&lt;Title&gt;Cardiorenal end points in a trial of aliskiren for type 2 diabetes&lt;/Title&gt;&lt;Template&gt;Journal Article&lt;/Template&gt;&lt;Star&gt;0&lt;/Star&gt;&lt;Tag&gt;0&lt;/Tag&gt;&lt;Author&gt;Parving, H H; Brenner, B M; McMurray, J J; de Zeeuw, D; Haffner, S M; Solomon, S D; Chaturvedi, N; Persson, F; Desai, A S; Nicolaides, M; Richard, A; Xiang, Z; Brunel, P; Pfeffer, M A&lt;/Author&gt;&lt;Year&gt;2012&lt;/Year&gt;&lt;Details&gt;&lt;_accession_num&gt;23121378&lt;/_accession_num&gt;&lt;_author_adr&gt;Department of Medical Endocrinology, Rigshospitalet, University of Copenhagen, Copenhagen, Denmark. hhparving@dadlnet.dk&lt;/_author_adr&gt;&lt;_date_display&gt;2012 Dec 6&lt;/_date_display&gt;&lt;_date&gt;2012-12-06&lt;/_date&gt;&lt;_doi&gt;10.1056/NEJMoa1208799&lt;/_doi&gt;&lt;_isbn&gt;1533-4406 (Electronic); 0028-4793 (Linking)&lt;/_isbn&gt;&lt;_issue&gt;23&lt;/_issue&gt;&lt;_journal&gt;N Engl J Med&lt;/_journal&gt;&lt;_language&gt;eng&lt;/_language&gt;&lt;_pages&gt;2204-13&lt;/_pages&gt;&lt;_subject_headings&gt;Aged; Amides/adverse effects/*therapeutic use; Angiotensin Receptor Antagonists/therapeutic use; Angiotensin-Converting Enzyme Inhibitors/therapeutic use; Antihypertensive Agents/adverse effects/*therapeutic use; Cardiovascular Diseases/epidemiology/mortality/*prevention &amp;amp; control; Diabetes Mellitus, Type 2/complications/*drug therapy; Double-Blind Method; Drug Therapy, Combination; Female; Follow-Up Studies; Fumarates/adverse effects/*therapeutic use; Humans; Hyperkalemia/chemically induced; Hypokalemia; Kidney Diseases/epidemiology/etiology/*prevention &amp;amp; control; Male; Middle Aged; Patient Dropouts; Renin/*antagonists &amp;amp; inhibitors; Treatment Failure&lt;/_subject_headings&gt;&lt;_tertiary_title&gt;The New England journal of medicine&lt;/_tertiary_title&gt;&lt;_type_work&gt;Journal Article; Randomized Controlled Trial; Research Support, Non-U.S. Gov&amp;apos;t&lt;/_type_work&gt;&lt;_url&gt;http://www.ncbi.nlm.nih.gov/entrez/query.fcgi?cmd=Retrieve&amp;amp;db=pubmed&amp;amp;dopt=Abstract&amp;amp;list_uids=23121378&amp;amp;query_hl=1&lt;/_url&gt;&lt;_volume&gt;367&lt;/_volume&gt;&lt;_created&gt;63405183&lt;/_created&gt;&lt;_modified&gt;63405184&lt;/_modified&gt;&lt;_db_updated&gt;PubMed&lt;/_db_updated&gt;&lt;_impact_factor&gt;  74.699&lt;/_impact_factor&gt;&lt;/Details&gt;&lt;Extra&gt;&lt;DBUID&gt;{749A27AD-B5E1-4ED6-ABD8-A7B8F16E1CAE}&lt;/DBUID&gt;&lt;/Extra&gt;&lt;/Item&gt;&lt;/References&gt;&lt;/Group&gt;&lt;Group&gt;&lt;References&gt;&lt;Item&gt;&lt;ID&gt;37&lt;/ID&gt;&lt;UID&gt;{2055BE55-DD74-4CA2-9E87-F071F33E36CB}&lt;/UID&gt;&lt;Title&gt;Aliskiren, Enalapril, or Aliskiren and Enalapril in Heart Failure.&lt;/Title&gt;&lt;Template&gt;Journal Article&lt;/Template&gt;&lt;Star&gt;0&lt;/Star&gt;&lt;Tag&gt;0&lt;/Tag&gt;&lt;Author&gt;Mcmurray, J J; Krum, H; Abraham, W T; Dickstein, K; M, Urina&lt;/Author&gt;&lt;Year&gt;2016&lt;/Year&gt;&lt;Details&gt;&lt;_issue&gt;16&lt;/_issue&gt;&lt;_journal&gt;New England Journal of Medicine&lt;/_journal&gt;&lt;_pages&gt;1521&lt;/_pages&gt;&lt;_volume&gt;374&lt;/_volume&gt;&lt;_created&gt;63405187&lt;/_created&gt;&lt;_modified&gt;63405187&lt;/_modified&gt;&lt;_impact_factor&gt;  74.699&lt;/_impact_factor&gt;&lt;_collection_scope&gt;SCI;SCIE&lt;/_collection_scope&gt;&lt;/Details&gt;&lt;Extra&gt;&lt;DBUID&gt;{749A27AD-B5E1-4ED6-ABD8-A7B8F16E1CAE}&lt;/DBUID&gt;&lt;/Extra&gt;&lt;/Item&gt;&lt;/References&gt;&lt;/Group&gt;&lt;/Citation&gt;_x000a_"/>
    <w:docVar w:name="NE.Ref{EE6DD62D-A9D4-4DE8-989C-09827DFF3F3F}" w:val=" ADDIN NE.Ref.{EE6DD62D-A9D4-4DE8-989C-09827DFF3F3F}&lt;Citation&gt;&lt;Group&gt;&lt;References&gt;&lt;Item&gt;&lt;ID&gt;147&lt;/ID&gt;&lt;UID&gt;{57B7B57A-FE01-4078-905D-CE261A9332BF}&lt;/UID&gt;&lt;Title&gt;Report of the American College of Obstetricians and Gynecologists&amp;apos; Task Force on Hypertension in Pregnancy&lt;/Title&gt;&lt;Template&gt;Journal Article&lt;/Template&gt;&lt;Star&gt;0&lt;/Star&gt;&lt;Tag&gt;0&lt;/Tag&gt;&lt;Author&gt;Obstetriciansgynecologists, American College Of; Pregnancy, Task Force On Hypertension&lt;/Author&gt;&lt;Year&gt;2013&lt;/Year&gt;&lt;Details&gt;&lt;_collection_scope&gt;SCI;SCIE&lt;/_collection_scope&gt;&lt;_created&gt;63469014&lt;/_created&gt;&lt;_impact_factor&gt;   5.524&lt;/_impact_factor&gt;&lt;_issue&gt;5&lt;/_issue&gt;&lt;_journal&gt;Obstetrics and Gynecology&lt;/_journal&gt;&lt;_modified&gt;63469014&lt;/_modified&gt;&lt;_pages&gt;1122-1131&lt;/_pages&gt;&lt;_volume&gt;122&lt;/_volume&gt;&lt;/Details&gt;&lt;Extra&gt;&lt;DBUID&gt;{749A27AD-B5E1-4ED6-ABD8-A7B8F16E1CAE}&lt;/DBUID&gt;&lt;/Extra&gt;&lt;/Item&gt;&lt;/References&gt;&lt;/Group&gt;&lt;Group&gt;&lt;References&gt;&lt;Item&gt;&lt;ID&gt;148&lt;/ID&gt;&lt;UID&gt;{DD680E8E-25FB-4F6A-94F4-6FE3FA787893}&lt;/UID&gt;&lt;Title&gt;Less-tight versus tight control of hypertension in pregnancy&lt;/Title&gt;&lt;Template&gt;Journal Article&lt;/Template&gt;&lt;Star&gt;0&lt;/Star&gt;&lt;Tag&gt;0&lt;/Tag&gt;&lt;Author&gt;Magee, L A; von Dadelszen, P; Rey, E; Ross, S; Asztalos, E; Murphy, K E; Menzies, J; Sanchez, J; Singer, J; Gafni, A; Gruslin, A; Helewa, M; Hutton, E; Lee, S K; Lee, T; Logan, A G; Ganzevoort, W; Welch, R; Thornton, J G; Moutquin, J M&lt;/Author&gt;&lt;Year&gt;2015&lt;/Year&gt;&lt;Details&gt;&lt;_accession_num&gt;25629739&lt;/_accession_num&gt;&lt;_author_adr&gt;From the Departments of Medicine (L.A.M.) and Obstetrics and Gynaecology (L.A.M.,  P.D., J.M.), the School of Population and Public Health (L.A.M., P.D., J. Singer),  and the Centre for Health Evaluation and Outcome Sciences, Providence Health Care  Research Institute (J. Singer, T.L.), University of British Columbia, Vancouver; the  Departments of Medicine and Obstetrics and Gynaecology, University of Montreal,  Montreal (E.R.); the Department of Obstetrics and Gynaecology, University of  Alberta, Edmonton (S.R.); the Departments of Obstetrics and Gynaecology (E.A.,  K.E.M.), Paediatrics (E.A., S.K.L.), and Medicine (A.G.L.) and the Centre for  Mother, Infant, and Child Research, Sunnybrook Research Institute (E.A., K.E.M., J.  Sanchez), University of Toronto, Toronto; the Departments of Clinical Epidemiology  and Biostatistics (A. Gafni) and Obstetrics and Gynaecology (E.H.), McMaster  University, Hamilton, ON; the Department of Obstetrics and Gynaecology, University  of Ottawa, Ottawa (A. Gruslin); the Department of Obstetrics and Gynaecology,  University of Manitoba, Winnipeg (M.H.); and the Department of Obstetrics and  Gynaecology, Université de Sherbrooke, Sherbrooke, QC (J.-M.M.) - all in Canada; the  Department of Obstetrics and Gynecology, University of Amsterdam, Amsterdam (W.G.);  and the Department of Obstetrics and Gynaecology, Derriford Hospital, Devon (R.W.),  and the Department of Obstetrics and Gynaecology, University of Nottingham,  Nottingham (J.G.T.) - both in the United Kingdom.&lt;/_author_adr&gt;&lt;_created&gt;63469015&lt;/_created&gt;&lt;_date&gt;2015-01-29&lt;/_date&gt;&lt;_date_display&gt;2015 Jan 29&lt;/_date_display&gt;&lt;_doi&gt;10.1056/NEJMoa1404595&lt;/_doi&gt;&lt;_impact_factor&gt;  74.699&lt;/_impact_factor&gt;&lt;_isbn&gt;1533-4406 (Electronic); 0028-4793 (Linking)&lt;/_isbn&gt;&lt;_issue&gt;5&lt;/_issue&gt;&lt;_journal&gt;N Engl J Med&lt;/_journal&gt;&lt;_language&gt;eng&lt;/_language&gt;&lt;_modified&gt;63469015&lt;/_modified&gt;&lt;_pages&gt;407-17&lt;/_pages&gt;&lt;_subject_headings&gt;Abortion, Spontaneous/etiology; Adult; Antihypertensive Agents/*administration &amp;amp; dosage; Blood Pressure/drug effects; Female; Humans; Hypertension, Pregnancy-Induced/*drug therapy; Infant, Newborn; Intensive Care, Neonatal/statistics &amp;amp; numerical data; Perinatal Death/etiology; Pregnancy; Pregnancy Complications/epidemiology/*etiology; *Pregnancy Outcome; Puerperal Disorders/etiology&lt;/_subject_headings&gt;&lt;_tertiary_title&gt;The New England journal of medicine&lt;/_tertiary_title&gt;&lt;_type_work&gt;Comparative Study; Journal Article; Multicenter Study; Randomized Controlled Trial; Research Support, Non-U.S. Gov&amp;apos;t&lt;/_type_work&gt;&lt;_url&gt;http://www.ncbi.nlm.nih.gov/entrez/query.fcgi?cmd=Retrieve&amp;amp;db=pubmed&amp;amp;dopt=Abstract&amp;amp;list_uids=25629739&amp;amp;query_hl=1&lt;/_url&gt;&lt;_volume&gt;372&lt;/_volume&gt;&lt;/Details&gt;&lt;Extra&gt;&lt;DBUID&gt;{749A27AD-B5E1-4ED6-ABD8-A7B8F16E1CAE}&lt;/DBUID&gt;&lt;/Extra&gt;&lt;/Item&gt;&lt;/References&gt;&lt;/Group&gt;&lt;/Citation&gt;_x000a_"/>
    <w:docVar w:name="NE.Ref{EEF3586A-EA33-4F58-B6CE-D4107D48B37B}" w:val=" ADDIN NE.Ref.{EEF3586A-EA33-4F58-B6CE-D4107D48B37B}&lt;Citation&gt;&lt;Group&gt;&lt;References&gt;&lt;Item&gt;&lt;ID&gt;161&lt;/ID&gt;&lt;UID&gt;{C09BFD29-C17B-4FD3-9B48-9D1A4CCC5379}&lt;/UID&gt;&lt;Title&gt; KDIGO clinical practice guideline on the management of blood pressure in chronic kidney disease（public review draft）&lt;/Title&gt;&lt;Template&gt;Journal Article&lt;/Template&gt;&lt;Star&gt;0&lt;/Star&gt;&lt;Tag&gt;0&lt;/Tag&gt;&lt;Author/&gt;&lt;Year&gt;2020&lt;/Year&gt;&lt;Details&gt;&lt;_created&gt;63495977&lt;/_created&gt;&lt;_modified&gt;63495991&lt;/_modified&gt;&lt;/Details&gt;&lt;Extra&gt;&lt;DBUID&gt;{749A27AD-B5E1-4ED6-ABD8-A7B8F16E1CAE}&lt;/DBUID&gt;&lt;/Extra&gt;&lt;/Item&gt;&lt;/References&gt;&lt;/Group&gt;&lt;/Citation&gt;_x000a_"/>
    <w:docVar w:name="NE.Ref{EFAA27C9-B33C-40CE-BB93-D9D762030B62}" w:val=" ADDIN NE.Ref.{EFAA27C9-B33C-40CE-BB93-D9D762030B62}&lt;Citation&gt;&lt;Group&gt;&lt;References&gt;&lt;Item&gt;&lt;ID&gt;144&lt;/ID&gt;&lt;UID&gt;{FA5BC6DC-562D-4A02-9518-A84241BE9D65}&lt;/UID&gt;&lt;Title&gt;EBPG guideline on dialysis strategies&lt;/Title&gt;&lt;Template&gt;Journal Article&lt;/Template&gt;&lt;Star&gt;0&lt;/Star&gt;&lt;Tag&gt;0&lt;/Tag&gt;&lt;Author&gt;James, Tattersall; Alejandro, Martin Malo; Luciano, Pedrini; Ali, Basci; Bernard, Canaud; Denis, Fouque; Patrick, Haage; Klaus, Konner; Jeroen, Kooman; Francesco, Pizzarelli&lt;/Author&gt;&lt;Year&gt;2007&lt;/Year&gt;&lt;Details&gt;&lt;_created&gt;63469002&lt;/_created&gt;&lt;_issue&gt;suppl_2&lt;/_issue&gt;&lt;_journal&gt;Nephrol Dial Transplant&lt;/_journal&gt;&lt;_modified&gt;63469002&lt;/_modified&gt;&lt;_pages&gt;5-21&lt;/_pages&gt;&lt;/Details&gt;&lt;Extra&gt;&lt;DBUID&gt;{749A27AD-B5E1-4ED6-ABD8-A7B8F16E1CAE}&lt;/DBUID&gt;&lt;/Extra&gt;&lt;/Item&gt;&lt;/References&gt;&lt;/Group&gt;&lt;/Citation&gt;_x000a_"/>
    <w:docVar w:name="NE.Ref{F09CF603-791B-47DF-BB70-34B82C97FA76}" w:val=" ADDIN NE.Ref.{F09CF603-791B-47DF-BB70-34B82C97FA76}&lt;Citation&gt;&lt;Group&gt;&lt;References&gt;&lt;Item&gt;&lt;ID&gt;125&lt;/ID&gt;&lt;UID&gt;{FF0C285F-35AA-46E5-A480-4E0829379853}&lt;/UID&gt;&lt;Title&gt;Blood pressure and volume management in dialysis: conclusions from a Kidney Disease:  Improving Global Outcomes (KDIGO) Controversies Conference&lt;/Title&gt;&lt;Template&gt;Journal Article&lt;/Template&gt;&lt;Star&gt;0&lt;/Star&gt;&lt;Tag&gt;0&lt;/Tag&gt;&lt;Author&gt;Flythe, J E; Chang, T I; Gallagher, M P; Lindley, E; Madero, M; Sarafidis, P A; Unruh, M L; Wang, A Y; Weiner, D E; Cheung, M; Jadoul, M; Winkelmayer, W C; Polkinghorne, K R&lt;/Author&gt;&lt;Year&gt;2020&lt;/Year&gt;&lt;Details&gt;&lt;_accessed&gt;63791433&lt;/_accessed&gt;&lt;_accession_num&gt;32278617&lt;/_accession_num&gt;&lt;_author_adr&gt;University of North Carolina Kidney Center, Division of Nephrology and Hypertension,  Department of Medicine, UNC School of Medicine, Chapel Hill, North Carolina, USA;  Cecil G. Sheps Center for Health Services Research, University of North Carolina,  Chapel Hill, North Carolina, USA. Electronic address: jflythe@med.unc.edu.; Division of Nephrology, Stanford University School of Medicine, Palo Alto,  California, USA.; George Institute for Global Health, Renal and Metabolic Division, Camperdown,  Australia; Concord Repatriation General Hospital, Department of Renal Medicine,  Sydney, Australia.; Department of Renal Medicine, Leeds Teaching Hospitals NHS Trust, Leeds, UK.; Department of Medicine, Division of Nephrology, National Institute of Cardiology  &amp;quot;Ignacio Chávez&amp;quot;, Mexico City, Mexico.; Department of Nephrology, Hippokration Hospital, Aristotle University of  Thessaloniki, Thessaloniki, Greece.; Department of Internal Medicine, University of New Mexico School of Medicine,  Albuquerque, New Mexico, USA.; Department of Medicine, Queen Mary Hospital, University of Hong Kong, Hong Kong,  China.; William B. Schwartz Division of Nephrology, Tufts Medical Center, Boston,  Massachusetts, USA.; KDIGO, Brussels, Belgium.; Department of Nephrology, Cliniques universitaires Saint-Luc, Université catholique  de Louvain, Brussels, Belgium.; Selzman Institute for Kidney Health, Section of Nephrology, Department of Medicine,  Baylor College of Medicine, Houston, Texas, USA.; Department of Nephrology, Monash Health, Clayton, Melbourne, Australia; Department  of Medicine, Monash University, Clayton, Melbourne, Australia; Department of  Epidemiology and Preventive Medicine, Monash University, Prahan, Melbourne,  Australia. Electronic address: kevan.polkinghorne@monash.edu.&lt;/_author_adr&gt;&lt;_collection_scope&gt;SCI;SCIE&lt;/_collection_scope&gt;&lt;_created&gt;63468683&lt;/_created&gt;&lt;_date&gt;2020-05-01&lt;/_date&gt;&lt;_date_display&gt;2020 May&lt;/_date_display&gt;&lt;_doi&gt;10.1016/j.kint.2020.01.046&lt;/_doi&gt;&lt;_impact_factor&gt;   8.945&lt;/_impact_factor&gt;&lt;_isbn&gt;1523-1755 (Electronic); 0085-2538 (Print); 0085-2538 (Linking)&lt;/_isbn&gt;&lt;_issue&gt;5&lt;/_issue&gt;&lt;_journal&gt;Kidney Int&lt;/_journal&gt;&lt;_keywords&gt;hemodialysis; patient-reported outcome measures; peritoneal dialysis; quality of life; residual kidney function&lt;/_keywords&gt;&lt;_language&gt;eng&lt;/_language&gt;&lt;_modified&gt;63791433&lt;/_modified&gt;&lt;_ori_publication&gt;Copyright © 2020 International Society of Nephrology. Published by Elsevier Inc. All _x000d__x000a_      rights reserved.&lt;/_ori_publication&gt;&lt;_pages&gt;861-876&lt;/_pages&gt;&lt;_tertiary_title&gt;Kidney international&lt;/_tertiary_title&gt;&lt;_type_work&gt;Practice Guideline&lt;/_type_work&gt;&lt;_url&gt;http://www.ncbi.nlm.nih.gov/entrez/query.fcgi?cmd=Retrieve&amp;amp;db=pubmed&amp;amp;dopt=Abstract&amp;amp;list_uids=32278617&amp;amp;query_hl=1&lt;/_url&gt;&lt;_volume&gt;97&lt;/_volume&gt;&lt;/Details&gt;&lt;Extra&gt;&lt;DBUID&gt;{749A27AD-B5E1-4ED6-ABD8-A7B8F16E1CAE}&lt;/DBUID&gt;&lt;/Extra&gt;&lt;/Item&gt;&lt;/References&gt;&lt;/Group&gt;&lt;/Citation&gt;_x000a_"/>
    <w:docVar w:name="NE.Ref{F15D5EC9-889A-4146-8789-73F2EFF188CE}" w:val=" ADDIN NE.Ref.{F15D5EC9-889A-4146-8789-73F2EFF188CE}&lt;Citation&gt;&lt;Group&gt;&lt;References&gt;&lt;Item&gt;&lt;ID&gt;136&lt;/ID&gt;&lt;UID&gt;{4AFCDDD0-58A0-4622-B0E3-727485E523AE}&lt;/UID&gt;&lt;Title&gt;Home blood pressure monitoring improves the diagnosis of hypertension in hemodialysis patients&lt;/Title&gt;&lt;Template&gt;Journal Article&lt;/Template&gt;&lt;Star&gt;0&lt;/Star&gt;&lt;Tag&gt;0&lt;/Tag&gt;&lt;Author&gt;Agarwal, R; Andersen, M J; Bishu, K; Saha, C&lt;/Author&gt;&lt;Year&gt;2006&lt;/Year&gt;&lt;Details&gt;&lt;_collection_scope&gt;SCI;SCIE&lt;/_collection_scope&gt;&lt;_created&gt;63468913&lt;/_created&gt;&lt;_impact_factor&gt;   8.945&lt;/_impact_factor&gt;&lt;_issue&gt;5&lt;/_issue&gt;&lt;_journal&gt;Kidney International&lt;/_journal&gt;&lt;_modified&gt;63468913&lt;/_modified&gt;&lt;_pages&gt;900-906&lt;/_pages&gt;&lt;_volume&gt;69&lt;/_volume&gt;&lt;/Details&gt;&lt;Extra&gt;&lt;DBUID&gt;{749A27AD-B5E1-4ED6-ABD8-A7B8F16E1CAE}&lt;/DBUID&gt;&lt;/Extra&gt;&lt;/Item&gt;&lt;/References&gt;&lt;/Group&gt;&lt;/Citation&gt;_x000a_"/>
    <w:docVar w:name="NE.Ref{F1C92621-3B50-44A1-A1C9-8F9054FEF7E5}" w:val=" ADDIN NE.Ref.{F1C92621-3B50-44A1-A1C9-8F9054FEF7E5}&lt;Citation&gt;&lt;Group&gt;&lt;References&gt;&lt;Item&gt;&lt;ID&gt;122&lt;/ID&gt;&lt;UID&gt;{E968CA93-2B70-49E8-AF3E-E43D66866703}&lt;/UID&gt;&lt;Title&gt;Drug therapy for hypertension in hemodialysis patients&lt;/Title&gt;&lt;Template&gt;Journal Article&lt;/Template&gt;&lt;Star&gt;0&lt;/Star&gt;&lt;Tag&gt;0&lt;/Tag&gt;&lt;Author&gt;Hörl, M P; Hörl, W H&lt;/Author&gt;&lt;Year&gt;2004&lt;/Year&gt;&lt;Details&gt;&lt;_accession_num&gt;15250920&lt;/_accession_num&gt;&lt;_author_adr&gt;University Hospital Benjamin Franklin, Free University Berlin, Germany.&lt;/_author_adr&gt;&lt;_date_display&gt;2004 Jul-Aug&lt;/_date_display&gt;&lt;_date&gt;2004-07-01&lt;/_date&gt;&lt;_doi&gt;10.1111/j.0894-0959.2004.17329.x&lt;/_doi&gt;&lt;_isbn&gt;0894-0959 (Print); 0894-0959 (Linking)&lt;/_isbn&gt;&lt;_issue&gt;4&lt;/_issue&gt;&lt;_journal&gt;Semin Dial&lt;/_journal&gt;&lt;_language&gt;eng&lt;/_language&gt;&lt;_pages&gt;288-94&lt;/_pages&gt;&lt;_subject_headings&gt;Adrenergic beta-Antagonists/adverse effects/therapeutic use; Angiotensin II; Angiotensin Receptor Antagonists; Angiotensin-Converting Enzyme Inhibitors/adverse effects/therapeutic use; Antihypertensive Agents/adverse effects/therapeutic use; Humans; Hypertension/*drug therapy; *Renal Dialysis&lt;/_subject_headings&gt;&lt;_tertiary_title&gt;Seminars in dialysis&lt;/_tertiary_title&gt;&lt;_type_work&gt;Journal Article; Review&lt;/_type_work&gt;&lt;_url&gt;http://www.ncbi.nlm.nih.gov/entrez/query.fcgi?cmd=Retrieve&amp;amp;db=pubmed&amp;amp;dopt=Abstract&amp;amp;list_uids=15250920&amp;amp;query_hl=1&lt;/_url&gt;&lt;_volume&gt;17&lt;/_volume&gt;&lt;_created&gt;63468558&lt;/_created&gt;&lt;_modified&gt;63468558&lt;/_modified&gt;&lt;_impact_factor&gt;   2.164&lt;/_impact_factor&gt;&lt;/Details&gt;&lt;Extra&gt;&lt;DBUID&gt;{749A27AD-B5E1-4ED6-ABD8-A7B8F16E1CAE}&lt;/DBUID&gt;&lt;/Extra&gt;&lt;/Item&gt;&lt;/References&gt;&lt;/Group&gt;&lt;/Citation&gt;_x000a_"/>
    <w:docVar w:name="NE.Ref{F33C8F15-031B-4F4D-8E43-9175786905CF}" w:val=" ADDIN NE.Ref.{F33C8F15-031B-4F4D-8E43-9175786905CF}&lt;Citation&gt;&lt;Group&gt;&lt;References&gt;&lt;Item&gt;&lt;ID&gt;3&lt;/ID&gt;&lt;UID&gt;{DF6D1426-C124-4E78-8EB6-87A562AD36D3}&lt;/UID&gt;&lt;Title&gt;慢性肾脏病患者高血压现状的横断面调查&lt;/Title&gt;&lt;Template&gt;Journal Article&lt;/Template&gt;&lt;Star&gt;0&lt;/Star&gt;&lt;Tag&gt;0&lt;/Tag&gt;&lt;Author&gt;林静; 丁小强; 吉俊; 傅辰生; 钟一红; 邹建州; 滕杰; 方艺&lt;/Author&gt;&lt;Year&gt;2009&lt;/Year&gt;&lt;Details&gt;&lt;_author_aff&gt;复_H大学附属中山医院肾内科,上海,200032; 复_H大学附属中山医院肾内科,上海,200032; 复_H大学附属中山医院肾内科,上海,200032; 复_H大学附属中山医院肾内科,上海,200032; 复_H大学附属中山医院肾内科,上海,200032; 复_H大学附属中山医院肾内科,上海,200032; 复_H大学附属中山医院肾内科,上海,200032; 复_H大学附属中山医院肾内科,上海,200032&lt;/_author_aff&gt;&lt;_date&gt;2009-11-15&lt;/_date&gt;&lt;_db_provider&gt;北京万方数据股份有限公司&lt;/_db_provider&gt;&lt;_issue&gt;11&lt;/_issue&gt;&lt;_journal&gt;中华肾脏病杂志&lt;/_journal&gt;&lt;_keywords&gt;肾疾病; 慢性; 高血压; 血液透析; 腹膜透析; 横断面研究&lt;/_keywords&gt;&lt;_pages&gt;827-831&lt;/_pages&gt;&lt;_url&gt;http://www.wanfangdata.com.cn/details/detail.do?_type=perio&amp;amp;id=zhszb98200911002&lt;/_url&gt;&lt;_created&gt;63405160&lt;/_created&gt;&lt;_modified&gt;63405335&lt;/_modified&gt;&lt;_db_updated&gt;Wanfangdata&lt;/_db_updated&gt;&lt;_collection_scope&gt;CSCD;PKU&lt;/_collection_scope&gt;&lt;_volume&gt;25&lt;/_volume&gt;&lt;_tertiary_title&gt;CHINESE JOURNAL OF NEPHROLOGY&lt;/_tertiary_title&gt;&lt;_doi&gt;10.3760/cma.j.issn.1001-7097.2009.11.003&lt;/_doi&gt;&lt;_isbn&gt;1001-7097&lt;/_isbn&gt;&lt;_author_adr&gt;复_H大学附属中山医院肾内科,上海,200032; 复_H大学附属中山医院肾内科,上海,200032; 复_H大学附属中山医院肾内科,上海,200032; 复_H大学附属中山医院肾内科,上海,200032; 复_H大学附属中山医院肾内科,上海,200032; 复_H大学附属中山医院肾内科,上海,200032; 复_H大学附属中山医院肾内科,上海,200032; 复_H大学附属中山医院肾内科,上海,200032&lt;/_author_adr&gt;&lt;_translated_author&gt;Jing, LIN; Xiao-qiang, DING; Jun, J I; Chen-sheng, F U; Yi-hong, ZHONG; Jian-zhou, ZOU; Jie, TENG; Yi, FANG&lt;/_translated_author&gt;&lt;_translated_title&gt;Cross-sectional study on hypertension in patients with chronic kidney disease&lt;/_translated_title&gt;&lt;_language&gt;chi&lt;/_language&gt;&lt;_accessed&gt;63405335&lt;/_accessed&gt;&lt;/Details&gt;&lt;Extra&gt;&lt;DBUID&gt;{749A27AD-B5E1-4ED6-ABD8-A7B8F16E1CAE}&lt;/DBUID&gt;&lt;/Extra&gt;&lt;/Item&gt;&lt;/References&gt;&lt;/Group&gt;&lt;/Citation&gt;_x000a_"/>
    <w:docVar w:name="NE.Ref{F599DCB9-CE8A-4C31-A229-07652F6D2B29}" w:val=" ADDIN NE.Ref.{F599DCB9-CE8A-4C31-A229-07652F6D2B29}&lt;Citation&gt;&lt;Group&gt;&lt;References&gt;&lt;Item&gt;&lt;ID&gt;39&lt;/ID&gt;&lt;UID&gt;{BA5DEF25-90AC-425D-9F3F-AE7476856A24}&lt;/UID&gt;&lt;Title&gt;中国高血压防治指南2010&lt;/Title&gt;&lt;Template&gt;Journal Article&lt;/Template&gt;&lt;Star&gt;0&lt;/Star&gt;&lt;Tag&gt;0&lt;/Tag&gt;&lt;Author&gt;中国高血压防治指南修订委员会; ChineseGuidelinesfortheManagementofHypertension, WritingGroupof&lt;/Author&gt;&lt;Year&gt;2011&lt;/Year&gt;&lt;Details&gt;&lt;_issue&gt;7&lt;/_issue&gt;&lt;_journal&gt;中华心血管病杂志&lt;/_journal&gt;&lt;_pages&gt;42-93&lt;/_pages&gt;&lt;_volume&gt;3&lt;/_volume&gt;&lt;_created&gt;63405195&lt;/_created&gt;&lt;_modified&gt;63405195&lt;/_modified&gt;&lt;_collection_scope&gt;CSCD;PKU&lt;/_collection_scope&gt;&lt;_translated_author&gt;Zhong, Guogaoxueyafangzhizhinanxiudingweiyuanhui;ChineseGuidelinesfortheManagementofHypertension, WritingGroupof&lt;/_translated_author&gt;&lt;/Details&gt;&lt;Extra&gt;&lt;DBUID&gt;{749A27AD-B5E1-4ED6-ABD8-A7B8F16E1CAE}&lt;/DBUID&gt;&lt;/Extra&gt;&lt;/Item&gt;&lt;/References&gt;&lt;/Group&gt;&lt;/Citation&gt;_x000a_"/>
    <w:docVar w:name="NE.Ref{F6212A9C-22D1-4F7F-9F6E-2686C847E536}" w:val=" ADDIN NE.Ref.{F6212A9C-22D1-4F7F-9F6E-2686C847E536}&lt;Citation&gt;&lt;Group&gt;&lt;References&gt;&lt;Item&gt;&lt;ID&gt;81&lt;/ID&gt;&lt;UID&gt;{5C949BE9-AC36-463C-BD1F-3967C2EE873A}&lt;/UID&gt;&lt;Title&gt;Hypertension Control in Adults With CKD in China: Baseline Results From the Chinese  Cohort Study of Chronic Kidney Disease (C-STRIDE)&lt;/Title&gt;&lt;Template&gt;Journal Article&lt;/Template&gt;&lt;Star&gt;0&lt;/Star&gt;&lt;Tag&gt;0&lt;/Tag&gt;&lt;Author&gt;Yan, Z; Wang, Y; Li, S; Wang, J; Zhang, L; Tan, H; Li, S; Yang, L; Pei, H; Zhang, L; Wang, Y; Duan, J; Jiao, S; Zhao, M; Fu, S&lt;/Author&gt;&lt;Year&gt;2018&lt;/Year&gt;&lt;Details&gt;&lt;_accession_num&gt;29304216&lt;/_accession_num&gt;&lt;_author_adr&gt;Renal Division, Department of Medicine, The Second Hospital of Hebei Medical  University.; Renal Division, Department of Medicine, Peking University First Hospital.; Renal Division, Department of Medicine, The Second Hospital of Hebei Medical  University.; Renal Division, Department of Medicine, Peking University First Hospital.; Renal Division, Department of Medicine, Peking University First Hospital.; Renal Division, Department of Medicine, The Second Hospital of Hebei Medical  University.; Renal Division, Department of Medicine, The Second Hospital of Hebei Medical  University.; Renal Division, Department of Medicine, The Second Hospital of Hebei Medical  University.; Renal Division, Department of Medicine, The Second Hospital of Hebei Medical  University.; Renal Division, Department of Medicine, The Second Hospital of Hebei Medical  University.; Renal Division, Department of Medicine, The Second Hospital of Hebei Medical  University.; Renal Division, Department of Medicine, The Second Hospital of Hebei Medical  University.; Renal Division, Department of Medicine, The Second Hospital of Hebei Medical  University.; Renal Division, Department of Medicine, Peking University First Hospital.; Renal Division, Department of Medicine, The Second Hospital of Hebei Medical  University.&lt;/_author_adr&gt;&lt;_date_display&gt;2018 Mar 10&lt;/_date_display&gt;&lt;_date&gt;2018-03-10&lt;/_date&gt;&lt;_doi&gt;10.1093/ajh/hpx222&lt;/_doi&gt;&lt;_isbn&gt;1941-7225 (Electronic); 0895-7061 (Linking)&lt;/_isbn&gt;&lt;_issue&gt;4&lt;/_issue&gt;&lt;_journal&gt;Am J Hypertens&lt;/_journal&gt;&lt;_language&gt;eng&lt;/_language&gt;&lt;_pages&gt;486-494&lt;/_pages&gt;&lt;_subject_headings&gt;Adolescent; Adult; Aged; Antihypertensive Agents/*therapeutic use; *Blood Pressure; China/epidemiology; Clinical Decision-Making; Comorbidity; Cross-Sectional Studies; Drug Prescriptions; Drug Therapy, Combination; Female; Humans; Hypertension/diagnosis/*drug therapy/epidemiology/physiopathology; Male; Middle Aged; *Practice Patterns, Physicians&amp;apos;; Prospective Studies; Renal Insufficiency, Chronic/diagnosis/*epidemiology/physiopathology; Risk Factors; Treatment Outcome; Young Adult&lt;/_subject_headings&gt;&lt;_tertiary_title&gt;American journal of hypertension&lt;/_tertiary_title&gt;&lt;_type_work&gt;Journal Article; Multicenter Study; Research Support, Non-U.S. Gov&amp;apos;t&lt;/_type_work&gt;&lt;_url&gt;http://www.ncbi.nlm.nih.gov/entrez/query.fcgi?cmd=Retrieve&amp;amp;db=pubmed&amp;amp;dopt=Abstract&amp;amp;list_uids=29304216&amp;amp;query_hl=1&lt;/_url&gt;&lt;_volume&gt;31&lt;/_volume&gt;&lt;_created&gt;63426761&lt;/_created&gt;&lt;_modified&gt;63426761&lt;/_modified&gt;&lt;_impact_factor&gt;   2.669&lt;/_impact_factor&gt;&lt;_collection_scope&gt;SCI;SCIE&lt;/_collection_scope&gt;&lt;/Details&gt;&lt;Extra&gt;&lt;DBUID&gt;{749A27AD-B5E1-4ED6-ABD8-A7B8F16E1CAE}&lt;/DBUID&gt;&lt;/Extra&gt;&lt;/Item&gt;&lt;/References&gt;&lt;/Group&gt;&lt;/Citation&gt;_x000a_"/>
    <w:docVar w:name="NE.Ref{F6AFD73F-DB2E-46A9-85CB-EB288565AF12}" w:val=" ADDIN NE.Ref.{F6AFD73F-DB2E-46A9-85CB-EB288565AF12}&lt;Citation&gt;&lt;Group&gt;&lt;References&gt;&lt;Item&gt;&lt;ID&gt;134&lt;/ID&gt;&lt;UID&gt;{78E6042E-69FF-4299-AD1F-906CB91183CB}&lt;/UID&gt;&lt;Title&gt;Hypertension in patients on dialysis: diagnosis, mechanisms, and management.&lt;/Title&gt;&lt;Template&gt;Journal Article&lt;/Template&gt;&lt;Star&gt;0&lt;/Star&gt;&lt;Tag&gt;0&lt;/Tag&gt;&lt;Author&gt;Sérgio; Gardano; Elias; Bucharles; Krissia; K; S; Wallbach; Thyago; A, Proen&lt;/Author&gt;&lt;Year&gt;2018&lt;/Year&gt;&lt;Details&gt;&lt;_created&gt;63468890&lt;/_created&gt;&lt;_journal&gt;Jornal Brasileiro De Nefrologia Orgao Oficial De Sociedades Brasileira E Latino Americana De Nefrologia&lt;/_journal&gt;&lt;_modified&gt;63469059&lt;/_modified&gt;&lt;/Details&gt;&lt;Extra&gt;&lt;DBUID&gt;{749A27AD-B5E1-4ED6-ABD8-A7B8F16E1CAE}&lt;/DBUID&gt;&lt;/Extra&gt;&lt;/Item&gt;&lt;/References&gt;&lt;/Group&gt;&lt;Group&gt;&lt;References&gt;&lt;Item&gt;&lt;ID&gt;135&lt;/ID&gt;&lt;UID&gt;{7B5F6439-DF05-477B-BF3F-14FABD14B4F5}&lt;/UID&gt;&lt;Title&gt;Chronobiology of arterial hypertension in hemodialysis patients: implications for  home blood pressure monitoring&lt;/Title&gt;&lt;Template&gt;Journal Article&lt;/Template&gt;&lt;Star&gt;0&lt;/Star&gt;&lt;Tag&gt;0&lt;/Tag&gt;&lt;Author&gt;Agarwal, R; Light, R P&lt;/Author&gt;&lt;Year&gt;2009&lt;/Year&gt;&lt;Details&gt;&lt;_accession_num&gt;19515473&lt;/_accession_num&gt;&lt;_author_adr&gt;Division of Nephrology, Richard L. Roudebush VA Medical Center, Indianapolis, IN,  USA. ragarwal@iupui.edu&lt;/_author_adr&gt;&lt;_collection_scope&gt;SCI;SCIE&lt;/_collection_scope&gt;&lt;_created&gt;63468907&lt;/_created&gt;&lt;_date&gt;2009-10-01&lt;/_date&gt;&lt;_date_display&gt;2009 Oct&lt;/_date_display&gt;&lt;_doi&gt;10.1053/j.ajkd.2009.03.018&lt;/_doi&gt;&lt;_impact_factor&gt;   6.618&lt;/_impact_factor&gt;&lt;_isbn&gt;1523-6838 (Electronic); 0272-6386 (Print); 0272-6386 (Linking)&lt;/_isbn&gt;&lt;_issue&gt;4&lt;/_issue&gt;&lt;_journal&gt;Am J Kidney Dis&lt;/_journal&gt;&lt;_language&gt;eng&lt;/_language&gt;&lt;_modified&gt;63468907&lt;/_modified&gt;&lt;_pages&gt;693-701&lt;/_pages&gt;&lt;_subject_headings&gt;Adult; African Americans/statistics &amp;amp; numerical data; Aged; Antihypertensive Agents/therapeutic use; *Blood Pressure; *Blood Pressure Monitoring, Ambulatory; *Circadian Rhythm; Female; Humans; Hypertension/ethnology/*physiopathology; Male; Middle Aged; Randomized Controlled Trials as Topic; *Renal Dialysis&lt;/_subject_headings&gt;&lt;_tertiary_title&gt;American journal of kidney diseases : the official journal of the National Kidney _x000d__x000a_      Foundation&lt;/_tertiary_title&gt;&lt;_type_work&gt;Comparative Study; Journal Article; Research Support, N.I.H., Extramural&lt;/_type_work&gt;&lt;_url&gt;http://www.ncbi.nlm.nih.gov/entrez/query.fcgi?cmd=Retrieve&amp;amp;db=pubmed&amp;amp;dopt=Abstract&amp;amp;list_uids=19515473&amp;amp;query_hl=1&lt;/_url&gt;&lt;_volume&gt;54&lt;/_volume&gt;&lt;/Details&gt;&lt;Extra&gt;&lt;DBUID&gt;{749A27AD-B5E1-4ED6-ABD8-A7B8F16E1CAE}&lt;/DBUID&gt;&lt;/Extra&gt;&lt;/Item&gt;&lt;/References&gt;&lt;/Group&gt;&lt;/Citation&gt;_x000a_"/>
    <w:docVar w:name="NE.Ref{F7AFCD52-2D11-4558-A6DE-5E8750892DE1}" w:val=" ADDIN NE.Ref.{F7AFCD52-2D11-4558-A6DE-5E8750892DE1}&lt;Citation&gt;&lt;Group&gt;&lt;References&gt;&lt;Item&gt;&lt;ID&gt;107&lt;/ID&gt;&lt;UID&gt;{4C118E79-8B02-4DEA-BE28-78BE21883C78}&lt;/UID&gt;&lt;Title&gt;Hypertension in hemodialysis patients treated with atenolol or lisinopril: a randomized controlled trial&lt;/Title&gt;&lt;Template&gt;Journal Article&lt;/Template&gt;&lt;Star&gt;0&lt;/Star&gt;&lt;Tag&gt;0&lt;/Tag&gt;&lt;Author&gt;Rajiv, Agarwal; Sinha, Arjun D; Pappas, Maria K; Abraham, Terri N; Tegegne, Getachew G&lt;/Author&gt;&lt;Year&gt;2014&lt;/Year&gt;&lt;Details&gt;&lt;_issue&gt;3&lt;/_issue&gt;&lt;_journal&gt;Nephrology, dialysis, transplantation : official publication of the European Dialysis and Transplant Association - European Renal Association&lt;/_journal&gt;&lt;_volume&gt;29&lt;/_volume&gt;&lt;_created&gt;63434386&lt;/_created&gt;&lt;_modified&gt;63434386&lt;/_modified&gt;&lt;/Details&gt;&lt;Extra&gt;&lt;DBUID&gt;{749A27AD-B5E1-4ED6-ABD8-A7B8F16E1CAE}&lt;/DBUID&gt;&lt;/Extra&gt;&lt;/Item&gt;&lt;/References&gt;&lt;/Group&gt;&lt;/Citation&gt;_x000a_"/>
    <w:docVar w:name="NE.Ref{F833F937-55FB-4C8A-B644-0417E7095606}" w:val=" ADDIN NE.Ref.{F833F937-55FB-4C8A-B644-0417E7095606}&lt;Citation&gt;&lt;Group&gt;&lt;References&gt;&lt;Item&gt;&lt;ID&gt;40&lt;/ID&gt;&lt;UID&gt;{425C7811-0C86-48B5-8706-5DB71998D412}&lt;/UID&gt;&lt;Title&gt;Spironolactone versus placebo, bisoprolol, and doxazosin to determine the optimal treatment for drug-resistant hypertension (PATHWAY-2): a randomised, double-blind, crossover trial&lt;/Title&gt;&lt;Template&gt;Journal Article&lt;/Template&gt;&lt;Star&gt;0&lt;/Star&gt;&lt;Tag&gt;0&lt;/Tag&gt;&lt;Author&gt;Williams, Bryan; MacDonald, Thomas M; Morant, Steve; Webb, David J; Sever, Peter; McInnes, Gordon; Ford, Ian; Cruickshank, J Kennedy; Caulfield, Mark J; Salsbury, Jackie; Mackenzie, Isla; Padmanabhan, Sandosh; Brown, Morris J&lt;/Author&gt;&lt;Year&gt;2015&lt;/Year&gt;&lt;Details&gt;&lt;_accessed&gt;63405280&lt;/_accessed&gt;&lt;_accession_num&gt;26414968&lt;/_accession_num&gt;&lt;_author_adr&gt;Institute of Cardiovascular Sciences University College London and National Institute for Health Research (NIHR) UCL/UCL Hospitals Biomedical Research Centre, London, UK. Electronic address: bryan.williams@ucl.ac.uk.; Medicines Monitoring Unit, Medical Research Institute, University of Dundee, Dundee, UK.; Medicines Monitoring Unit, Medical Research Institute, University of Dundee, Dundee, UK.; Clinical Pharmacology Unit, University of Edinburgh, Centre for Cardiovascular Science, Queen&amp;apos;s Medical Research Institute, Edinburgh, UK.; International Centre for Circulatory Health, Imperial College, London, UK.; BHF Glasgow Cardiovascular Research Centre, Institute of Cardiovascular and Medical Sciences, University of Glasgow, Glasgow, UK.; Robertson Centre for Biostatistics, Glasgow University, Glasgow, UK.; Cardiovascular Medicine &amp;amp; Diabetes, King&amp;apos;s College London, London, UK.; William Harvey Research Institute, Barts and The London School of Medicine and Dentistry, Queen Mary University of London, London, UK.; Clinical Pharmacology Unit, Addenbrooke&amp;apos;s Hospital, University of Cambridge, UK.; Medicines Monitoring Unit, Medical Research Institute, University of Dundee, Dundee, UK.; BHF Glasgow Cardiovascular Research Centre, Institute of Cardiovascular and Medical Sciences, University of Glasgow, Glasgow, UK.; Clinical Pharmacology Unit, Addenbrooke&amp;apos;s Hospital, University of Cambridge, UK.  Electronic address: m.j.brown@cai.cam.ac.uk.&lt;/_author_adr&gt;&lt;_collection_scope&gt;SCI;SCIE&lt;/_collection_scope&gt;&lt;_created&gt;63405197&lt;/_created&gt;&lt;_date&gt;2015-11-21&lt;/_date&gt;&lt;_date_display&gt;2015 Nov 21&lt;/_date_display&gt;&lt;_db_updated&gt;CrossRef&lt;/_db_updated&gt;&lt;_doi&gt;10.1016/S0140-6736(15)00257-3&lt;/_doi&gt;&lt;_impact_factor&gt;  60.392&lt;/_impact_factor&gt;&lt;_isbn&gt;01406736&lt;/_isbn&gt;&lt;_issue&gt;10008&lt;/_issue&gt;&lt;_journal&gt;The Lancet&lt;/_journal&gt;&lt;_language&gt;eng&lt;/_language&gt;&lt;_modified&gt;63405280&lt;/_modified&gt;&lt;_ori_publication&gt;Copyright (c) 2015 Williams et al. Open Access article distributed under the_x000d__x000a_      terms of CC BY. Published by Elsevier Ltd.. All rights reserved.&lt;/_ori_publication&gt;&lt;_pages&gt;2059-2068&lt;/_pages&gt;&lt;_subject_headings&gt;Adrenergic alpha-1 Receptor Antagonists/*therapeutic use; Adrenergic beta-1 Receptor Antagonists/*therapeutic use; Aged; Bisoprolol/*therapeutic use; Cross-Over Studies; Double-Blind Method; Doxazosin/*therapeutic use; Female; Humans; Hypertension/*drug therapy; Male; Middle Aged; Mineralocorticoid Receptor Antagonists/*therapeutic use; Spironolactone/*therapeutic use; Treatment Outcome&lt;/_subject_headings&gt;&lt;_tertiary_title&gt;The Lancet&lt;/_tertiary_title&gt;&lt;_type_work&gt;Comparative Study; Journal Article; Randomized Controlled Trial; Research Support, Non-U.S. Gov&amp;apos;t&lt;/_type_work&gt;&lt;_url&gt;https://linkinghub.elsevier.com/retrieve/pii/S0140673615002573_x000d__x000a_https://api.elsevier.com/content/article/PII:S0140673615002573?httpAccept=text/xml&lt;/_url&gt;&lt;_volume&gt;386&lt;/_volume&gt;&lt;/Details&gt;&lt;Extra&gt;&lt;DBUID&gt;{749A27AD-B5E1-4ED6-ABD8-A7B8F16E1CAE}&lt;/DBUID&gt;&lt;/Extra&gt;&lt;/Item&gt;&lt;/References&gt;&lt;/Group&gt;&lt;/Citation&gt;_x000a_"/>
    <w:docVar w:name="NE.Ref{F83B6E89-26F8-4580-86DF-360E373415AB}" w:val=" ADDIN NE.Ref.{F83B6E89-26F8-4580-86DF-360E373415AB}&lt;Citation&gt;&lt;Group&gt;&lt;References&gt;&lt;Item&gt;&lt;ID&gt;52&lt;/ID&gt;&lt;UID&gt;{46600BCB-0255-4C40-9A78-70837B63AC86}&lt;/UID&gt;&lt;Title&gt;中国高血压防治指南2018年修订版&lt;/Title&gt;&lt;Template&gt;Journal Article&lt;/Template&gt;&lt;Star&gt;0&lt;/Star&gt;&lt;Tag&gt;0&lt;/Tag&gt;&lt;Author&gt;修订委员会中国高血压防治指南&lt;/Author&gt;&lt;Year&gt;2019&lt;/Year&gt;&lt;Details&gt;&lt;_issue&gt;001&lt;/_issue&gt;&lt;_journal&gt;心脑血管病防治&lt;/_journal&gt;&lt;_pages&gt;1-44&lt;/_pages&gt;&lt;_volume&gt;019&lt;/_volume&gt;&lt;_created&gt;63405566&lt;/_created&gt;&lt;_modified&gt;63405566&lt;/_modified&gt;&lt;_translated_author&gt;Xiu, Dingweiyuanhuizhongguogaoxueyafangzhizhinan&lt;/_translated_author&gt;&lt;/Details&gt;&lt;Extra&gt;&lt;DBUID&gt;{749A27AD-B5E1-4ED6-ABD8-A7B8F16E1CAE}&lt;/DBUID&gt;&lt;/Extra&gt;&lt;/Item&gt;&lt;/References&gt;&lt;/Group&gt;&lt;/Citation&gt;_x000a_"/>
    <w:docVar w:name="NE.Ref{F9029D81-B779-4F40-825F-80B0923574C5}" w:val=" ADDIN NE.Ref.{F9029D81-B779-4F40-825F-80B0923574C5}&lt;Citation&gt;&lt;Group&gt;&lt;References&gt;&lt;Item&gt;&lt;ID&gt;149&lt;/ID&gt;&lt;UID&gt;{C451B023-50BB-4B02-929F-110FAB3D48C2}&lt;/UID&gt;&lt;Title&gt;妊娠期高血压疾病诊治指南（2020）&lt;/Title&gt;&lt;Template&gt;Journal Article&lt;/Template&gt;&lt;Star&gt;0&lt;/Star&gt;&lt;Tag&gt;0&lt;/Tag&gt;&lt;Author&gt;中华医学会妇产科学分会妊娠期高血压疾病学组&lt;/Author&gt;&lt;Year&gt;2020&lt;/Year&gt;&lt;Details&gt;&lt;_collection_scope&gt;CSCD;PKU&lt;/_collection_scope&gt;&lt;_created&gt;63469018&lt;/_created&gt;&lt;_db_provider&gt;《中华医学杂志》社有限责任公司_x000d__x000a_{Language}:chi&lt;/_db_provider&gt;&lt;_isbn&gt;0529-567X&lt;/_isbn&gt;&lt;_issue&gt;04&lt;/_issue&gt;&lt;_journal&gt;中华妇产科杂志&lt;/_journal&gt;&lt;_modified&gt;63469018&lt;/_modified&gt;&lt;_pages&gt;227-238&lt;/_pages&gt;&lt;_translated_author&gt;Hypertensive Disorders In Pregnancy Subgroup, Chinese Society Of Obstetrics&lt;/_translated_author&gt;&lt;_translated_title&gt;sis and treatment of hypertension and pre-eclampsia in pregnancy: a clinical practice guideline in Chin&lt;/_translated_title&gt;&lt;_url&gt;http://rs.yiigle.com/CN112141202004/1192238.htm&lt;/_url&gt;&lt;/Details&gt;&lt;Extra&gt;&lt;DBUID&gt;{749A27AD-B5E1-4ED6-ABD8-A7B8F16E1CAE}&lt;/DBUID&gt;&lt;/Extra&gt;&lt;/Item&gt;&lt;/References&gt;&lt;/Group&gt;&lt;/Citation&gt;_x000a_"/>
    <w:docVar w:name="NE.Ref{F95C0B8A-07C7-43D5-967E-62E8AF254397}" w:val=" ADDIN NE.Ref.{F95C0B8A-07C7-43D5-967E-62E8AF254397}&lt;Citation&gt;&lt;Group&gt;&lt;References&gt;&lt;Item&gt;&lt;ID&gt;155&lt;/ID&gt;&lt;UID&gt;{FBCA028F-E50D-4B85-9BFA-99997BC07CAD}&lt;/UID&gt;&lt;Title&gt;Hypertension in dialysis patients: a consensus document by the European Renal and  Cardiovascular Medicine (EURECA-m) working group of the European Renal  Association-European Dialysis and Transplant Association (ERA-EDTA) and the  Hypertension and the Kidney working group of the European Society of Hypertension  (ESH)&lt;/Title&gt;&lt;Template&gt;Journal Article&lt;/Template&gt;&lt;Star&gt;0&lt;/Star&gt;&lt;Tag&gt;0&lt;/Tag&gt;&lt;Author&gt;Sarafidis, P A; Persu, A; Agarwal, R; Burnier, M; de Leeuw, P; Ferro, C J; Halimi, J M; Heine, G H; Jadoul, M; Jarraya, F; Kanbay, M; Mallamaci, F; Mark, P B; Ortiz, A; Parati, G; Pontremoli, R; Rossignol, P; Ruilope, L; Van der Niepen, P; Vanholder, R; Verhaar, M C; Wiecek, A; Wuerzner, G; London, G M; Zoccali, C&lt;/Author&gt;&lt;Year&gt;2017&lt;/Year&gt;&lt;Details&gt;&lt;_accession_num&gt;28340239&lt;/_accession_num&gt;&lt;_author_adr&gt;Department of Nephrology, Hippokration Hospital, Aristotle University of  Thessaloniki, Thessaloniki, Greece.; Pole of Cardiovascular Research, Institut de Recherche Expérimentale et Clinique,  and Division of Cardiology, Cliniques Universitaires Saint-Luc, Université  Catholique de Louvain, Brussels, Belgium.; Department of Medicine, Indiana University School of Medicine and Richard L.  Roudebush Veterans Administration Medical Center, Indianapolis, IN, USA.; Service of Nephrology and Hypertension, Lausanne University Hospital, Lausanne,  Switzerland.; Department of Medicine, Maastricht University Medical Center, Maastricht and  Zuyderland Medical Center, Geleen/Heerlen, The Netherlands.; Department of Renal Medicine, University Hospitals Birmingham NHS Foundation Trust,  Birmingham, UK.; Service de Néphrologie-Immunologie Clinique, Hôpital Bretonneau, François-Rabelais  University, Tours, France.; Saarland University Medical Center, Internal Medicine IV-Nephrology and  Hypertension, Homburg, Germany.; Division of Nephrology, Cliniques Universitaires Saint-Luc, Université Catholique de  Louvain, Brussels, Belgium.; Department of Nephrology, Sfax University Hospital and Research Unit, Faculty of  Medicine, Sfax University, Sfax, Tunisia.; Department of Medicine, Division of Nephrology, Koc University School of Medicine,  Istanbul, Turkey.; CNR-IFC, Clinical Epidemiology and Pathophysiology of Hypertension and Renal  Diseases Unit, Ospedali Riuniti, Reggio Calabria, Italy.; Institute of Cardiovascular and Medical Sciences, University of Glasgow, Glasgow,  UK.; IIS-Fundacion Jimenez Diaz, School of Medicine, University Autonoma of Madrid, FRIAT  and REDINREN, Madrid, Spain.; Department of Cardiovascular, Neural, and Metabolic Sciences, San Luca Hospital,  Istituto Auxologico Italiano and Department of Medicine and Surgery, University of  Milano-Bicocca, Milan, Italy.; Università degli Studi and IRCCS Azienda Ospedaliera Universitaria San Martino-IST,  Genova, Italy.; INSERM, Centre d&amp;apos;Investigations Cliniques Plurithématique 1433, UMR 1116, Université  de Lorraine, CHRU de Nancy, F-CRIN INI-CRCT Cardiovascular and Renal Clinical  Trialists, and Association Lorraine de Traitement de l&amp;apos;Insuffisance Rénale, Nancy,  France.; Hypertension Unit &amp;amp; Institute of Research i?+?12, Hospital Universitario 12 de  Octubre, Madrid, Spain.; Department of Nephrology and Hypertension, Universitair Ziekenhuis Brussel - VUB,  Brussels, Belgium.; Nephrology Section, Department of Internal Medicine, Ghent University Hospital,  Gent, Belgium.; Department of Nephrology and Hypertension, University Medical Center Utrecht, The  Netherlands.; Department of Nephrology, Transplantation and Internal Medicine, Medical University  of Silesia in Katowice, Katowice, Poland.; Service of Nephrology and Hypertension, Lausanne University Hospital, Lausanne,  Switzerland.; Manhes Hospital and FCRIN INI-CRCTC, Manhes, France.; CNR-IFC, Clinical Epidemiology and Pathophysiology of Hypertension and Renal  Diseases Unit, Ospedali Riuniti, Reggio Calabria, Italy.&lt;/_author_adr&gt;&lt;_created&gt;63469112&lt;/_created&gt;&lt;_date&gt;2017-04-01&lt;/_date&gt;&lt;_date_display&gt;2017 Apr 1&lt;/_date_display&gt;&lt;_doi&gt;10.1093/ndt/gfw433&lt;/_doi&gt;&lt;_impact_factor&gt;   4.531&lt;/_impact_factor&gt;&lt;_isbn&gt;1460-2385 (Electronic); 0931-0509 (Linking)&lt;/_isbn&gt;&lt;_issue&gt;4&lt;/_issue&gt;&lt;_journal&gt;Nephrol Dial Transplant&lt;/_journal&gt;&lt;_keywords&gt;*blood pressure; *end-stage renal disease; *haemodialysis; *hypertension; *peritoneal dialysis&lt;/_keywords&gt;&lt;_language&gt;eng&lt;/_language&gt;&lt;_modified&gt;63469112&lt;/_modified&gt;&lt;_ori_publication&gt;© The Author 2017. Published by Oxford University Press on behalf of ERA-EDTA. All _x000d__x000a_      rights reserved.&lt;/_ori_publication&gt;&lt;_pages&gt;620-640&lt;/_pages&gt;&lt;_subject_headings&gt;Antihypertensive Agents/therapeutic use; Consensus; Humans; Hypertension/*drug therapy/epidemiology/*etiology; Kidney Failure, Chronic/*therapy; Practice Guidelines as Topic/*standards; Renal Dialysis/*adverse effects; Societies, Medical&lt;/_subject_headings&gt;&lt;_tertiary_title&gt;Nephrology, dialysis, transplantation : official publication of the European _x000d__x000a_      Dialysis and Transplant Association - European Renal Association&lt;/_tertiary_title&gt;&lt;_type_work&gt;Journal Article; Review&lt;/_type_work&gt;&lt;_url&gt;http://www.ncbi.nlm.nih.gov/entrez/query.fcgi?cmd=Retrieve&amp;amp;db=pubmed&amp;amp;dopt=Abstract&amp;amp;list_uids=28340239&amp;amp;query_hl=1&lt;/_url&gt;&lt;_volume&gt;32&lt;/_volume&gt;&lt;/Details&gt;&lt;Extra&gt;&lt;DBUID&gt;{749A27AD-B5E1-4ED6-ABD8-A7B8F16E1CAE}&lt;/DBUID&gt;&lt;/Extra&gt;&lt;/Item&gt;&lt;/References&gt;&lt;/Group&gt;&lt;/Citation&gt;_x000a_"/>
    <w:docVar w:name="NE.Ref{FB2226AD-113D-457C-BBBF-4CE79D43FC81}" w:val=" ADDIN NE.Ref.{FB2226AD-113D-457C-BBBF-4CE79D43FC81}&lt;Citation&gt;&lt;Group&gt;&lt;References&gt;&lt;Item&gt;&lt;ID&gt;42&lt;/ID&gt;&lt;UID&gt;{F2E68012-E9B8-49AA-B73B-2E9741AAF3A3}&lt;/UID&gt;&lt;Title&gt;Longitudinal membrane function in functionally anuric patients treated with APD: Data from EAPOS on the effects of glucose and icodextrin prescription&lt;/Title&gt;&lt;Template&gt;Journal Article&lt;/Template&gt;&lt;Star&gt;0&lt;/Star&gt;&lt;Tag&gt;0&lt;/Tag&gt;&lt;Author&gt;Davies, Simon J; Brown, Edwina A; Frandsen, Niels E; Rodrigues, Anabela S; Rodriguez-Carmona, Ana; Vychytil, Andreas; Macnamara, Evelyne; Ekstrand, Agneta; Tranaeus, Anders; Divino Filho, Jose C&lt;/Author&gt;&lt;Year&gt;2005&lt;/Year&gt;&lt;Details&gt;&lt;_accessed&gt;63405281&lt;/_accessed&gt;&lt;_accession_num&gt;15780118&lt;/_accession_num&gt;&lt;_author_adr&gt;North Staffordshire Hospital, Stoke on Trent, UK; Charing Cross Hospital, London, UK. Simon.Davies1@compuserve.com&lt;/_author_adr&gt;&lt;_collection_scope&gt;SCI;SCIE&lt;/_collection_scope&gt;&lt;_created&gt;63405214&lt;/_created&gt;&lt;_date&gt;2005-04-01&lt;/_date&gt;&lt;_date_display&gt;2005 Apr&lt;/_date_display&gt;&lt;_db_updated&gt;CrossRef&lt;/_db_updated&gt;&lt;_doi&gt;10.1111/j.1523-1755.2005.00243.x&lt;/_doi&gt;&lt;_impact_factor&gt;   8.945&lt;/_impact_factor&gt;&lt;_isbn&gt;00852538&lt;/_isbn&gt;&lt;_issue&gt;4&lt;/_issue&gt;&lt;_journal&gt;Kidney International&lt;/_journal&gt;&lt;_language&gt;eng&lt;/_language&gt;&lt;_modified&gt;63405281&lt;/_modified&gt;&lt;_pages&gt;1609-1615&lt;/_pages&gt;&lt;_subject_headings&gt;Anuria/*physiopathology; Automation; Female; Glucans/*pharmacology; Glucose/*pharmacology; *Hemodialysis Solutions; Humans; Icodextrin; Male; Membranes, Artificial; Middle Aged; Multicenter Studies as Topic; Peritoneal Dialysis/*methods; Ultrafiltration&lt;/_subject_headings&gt;&lt;_tertiary_title&gt;Kidney International&lt;/_tertiary_title&gt;&lt;_type_work&gt;Journal Article; Multicenter Study&lt;/_type_work&gt;&lt;_url&gt;https://linkinghub.elsevier.com/retrieve/pii/S0085253815506212_x000d__x000a_https://api.elsevier.com/content/article/PII:S0085253815506212?httpAccept=text/xml&lt;/_url&gt;&lt;_volume&gt;67&lt;/_volume&gt;&lt;/Details&gt;&lt;Extra&gt;&lt;DBUID&gt;{749A27AD-B5E1-4ED6-ABD8-A7B8F16E1CAE}&lt;/DBUID&gt;&lt;/Extra&gt;&lt;/Item&gt;&lt;/References&gt;&lt;/Group&gt;&lt;/Citation&gt;_x000a_"/>
    <w:docVar w:name="NE.Ref{FC1152F0-BA2B-4918-96F9-7BC6B019F660}" w:val=" ADDIN NE.Ref.{FC1152F0-BA2B-4918-96F9-7BC6B019F660}&lt;Citation&gt;&lt;Group&gt;&lt;References&gt;&lt;Item&gt;&lt;ID&gt;153&lt;/ID&gt;&lt;UID&gt;{0581F269-34F6-4BCD-929C-C37863C688D8}&lt;/UID&gt;&lt;Title&gt;Intradialytic Hypertension: A Less-Recognized Cardiovascular Complication of Hemodialysis&lt;/Title&gt;&lt;Template&gt;Journal Article&lt;/Template&gt;&lt;Star&gt;0&lt;/Star&gt;&lt;Tag&gt;5&lt;/Tag&gt;&lt;Author&gt;Inrig, Jula K&lt;/Author&gt;&lt;Year&gt;2010&lt;/Year&gt;&lt;Details&gt;&lt;_created&gt;63469108&lt;/_created&gt;&lt;_issue&gt;3&lt;/_issue&gt;&lt;_journal&gt;American Journal of Kidney Diseases the Official Journal of the National Kidney Foundation&lt;/_journal&gt;&lt;_modified&gt;63805561&lt;/_modified&gt;&lt;_pages&gt;580-589&lt;/_pages&gt;&lt;_volume&gt;55&lt;/_volume&gt;&lt;/Details&gt;&lt;Extra&gt;&lt;DBUID&gt;{749A27AD-B5E1-4ED6-ABD8-A7B8F16E1CAE}&lt;/DBUID&gt;&lt;/Extra&gt;&lt;/Item&gt;&lt;/References&gt;&lt;/Group&gt;&lt;Group&gt;&lt;References&gt;&lt;Item&gt;&lt;ID&gt;154&lt;/ID&gt;&lt;UID&gt;{95C65D53-49AA-4F80-A85D-0DEAC1EFF0B6}&lt;/UID&gt;&lt;Title&gt;Intradialysis Hypertension in End-Stage Renal Disease Patients: Clinical Epidemiology, Pathogenesis, and Treatment&lt;/Title&gt;&lt;Template&gt;Journal Article&lt;/Template&gt;&lt;Star&gt;0&lt;/Star&gt;&lt;Tag&gt;0&lt;/Tag&gt;&lt;Author&gt;Georgianos, Panagiotis I; Sarafidis, Pantelis A; Zoccali, Carmine&lt;/Author&gt;&lt;Year&gt;2015&lt;/Year&gt;&lt;Details&gt;&lt;_collection_scope&gt;SCI;SCIE&lt;/_collection_scope&gt;&lt;_created&gt;63469109&lt;/_created&gt;&lt;_impact_factor&gt;   7.713&lt;/_impact_factor&gt;&lt;_journal&gt;Hypertension&lt;/_journal&gt;&lt;_modified&gt;63469109&lt;/_modified&gt;&lt;_pages&gt;456-63&lt;/_pages&gt;&lt;/Details&gt;&lt;Extra&gt;&lt;DBUID&gt;{749A27AD-B5E1-4ED6-ABD8-A7B8F16E1CAE}&lt;/DBUID&gt;&lt;/Extra&gt;&lt;/Item&gt;&lt;/References&gt;&lt;/Group&gt;&lt;/Citation&gt;_x000a_"/>
    <w:docVar w:name="NE.Ref{FE0CECE1-A655-479A-B5A5-26870A86D4D1}" w:val=" ADDIN NE.Ref.{FE0CECE1-A655-479A-B5A5-26870A86D4D1}&lt;Citation&gt;&lt;Group&gt;&lt;References&gt;&lt;Item&gt;&lt;ID&gt;163&lt;/ID&gt;&lt;UID&gt;{6AC46D3D-C7DA-445E-9A6E-2B7678F94F9C}&lt;/UID&gt;&lt;Title&gt;Imidazoline Receptor System: The Past, the Present, and the Future&lt;/Title&gt;&lt;Template&gt;Journal Article&lt;/Template&gt;&lt;Star&gt;0&lt;/Star&gt;&lt;Tag&gt;0&lt;/Tag&gt;&lt;Author&gt;Bousquet, Pascal; Hudson, Alan; García-Sevilla, Jesús A; Li, Jun Xu&lt;/Author&gt;&lt;Year&gt;2020&lt;/Year&gt;&lt;Details&gt;&lt;_collection_scope&gt;SCI;SCIE&lt;/_collection_scope&gt;&lt;_created&gt;63637538&lt;/_created&gt;&lt;_impact_factor&gt;  17.395&lt;/_impact_factor&gt;&lt;_issue&gt;1&lt;/_issue&gt;&lt;_journal&gt;Pharmacological Reviews&lt;/_journal&gt;&lt;_modified&gt;63637538&lt;/_modified&gt;&lt;_pages&gt;50-79&lt;/_pages&gt;&lt;_volume&gt;72&lt;/_volume&gt;&lt;/Details&gt;&lt;Extra&gt;&lt;DBUID&gt;{749A27AD-B5E1-4ED6-ABD8-A7B8F16E1CAE}&lt;/DBUID&gt;&lt;/Extra&gt;&lt;/Item&gt;&lt;/References&gt;&lt;/Group&gt;&lt;/Citation&gt;_x000a_"/>
    <w:docVar w:name="NE.Ref{FF4E4C5E-A681-4DEA-B121-FA34019D583F}" w:val=" ADDIN NE.Ref.{FF4E4C5E-A681-4DEA-B121-FA34019D583F}&lt;Citation&gt;&lt;Group&gt;&lt;References&gt;&lt;Item&gt;&lt;ID&gt;79&lt;/ID&gt;&lt;UID&gt;{982E46CC-0BD1-4EB1-87D2-A7566C78D957}&lt;/UID&gt;&lt;Title&gt;A Randomized Trial of Intensive versus Standard Blood-Pressure Control&lt;/Title&gt;&lt;Template&gt;Journal Article&lt;/Template&gt;&lt;Star&gt;0&lt;/Star&gt;&lt;Tag&gt;0&lt;/Tag&gt;&lt;Author&gt;SPRINT, Research Group; Wright, Jackson T Jr; Williamson, Jeff D; Whelton, Paul K; Snyder, Joni K; Sink, Kaycee M; Rocco, Michael V; Reboussin, David M; Rahman, Mahboob; Oparil, Suzanne; Lewis, Cora E; Kimmel, Paul L; Johnson, Karen C; Goff, David C Jr; Fine, Lawrence J; Cutler, Jeffrey A; Cushman, William C; Cheung, Alfred K; Ambrosius, Walter T&lt;/Author&gt;&lt;Year&gt;2015&lt;/Year&gt;&lt;Details&gt;&lt;_created&gt;63408243&lt;/_created&gt;&lt;_date&gt;2015-11-26&lt;/_date&gt;&lt;_date_display&gt;2015/11/26&lt;/_date_display&gt;&lt;_doi&gt;10.1056/NEJMoa1511939&lt;/_doi&gt;&lt;_isbn&gt;1533-4406&lt;/_isbn&gt;&lt;_issue&gt;22&lt;/_issue&gt;&lt;_journal&gt;The New England journal of medicine&lt;/_journal&gt;&lt;_keywords&gt;Age Factors; Aged; Antihypertensive Agents/*administration &amp;amp; dosage/adverse effects; *Blood Pressure; Cardiovascular Diseases/prevention &amp;amp; control; Cause of Death; Female; Goals; Humans; Hypertension/*drug therapy; Male; Middle Aged; *Practice Guidelines as Topic; Risk Factors&lt;/_keywords&gt;&lt;_modified&gt;63408243&lt;/_modified&gt;&lt;_pages&gt;2103-2116&lt;/_pages&gt;&lt;_url&gt;https://pubmed.ncbi.nlm.nih.gov/26551272_x000d__x000a_https://www.ncbi.nlm.nih.gov/pmc/articles/PMC4689591/&lt;/_url&gt;&lt;_volume&gt;373&lt;/_volume&gt;&lt;/Details&gt;&lt;Extra&gt;&lt;DBUID&gt;{749A27AD-B5E1-4ED6-ABD8-A7B8F16E1CAE}&lt;/DBUID&gt;&lt;/Extra&gt;&lt;/Item&gt;&lt;/References&gt;&lt;/Group&gt;&lt;/Citation&gt;_x000a_"/>
    <w:docVar w:name="ne_docsoft" w:val="MSWord"/>
    <w:docVar w:name="ne_docversion" w:val="NoteExpress 2.0"/>
    <w:docVar w:name="ne_stylename" w:val="Acta Mathematicae Applicatae Sinica 应用数学学报英文版"/>
  </w:docVars>
  <w:rsids>
    <w:rsidRoot w:val="007D063E"/>
    <w:rsid w:val="8D4BD384"/>
    <w:rsid w:val="A7DAE386"/>
    <w:rsid w:val="B799E0BD"/>
    <w:rsid w:val="BDFF50C8"/>
    <w:rsid w:val="BEDF5BC4"/>
    <w:rsid w:val="CF6D848F"/>
    <w:rsid w:val="CFCF4A9E"/>
    <w:rsid w:val="D3D30AB4"/>
    <w:rsid w:val="D9F7410D"/>
    <w:rsid w:val="DBBD20F1"/>
    <w:rsid w:val="DD7FBBD9"/>
    <w:rsid w:val="DF47F93E"/>
    <w:rsid w:val="DF5FCB63"/>
    <w:rsid w:val="DFFBB697"/>
    <w:rsid w:val="DFFFD661"/>
    <w:rsid w:val="E7EF46EE"/>
    <w:rsid w:val="ECCEF128"/>
    <w:rsid w:val="EE170C6D"/>
    <w:rsid w:val="EFE6DEDD"/>
    <w:rsid w:val="EFEDF2AB"/>
    <w:rsid w:val="EFF7D0A8"/>
    <w:rsid w:val="F1BFE00E"/>
    <w:rsid w:val="F4CBCA2F"/>
    <w:rsid w:val="F6750A6D"/>
    <w:rsid w:val="F6F589DF"/>
    <w:rsid w:val="F7BFF83F"/>
    <w:rsid w:val="F8FF7737"/>
    <w:rsid w:val="F937D124"/>
    <w:rsid w:val="F9B9553B"/>
    <w:rsid w:val="F9FFEC1B"/>
    <w:rsid w:val="FADDD31B"/>
    <w:rsid w:val="FB5BF760"/>
    <w:rsid w:val="FB7B9165"/>
    <w:rsid w:val="FB8F4042"/>
    <w:rsid w:val="FBF795B9"/>
    <w:rsid w:val="FBFD89B1"/>
    <w:rsid w:val="FCDF86A4"/>
    <w:rsid w:val="FCFD36E8"/>
    <w:rsid w:val="FD7D6BE1"/>
    <w:rsid w:val="FDFFF1B2"/>
    <w:rsid w:val="FE1EDF72"/>
    <w:rsid w:val="FE511D77"/>
    <w:rsid w:val="FEBE9FF9"/>
    <w:rsid w:val="FED35DD2"/>
    <w:rsid w:val="FF574DF8"/>
    <w:rsid w:val="FF9CF7BA"/>
    <w:rsid w:val="FFEB5505"/>
    <w:rsid w:val="FFFD3171"/>
    <w:rsid w:val="FFFE9DD0"/>
    <w:rsid w:val="FFFF44EF"/>
    <w:rsid w:val="FFFFA530"/>
    <w:rsid w:val="0000112A"/>
    <w:rsid w:val="00002C47"/>
    <w:rsid w:val="0000425A"/>
    <w:rsid w:val="00004D93"/>
    <w:rsid w:val="00004E40"/>
    <w:rsid w:val="00005BA4"/>
    <w:rsid w:val="00005FA6"/>
    <w:rsid w:val="000072A1"/>
    <w:rsid w:val="0001051D"/>
    <w:rsid w:val="00012494"/>
    <w:rsid w:val="00012786"/>
    <w:rsid w:val="00015FEE"/>
    <w:rsid w:val="000172BE"/>
    <w:rsid w:val="00020FEE"/>
    <w:rsid w:val="00023553"/>
    <w:rsid w:val="00023E1D"/>
    <w:rsid w:val="0002599C"/>
    <w:rsid w:val="00025BD2"/>
    <w:rsid w:val="00025D48"/>
    <w:rsid w:val="00026B8A"/>
    <w:rsid w:val="00026E52"/>
    <w:rsid w:val="00031114"/>
    <w:rsid w:val="00032D9F"/>
    <w:rsid w:val="00034DDC"/>
    <w:rsid w:val="000372CF"/>
    <w:rsid w:val="00041516"/>
    <w:rsid w:val="000422D1"/>
    <w:rsid w:val="00042CA8"/>
    <w:rsid w:val="00043046"/>
    <w:rsid w:val="00043230"/>
    <w:rsid w:val="000438B4"/>
    <w:rsid w:val="00045BC6"/>
    <w:rsid w:val="00047A86"/>
    <w:rsid w:val="000531FF"/>
    <w:rsid w:val="00053750"/>
    <w:rsid w:val="0005380C"/>
    <w:rsid w:val="000548A0"/>
    <w:rsid w:val="00055F85"/>
    <w:rsid w:val="00057405"/>
    <w:rsid w:val="000603CA"/>
    <w:rsid w:val="0006558B"/>
    <w:rsid w:val="00066327"/>
    <w:rsid w:val="00066CE0"/>
    <w:rsid w:val="00066D78"/>
    <w:rsid w:val="000712EF"/>
    <w:rsid w:val="0007181A"/>
    <w:rsid w:val="000731F7"/>
    <w:rsid w:val="000750E1"/>
    <w:rsid w:val="00075B76"/>
    <w:rsid w:val="000762F8"/>
    <w:rsid w:val="00082CB8"/>
    <w:rsid w:val="000832E7"/>
    <w:rsid w:val="00084168"/>
    <w:rsid w:val="00084C9C"/>
    <w:rsid w:val="00085E12"/>
    <w:rsid w:val="00085F17"/>
    <w:rsid w:val="0008669C"/>
    <w:rsid w:val="000870E0"/>
    <w:rsid w:val="000871D9"/>
    <w:rsid w:val="00087A83"/>
    <w:rsid w:val="0009075D"/>
    <w:rsid w:val="00093201"/>
    <w:rsid w:val="0009742F"/>
    <w:rsid w:val="000A07B4"/>
    <w:rsid w:val="000A10D1"/>
    <w:rsid w:val="000A1304"/>
    <w:rsid w:val="000A3ED6"/>
    <w:rsid w:val="000A4046"/>
    <w:rsid w:val="000A4707"/>
    <w:rsid w:val="000A5443"/>
    <w:rsid w:val="000A6F42"/>
    <w:rsid w:val="000B1150"/>
    <w:rsid w:val="000B3542"/>
    <w:rsid w:val="000B3638"/>
    <w:rsid w:val="000B5B97"/>
    <w:rsid w:val="000C1063"/>
    <w:rsid w:val="000C32AA"/>
    <w:rsid w:val="000C35EF"/>
    <w:rsid w:val="000C6A6A"/>
    <w:rsid w:val="000D17C3"/>
    <w:rsid w:val="000D1F42"/>
    <w:rsid w:val="000D2437"/>
    <w:rsid w:val="000D3FB8"/>
    <w:rsid w:val="000D5596"/>
    <w:rsid w:val="000D601A"/>
    <w:rsid w:val="000E066A"/>
    <w:rsid w:val="000E21B5"/>
    <w:rsid w:val="000E31AA"/>
    <w:rsid w:val="000E3583"/>
    <w:rsid w:val="000E6C1F"/>
    <w:rsid w:val="000F0341"/>
    <w:rsid w:val="000F32D9"/>
    <w:rsid w:val="000F4A95"/>
    <w:rsid w:val="000F5035"/>
    <w:rsid w:val="000F6574"/>
    <w:rsid w:val="00104E01"/>
    <w:rsid w:val="00105457"/>
    <w:rsid w:val="00105586"/>
    <w:rsid w:val="00106224"/>
    <w:rsid w:val="00106565"/>
    <w:rsid w:val="00107412"/>
    <w:rsid w:val="00110F95"/>
    <w:rsid w:val="00111A30"/>
    <w:rsid w:val="00111EFA"/>
    <w:rsid w:val="00120755"/>
    <w:rsid w:val="00120DB8"/>
    <w:rsid w:val="00120EBB"/>
    <w:rsid w:val="00121B23"/>
    <w:rsid w:val="00125E47"/>
    <w:rsid w:val="00126148"/>
    <w:rsid w:val="001264AA"/>
    <w:rsid w:val="00130399"/>
    <w:rsid w:val="001359EE"/>
    <w:rsid w:val="0013714C"/>
    <w:rsid w:val="00141443"/>
    <w:rsid w:val="001427CC"/>
    <w:rsid w:val="001460A7"/>
    <w:rsid w:val="00147741"/>
    <w:rsid w:val="00150531"/>
    <w:rsid w:val="00151E8E"/>
    <w:rsid w:val="001523DB"/>
    <w:rsid w:val="00156E57"/>
    <w:rsid w:val="0016279F"/>
    <w:rsid w:val="00162936"/>
    <w:rsid w:val="00162DF2"/>
    <w:rsid w:val="00163929"/>
    <w:rsid w:val="00164DA9"/>
    <w:rsid w:val="001670C2"/>
    <w:rsid w:val="001676CE"/>
    <w:rsid w:val="00172C48"/>
    <w:rsid w:val="00173CBE"/>
    <w:rsid w:val="0017645D"/>
    <w:rsid w:val="00176A34"/>
    <w:rsid w:val="00180537"/>
    <w:rsid w:val="001813FE"/>
    <w:rsid w:val="00181CAC"/>
    <w:rsid w:val="00181F4C"/>
    <w:rsid w:val="001820B6"/>
    <w:rsid w:val="00184727"/>
    <w:rsid w:val="00185181"/>
    <w:rsid w:val="00185E7A"/>
    <w:rsid w:val="00187309"/>
    <w:rsid w:val="00191229"/>
    <w:rsid w:val="001921A3"/>
    <w:rsid w:val="00194D0F"/>
    <w:rsid w:val="00197EC1"/>
    <w:rsid w:val="001A1324"/>
    <w:rsid w:val="001A6FC9"/>
    <w:rsid w:val="001B2FD5"/>
    <w:rsid w:val="001B38AF"/>
    <w:rsid w:val="001B3976"/>
    <w:rsid w:val="001B3CF7"/>
    <w:rsid w:val="001B73C7"/>
    <w:rsid w:val="001C0449"/>
    <w:rsid w:val="001C3280"/>
    <w:rsid w:val="001C520A"/>
    <w:rsid w:val="001C583B"/>
    <w:rsid w:val="001C6F14"/>
    <w:rsid w:val="001D0B2A"/>
    <w:rsid w:val="001D0F65"/>
    <w:rsid w:val="001D20D9"/>
    <w:rsid w:val="001D44FE"/>
    <w:rsid w:val="001D659C"/>
    <w:rsid w:val="001E2A22"/>
    <w:rsid w:val="001E3AAD"/>
    <w:rsid w:val="001E6158"/>
    <w:rsid w:val="001E6AB8"/>
    <w:rsid w:val="001F413B"/>
    <w:rsid w:val="001F7C37"/>
    <w:rsid w:val="00200137"/>
    <w:rsid w:val="00202253"/>
    <w:rsid w:val="0020410E"/>
    <w:rsid w:val="00206ACB"/>
    <w:rsid w:val="0021023B"/>
    <w:rsid w:val="00212C69"/>
    <w:rsid w:val="00214F9A"/>
    <w:rsid w:val="0021512B"/>
    <w:rsid w:val="002161D5"/>
    <w:rsid w:val="00220335"/>
    <w:rsid w:val="00220793"/>
    <w:rsid w:val="0022099A"/>
    <w:rsid w:val="00221DC0"/>
    <w:rsid w:val="00223B81"/>
    <w:rsid w:val="00226856"/>
    <w:rsid w:val="00232129"/>
    <w:rsid w:val="002327D7"/>
    <w:rsid w:val="00233FCC"/>
    <w:rsid w:val="0023785E"/>
    <w:rsid w:val="00237BBD"/>
    <w:rsid w:val="00237C27"/>
    <w:rsid w:val="00240698"/>
    <w:rsid w:val="0024092F"/>
    <w:rsid w:val="00241201"/>
    <w:rsid w:val="0024280A"/>
    <w:rsid w:val="00246CE6"/>
    <w:rsid w:val="00251983"/>
    <w:rsid w:val="002524FE"/>
    <w:rsid w:val="002529E1"/>
    <w:rsid w:val="00253DDE"/>
    <w:rsid w:val="002542F3"/>
    <w:rsid w:val="00254823"/>
    <w:rsid w:val="00254B5B"/>
    <w:rsid w:val="00255800"/>
    <w:rsid w:val="00257D7D"/>
    <w:rsid w:val="002608F9"/>
    <w:rsid w:val="00262466"/>
    <w:rsid w:val="00264B47"/>
    <w:rsid w:val="0026513F"/>
    <w:rsid w:val="00265378"/>
    <w:rsid w:val="00266F6A"/>
    <w:rsid w:val="00271AA9"/>
    <w:rsid w:val="00271DD4"/>
    <w:rsid w:val="0027256E"/>
    <w:rsid w:val="00280E96"/>
    <w:rsid w:val="0028168B"/>
    <w:rsid w:val="00283573"/>
    <w:rsid w:val="0028479B"/>
    <w:rsid w:val="00284A46"/>
    <w:rsid w:val="00286ADC"/>
    <w:rsid w:val="00287DC6"/>
    <w:rsid w:val="00291F88"/>
    <w:rsid w:val="00292405"/>
    <w:rsid w:val="00292FE4"/>
    <w:rsid w:val="00293938"/>
    <w:rsid w:val="00293976"/>
    <w:rsid w:val="002A0227"/>
    <w:rsid w:val="002A2129"/>
    <w:rsid w:val="002A33F3"/>
    <w:rsid w:val="002A3F23"/>
    <w:rsid w:val="002A5183"/>
    <w:rsid w:val="002A7ADF"/>
    <w:rsid w:val="002B016B"/>
    <w:rsid w:val="002B0428"/>
    <w:rsid w:val="002B0A46"/>
    <w:rsid w:val="002B32F6"/>
    <w:rsid w:val="002C2148"/>
    <w:rsid w:val="002C30E0"/>
    <w:rsid w:val="002C3B72"/>
    <w:rsid w:val="002C41C3"/>
    <w:rsid w:val="002C6F14"/>
    <w:rsid w:val="002C7AB9"/>
    <w:rsid w:val="002C7B22"/>
    <w:rsid w:val="002D099F"/>
    <w:rsid w:val="002D4339"/>
    <w:rsid w:val="002D7464"/>
    <w:rsid w:val="002E02F7"/>
    <w:rsid w:val="002E11F7"/>
    <w:rsid w:val="002E1C88"/>
    <w:rsid w:val="002E2C21"/>
    <w:rsid w:val="002E341A"/>
    <w:rsid w:val="002E3729"/>
    <w:rsid w:val="002E3A8C"/>
    <w:rsid w:val="002E3FFC"/>
    <w:rsid w:val="002E49D5"/>
    <w:rsid w:val="002E5476"/>
    <w:rsid w:val="002E7001"/>
    <w:rsid w:val="002E7312"/>
    <w:rsid w:val="002F27D9"/>
    <w:rsid w:val="002F52B6"/>
    <w:rsid w:val="002F5934"/>
    <w:rsid w:val="002F7984"/>
    <w:rsid w:val="00301897"/>
    <w:rsid w:val="00302044"/>
    <w:rsid w:val="00306135"/>
    <w:rsid w:val="00310C1F"/>
    <w:rsid w:val="0031202A"/>
    <w:rsid w:val="0031213E"/>
    <w:rsid w:val="0031256D"/>
    <w:rsid w:val="00312821"/>
    <w:rsid w:val="00312E2D"/>
    <w:rsid w:val="0031394C"/>
    <w:rsid w:val="003143CA"/>
    <w:rsid w:val="00314A0E"/>
    <w:rsid w:val="003153B7"/>
    <w:rsid w:val="00320C9F"/>
    <w:rsid w:val="00321380"/>
    <w:rsid w:val="00322B93"/>
    <w:rsid w:val="00323DD4"/>
    <w:rsid w:val="00323E09"/>
    <w:rsid w:val="00324D14"/>
    <w:rsid w:val="00327E9A"/>
    <w:rsid w:val="003306AE"/>
    <w:rsid w:val="00333788"/>
    <w:rsid w:val="00333861"/>
    <w:rsid w:val="00336F2D"/>
    <w:rsid w:val="0034199D"/>
    <w:rsid w:val="00342746"/>
    <w:rsid w:val="00343B7C"/>
    <w:rsid w:val="00344691"/>
    <w:rsid w:val="003446CC"/>
    <w:rsid w:val="00344787"/>
    <w:rsid w:val="00346EC1"/>
    <w:rsid w:val="0035120F"/>
    <w:rsid w:val="00351487"/>
    <w:rsid w:val="00353D5C"/>
    <w:rsid w:val="0035417E"/>
    <w:rsid w:val="003544A0"/>
    <w:rsid w:val="0035557B"/>
    <w:rsid w:val="00356D0C"/>
    <w:rsid w:val="00357275"/>
    <w:rsid w:val="00357E7D"/>
    <w:rsid w:val="00363B77"/>
    <w:rsid w:val="00365A4D"/>
    <w:rsid w:val="00366515"/>
    <w:rsid w:val="00370F67"/>
    <w:rsid w:val="00370F8E"/>
    <w:rsid w:val="0037154D"/>
    <w:rsid w:val="00371FFD"/>
    <w:rsid w:val="00372FA2"/>
    <w:rsid w:val="0037325D"/>
    <w:rsid w:val="003746C9"/>
    <w:rsid w:val="00375184"/>
    <w:rsid w:val="00376615"/>
    <w:rsid w:val="00383B73"/>
    <w:rsid w:val="00386A95"/>
    <w:rsid w:val="003875F4"/>
    <w:rsid w:val="003906F2"/>
    <w:rsid w:val="003908A9"/>
    <w:rsid w:val="003915D4"/>
    <w:rsid w:val="0039268B"/>
    <w:rsid w:val="003926BB"/>
    <w:rsid w:val="003927A5"/>
    <w:rsid w:val="003927FD"/>
    <w:rsid w:val="00394B68"/>
    <w:rsid w:val="003A175C"/>
    <w:rsid w:val="003A1C60"/>
    <w:rsid w:val="003A3B68"/>
    <w:rsid w:val="003A3ECF"/>
    <w:rsid w:val="003A5D1F"/>
    <w:rsid w:val="003A65B1"/>
    <w:rsid w:val="003A6EDF"/>
    <w:rsid w:val="003B119A"/>
    <w:rsid w:val="003B1B11"/>
    <w:rsid w:val="003B289F"/>
    <w:rsid w:val="003B29CF"/>
    <w:rsid w:val="003B38FA"/>
    <w:rsid w:val="003B43D1"/>
    <w:rsid w:val="003B5CBE"/>
    <w:rsid w:val="003B7552"/>
    <w:rsid w:val="003C2988"/>
    <w:rsid w:val="003C7319"/>
    <w:rsid w:val="003D038B"/>
    <w:rsid w:val="003D048F"/>
    <w:rsid w:val="003D1B9B"/>
    <w:rsid w:val="003D2115"/>
    <w:rsid w:val="003D235E"/>
    <w:rsid w:val="003D3F34"/>
    <w:rsid w:val="003D44E5"/>
    <w:rsid w:val="003D6019"/>
    <w:rsid w:val="003D6B38"/>
    <w:rsid w:val="003E4532"/>
    <w:rsid w:val="003E494A"/>
    <w:rsid w:val="003E5607"/>
    <w:rsid w:val="003E5EBE"/>
    <w:rsid w:val="003E60CC"/>
    <w:rsid w:val="003E7A4E"/>
    <w:rsid w:val="003F0118"/>
    <w:rsid w:val="003F0815"/>
    <w:rsid w:val="003F172B"/>
    <w:rsid w:val="003F268E"/>
    <w:rsid w:val="003F3912"/>
    <w:rsid w:val="003F5111"/>
    <w:rsid w:val="003F55D1"/>
    <w:rsid w:val="003F59D9"/>
    <w:rsid w:val="00400CF1"/>
    <w:rsid w:val="0040186C"/>
    <w:rsid w:val="00401F44"/>
    <w:rsid w:val="00404056"/>
    <w:rsid w:val="00404ED3"/>
    <w:rsid w:val="00406799"/>
    <w:rsid w:val="00410D7E"/>
    <w:rsid w:val="004140E3"/>
    <w:rsid w:val="0041479D"/>
    <w:rsid w:val="00414DA7"/>
    <w:rsid w:val="00417189"/>
    <w:rsid w:val="00421994"/>
    <w:rsid w:val="00423E71"/>
    <w:rsid w:val="00424137"/>
    <w:rsid w:val="00424301"/>
    <w:rsid w:val="004275AD"/>
    <w:rsid w:val="00427656"/>
    <w:rsid w:val="00427EDA"/>
    <w:rsid w:val="004305D6"/>
    <w:rsid w:val="00433138"/>
    <w:rsid w:val="00433C78"/>
    <w:rsid w:val="0043527B"/>
    <w:rsid w:val="0044001C"/>
    <w:rsid w:val="0044055A"/>
    <w:rsid w:val="00441DAC"/>
    <w:rsid w:val="00444C2A"/>
    <w:rsid w:val="00445CB9"/>
    <w:rsid w:val="004462F7"/>
    <w:rsid w:val="00447BB0"/>
    <w:rsid w:val="004501CE"/>
    <w:rsid w:val="004518F6"/>
    <w:rsid w:val="00451C99"/>
    <w:rsid w:val="0045203F"/>
    <w:rsid w:val="00453493"/>
    <w:rsid w:val="004548ED"/>
    <w:rsid w:val="00456F25"/>
    <w:rsid w:val="004572CD"/>
    <w:rsid w:val="00462014"/>
    <w:rsid w:val="00462F46"/>
    <w:rsid w:val="0046421F"/>
    <w:rsid w:val="004642B4"/>
    <w:rsid w:val="0046484F"/>
    <w:rsid w:val="00465659"/>
    <w:rsid w:val="00465D2E"/>
    <w:rsid w:val="00465D73"/>
    <w:rsid w:val="00465DD6"/>
    <w:rsid w:val="00466107"/>
    <w:rsid w:val="004661AF"/>
    <w:rsid w:val="0046644C"/>
    <w:rsid w:val="00466EA1"/>
    <w:rsid w:val="0047322C"/>
    <w:rsid w:val="00474F6A"/>
    <w:rsid w:val="00476729"/>
    <w:rsid w:val="004812B7"/>
    <w:rsid w:val="00481BB1"/>
    <w:rsid w:val="00481C04"/>
    <w:rsid w:val="0048368D"/>
    <w:rsid w:val="004871D9"/>
    <w:rsid w:val="00494A3D"/>
    <w:rsid w:val="00494D2B"/>
    <w:rsid w:val="00495975"/>
    <w:rsid w:val="004A20F6"/>
    <w:rsid w:val="004A3524"/>
    <w:rsid w:val="004A57AF"/>
    <w:rsid w:val="004B07CB"/>
    <w:rsid w:val="004B0DFC"/>
    <w:rsid w:val="004B13E2"/>
    <w:rsid w:val="004B145F"/>
    <w:rsid w:val="004B2B30"/>
    <w:rsid w:val="004B3F34"/>
    <w:rsid w:val="004C24F1"/>
    <w:rsid w:val="004C2555"/>
    <w:rsid w:val="004C28F1"/>
    <w:rsid w:val="004C3673"/>
    <w:rsid w:val="004C3832"/>
    <w:rsid w:val="004C4153"/>
    <w:rsid w:val="004C6306"/>
    <w:rsid w:val="004D0DDB"/>
    <w:rsid w:val="004D2EB7"/>
    <w:rsid w:val="004D3943"/>
    <w:rsid w:val="004D6311"/>
    <w:rsid w:val="004D6A21"/>
    <w:rsid w:val="004E041A"/>
    <w:rsid w:val="004E117C"/>
    <w:rsid w:val="004E1D93"/>
    <w:rsid w:val="004E4E75"/>
    <w:rsid w:val="004E51B9"/>
    <w:rsid w:val="004F16A6"/>
    <w:rsid w:val="004F2D1B"/>
    <w:rsid w:val="004F2D5F"/>
    <w:rsid w:val="004F3C9C"/>
    <w:rsid w:val="004F4138"/>
    <w:rsid w:val="004F580E"/>
    <w:rsid w:val="004F58F7"/>
    <w:rsid w:val="004F6226"/>
    <w:rsid w:val="00504F25"/>
    <w:rsid w:val="00505CB3"/>
    <w:rsid w:val="005077C4"/>
    <w:rsid w:val="00507EE3"/>
    <w:rsid w:val="0051100B"/>
    <w:rsid w:val="00511B39"/>
    <w:rsid w:val="00511BE6"/>
    <w:rsid w:val="00511E07"/>
    <w:rsid w:val="005138AD"/>
    <w:rsid w:val="00513FDA"/>
    <w:rsid w:val="005161AA"/>
    <w:rsid w:val="005166AD"/>
    <w:rsid w:val="00517527"/>
    <w:rsid w:val="0052069C"/>
    <w:rsid w:val="0052606D"/>
    <w:rsid w:val="005261B5"/>
    <w:rsid w:val="0052643B"/>
    <w:rsid w:val="00530908"/>
    <w:rsid w:val="00531B9B"/>
    <w:rsid w:val="005321A1"/>
    <w:rsid w:val="005326FA"/>
    <w:rsid w:val="005327D7"/>
    <w:rsid w:val="00533C0C"/>
    <w:rsid w:val="005345A2"/>
    <w:rsid w:val="00536F3F"/>
    <w:rsid w:val="0053722D"/>
    <w:rsid w:val="00541A2E"/>
    <w:rsid w:val="00541FBD"/>
    <w:rsid w:val="00542A6A"/>
    <w:rsid w:val="00543AED"/>
    <w:rsid w:val="00543C1E"/>
    <w:rsid w:val="005516CB"/>
    <w:rsid w:val="005528C5"/>
    <w:rsid w:val="00554822"/>
    <w:rsid w:val="0055487C"/>
    <w:rsid w:val="00554FD9"/>
    <w:rsid w:val="00563E34"/>
    <w:rsid w:val="0056680E"/>
    <w:rsid w:val="0056714E"/>
    <w:rsid w:val="00567FA4"/>
    <w:rsid w:val="005705F0"/>
    <w:rsid w:val="00570D9B"/>
    <w:rsid w:val="005719CF"/>
    <w:rsid w:val="00571B3E"/>
    <w:rsid w:val="00571F15"/>
    <w:rsid w:val="005751A0"/>
    <w:rsid w:val="0057672D"/>
    <w:rsid w:val="005769B9"/>
    <w:rsid w:val="00577A4D"/>
    <w:rsid w:val="00577C34"/>
    <w:rsid w:val="00580019"/>
    <w:rsid w:val="0058018A"/>
    <w:rsid w:val="005817B2"/>
    <w:rsid w:val="005841D1"/>
    <w:rsid w:val="00584FC1"/>
    <w:rsid w:val="00587E56"/>
    <w:rsid w:val="005904A7"/>
    <w:rsid w:val="00595254"/>
    <w:rsid w:val="005A1D2C"/>
    <w:rsid w:val="005A2787"/>
    <w:rsid w:val="005A2989"/>
    <w:rsid w:val="005A4174"/>
    <w:rsid w:val="005A6AEE"/>
    <w:rsid w:val="005A7576"/>
    <w:rsid w:val="005A7A38"/>
    <w:rsid w:val="005B0169"/>
    <w:rsid w:val="005B1423"/>
    <w:rsid w:val="005B44A5"/>
    <w:rsid w:val="005B48CE"/>
    <w:rsid w:val="005B56F4"/>
    <w:rsid w:val="005B578C"/>
    <w:rsid w:val="005C0109"/>
    <w:rsid w:val="005C271B"/>
    <w:rsid w:val="005C3735"/>
    <w:rsid w:val="005C4442"/>
    <w:rsid w:val="005C5D9C"/>
    <w:rsid w:val="005C5DE1"/>
    <w:rsid w:val="005C700A"/>
    <w:rsid w:val="005C73CA"/>
    <w:rsid w:val="005D049E"/>
    <w:rsid w:val="005D1B14"/>
    <w:rsid w:val="005D5067"/>
    <w:rsid w:val="005E047C"/>
    <w:rsid w:val="005E18B0"/>
    <w:rsid w:val="005E3AA1"/>
    <w:rsid w:val="005E5181"/>
    <w:rsid w:val="005E7387"/>
    <w:rsid w:val="005E790E"/>
    <w:rsid w:val="005F06B9"/>
    <w:rsid w:val="005F101D"/>
    <w:rsid w:val="005F25A1"/>
    <w:rsid w:val="005F494B"/>
    <w:rsid w:val="005F5660"/>
    <w:rsid w:val="00604943"/>
    <w:rsid w:val="006107B0"/>
    <w:rsid w:val="0061361F"/>
    <w:rsid w:val="0061443D"/>
    <w:rsid w:val="00615E3D"/>
    <w:rsid w:val="00616DBE"/>
    <w:rsid w:val="00621127"/>
    <w:rsid w:val="006236A2"/>
    <w:rsid w:val="00623712"/>
    <w:rsid w:val="0062470B"/>
    <w:rsid w:val="00624787"/>
    <w:rsid w:val="00626573"/>
    <w:rsid w:val="0063062D"/>
    <w:rsid w:val="00630CEE"/>
    <w:rsid w:val="006337B5"/>
    <w:rsid w:val="006358DE"/>
    <w:rsid w:val="00635EBA"/>
    <w:rsid w:val="006362BC"/>
    <w:rsid w:val="006424AB"/>
    <w:rsid w:val="00646C84"/>
    <w:rsid w:val="00646D1E"/>
    <w:rsid w:val="00647DC0"/>
    <w:rsid w:val="006504B9"/>
    <w:rsid w:val="00650FD1"/>
    <w:rsid w:val="0065365D"/>
    <w:rsid w:val="0065576D"/>
    <w:rsid w:val="00655B69"/>
    <w:rsid w:val="0065750B"/>
    <w:rsid w:val="006607F4"/>
    <w:rsid w:val="00660A87"/>
    <w:rsid w:val="00661CD7"/>
    <w:rsid w:val="00664D12"/>
    <w:rsid w:val="00666B7A"/>
    <w:rsid w:val="00667775"/>
    <w:rsid w:val="006705EA"/>
    <w:rsid w:val="00670C03"/>
    <w:rsid w:val="00672B5F"/>
    <w:rsid w:val="00676294"/>
    <w:rsid w:val="00677E97"/>
    <w:rsid w:val="0068007A"/>
    <w:rsid w:val="006809BF"/>
    <w:rsid w:val="00681BA5"/>
    <w:rsid w:val="00681BB1"/>
    <w:rsid w:val="00682AB9"/>
    <w:rsid w:val="00690A53"/>
    <w:rsid w:val="00690BB7"/>
    <w:rsid w:val="00691A7F"/>
    <w:rsid w:val="00692F54"/>
    <w:rsid w:val="006942A0"/>
    <w:rsid w:val="006948D1"/>
    <w:rsid w:val="00695462"/>
    <w:rsid w:val="00695498"/>
    <w:rsid w:val="00695CA0"/>
    <w:rsid w:val="006979A9"/>
    <w:rsid w:val="006A3960"/>
    <w:rsid w:val="006A3B57"/>
    <w:rsid w:val="006A5B68"/>
    <w:rsid w:val="006B18AB"/>
    <w:rsid w:val="006B2094"/>
    <w:rsid w:val="006B2243"/>
    <w:rsid w:val="006B2782"/>
    <w:rsid w:val="006B44AC"/>
    <w:rsid w:val="006B494F"/>
    <w:rsid w:val="006B500B"/>
    <w:rsid w:val="006B56DD"/>
    <w:rsid w:val="006B631D"/>
    <w:rsid w:val="006B7C6C"/>
    <w:rsid w:val="006C0E31"/>
    <w:rsid w:val="006C2B36"/>
    <w:rsid w:val="006C3CB9"/>
    <w:rsid w:val="006C509C"/>
    <w:rsid w:val="006D0FD1"/>
    <w:rsid w:val="006D48D6"/>
    <w:rsid w:val="006D6F45"/>
    <w:rsid w:val="006D7BAF"/>
    <w:rsid w:val="006E0EFA"/>
    <w:rsid w:val="006F0A0D"/>
    <w:rsid w:val="006F1385"/>
    <w:rsid w:val="006F1B5E"/>
    <w:rsid w:val="006F542D"/>
    <w:rsid w:val="006F60F0"/>
    <w:rsid w:val="006F76A8"/>
    <w:rsid w:val="00705A8E"/>
    <w:rsid w:val="00706BDC"/>
    <w:rsid w:val="00707686"/>
    <w:rsid w:val="00707A33"/>
    <w:rsid w:val="00710874"/>
    <w:rsid w:val="007125D5"/>
    <w:rsid w:val="00713A48"/>
    <w:rsid w:val="0071573E"/>
    <w:rsid w:val="00715B07"/>
    <w:rsid w:val="007237C7"/>
    <w:rsid w:val="00723CF8"/>
    <w:rsid w:val="00724C2B"/>
    <w:rsid w:val="00725B5E"/>
    <w:rsid w:val="007273D8"/>
    <w:rsid w:val="007304EB"/>
    <w:rsid w:val="0073059B"/>
    <w:rsid w:val="00730A3F"/>
    <w:rsid w:val="00730C87"/>
    <w:rsid w:val="00733BC9"/>
    <w:rsid w:val="00734F2C"/>
    <w:rsid w:val="00737859"/>
    <w:rsid w:val="0074051D"/>
    <w:rsid w:val="0074233D"/>
    <w:rsid w:val="00743F08"/>
    <w:rsid w:val="00746EDF"/>
    <w:rsid w:val="00746EF9"/>
    <w:rsid w:val="00746F1E"/>
    <w:rsid w:val="00747BC9"/>
    <w:rsid w:val="007506FA"/>
    <w:rsid w:val="00752538"/>
    <w:rsid w:val="007548A0"/>
    <w:rsid w:val="007557A8"/>
    <w:rsid w:val="00755B78"/>
    <w:rsid w:val="007576E1"/>
    <w:rsid w:val="0076148B"/>
    <w:rsid w:val="007614EF"/>
    <w:rsid w:val="00762ABA"/>
    <w:rsid w:val="00764DA2"/>
    <w:rsid w:val="00765D59"/>
    <w:rsid w:val="00770057"/>
    <w:rsid w:val="00770156"/>
    <w:rsid w:val="007726EF"/>
    <w:rsid w:val="007747BE"/>
    <w:rsid w:val="00775A4F"/>
    <w:rsid w:val="00775C7E"/>
    <w:rsid w:val="0078078B"/>
    <w:rsid w:val="00780C62"/>
    <w:rsid w:val="00785FC3"/>
    <w:rsid w:val="00787BD3"/>
    <w:rsid w:val="00787DAD"/>
    <w:rsid w:val="007906A7"/>
    <w:rsid w:val="007909F7"/>
    <w:rsid w:val="00794595"/>
    <w:rsid w:val="0079462F"/>
    <w:rsid w:val="00795EE7"/>
    <w:rsid w:val="00796F8E"/>
    <w:rsid w:val="007A03CD"/>
    <w:rsid w:val="007A0AEA"/>
    <w:rsid w:val="007A22DD"/>
    <w:rsid w:val="007A2D90"/>
    <w:rsid w:val="007A3B57"/>
    <w:rsid w:val="007B34B1"/>
    <w:rsid w:val="007B4750"/>
    <w:rsid w:val="007B7099"/>
    <w:rsid w:val="007B71E1"/>
    <w:rsid w:val="007C06C3"/>
    <w:rsid w:val="007C07C7"/>
    <w:rsid w:val="007C3CB7"/>
    <w:rsid w:val="007C3D08"/>
    <w:rsid w:val="007C4728"/>
    <w:rsid w:val="007C5328"/>
    <w:rsid w:val="007C789B"/>
    <w:rsid w:val="007C7F8E"/>
    <w:rsid w:val="007D063E"/>
    <w:rsid w:val="007D1635"/>
    <w:rsid w:val="007D4254"/>
    <w:rsid w:val="007D4A3E"/>
    <w:rsid w:val="007E313E"/>
    <w:rsid w:val="007E6C46"/>
    <w:rsid w:val="007E7F9A"/>
    <w:rsid w:val="007F0891"/>
    <w:rsid w:val="007F3B66"/>
    <w:rsid w:val="007F5084"/>
    <w:rsid w:val="007F559B"/>
    <w:rsid w:val="00801D55"/>
    <w:rsid w:val="008028F6"/>
    <w:rsid w:val="00802AA5"/>
    <w:rsid w:val="008056CA"/>
    <w:rsid w:val="00805CB6"/>
    <w:rsid w:val="00806A38"/>
    <w:rsid w:val="00806D1E"/>
    <w:rsid w:val="00807995"/>
    <w:rsid w:val="00811A57"/>
    <w:rsid w:val="00811D8C"/>
    <w:rsid w:val="00811E99"/>
    <w:rsid w:val="00812E75"/>
    <w:rsid w:val="008137C8"/>
    <w:rsid w:val="008146A8"/>
    <w:rsid w:val="00817A10"/>
    <w:rsid w:val="00822009"/>
    <w:rsid w:val="0082273C"/>
    <w:rsid w:val="0082524C"/>
    <w:rsid w:val="00825E4C"/>
    <w:rsid w:val="008270CC"/>
    <w:rsid w:val="008311DA"/>
    <w:rsid w:val="008315DD"/>
    <w:rsid w:val="0083221E"/>
    <w:rsid w:val="00835880"/>
    <w:rsid w:val="00840004"/>
    <w:rsid w:val="008411C3"/>
    <w:rsid w:val="00845FE1"/>
    <w:rsid w:val="008461B0"/>
    <w:rsid w:val="00846717"/>
    <w:rsid w:val="00846E4E"/>
    <w:rsid w:val="008477DD"/>
    <w:rsid w:val="00850BCE"/>
    <w:rsid w:val="00850C4F"/>
    <w:rsid w:val="00852349"/>
    <w:rsid w:val="008528C2"/>
    <w:rsid w:val="008529C3"/>
    <w:rsid w:val="00852A6A"/>
    <w:rsid w:val="00853D0D"/>
    <w:rsid w:val="00856A91"/>
    <w:rsid w:val="00856D8B"/>
    <w:rsid w:val="0086037B"/>
    <w:rsid w:val="00861302"/>
    <w:rsid w:val="00861BC7"/>
    <w:rsid w:val="00862192"/>
    <w:rsid w:val="00865B4B"/>
    <w:rsid w:val="00865D1B"/>
    <w:rsid w:val="00870C42"/>
    <w:rsid w:val="00871AB6"/>
    <w:rsid w:val="008721AB"/>
    <w:rsid w:val="00873655"/>
    <w:rsid w:val="008747E9"/>
    <w:rsid w:val="00874B9F"/>
    <w:rsid w:val="00875521"/>
    <w:rsid w:val="008759FC"/>
    <w:rsid w:val="0087725B"/>
    <w:rsid w:val="0087731D"/>
    <w:rsid w:val="008812B9"/>
    <w:rsid w:val="0088164E"/>
    <w:rsid w:val="008846DC"/>
    <w:rsid w:val="00884C46"/>
    <w:rsid w:val="0088589E"/>
    <w:rsid w:val="00886DED"/>
    <w:rsid w:val="008976BC"/>
    <w:rsid w:val="00897732"/>
    <w:rsid w:val="008A7930"/>
    <w:rsid w:val="008A7DCE"/>
    <w:rsid w:val="008B0E00"/>
    <w:rsid w:val="008B0F5B"/>
    <w:rsid w:val="008B1176"/>
    <w:rsid w:val="008B1FB3"/>
    <w:rsid w:val="008B4351"/>
    <w:rsid w:val="008B4ECB"/>
    <w:rsid w:val="008B7EA9"/>
    <w:rsid w:val="008C1419"/>
    <w:rsid w:val="008C2D24"/>
    <w:rsid w:val="008C3D7B"/>
    <w:rsid w:val="008C3FDA"/>
    <w:rsid w:val="008C6C11"/>
    <w:rsid w:val="008C777D"/>
    <w:rsid w:val="008C7C5B"/>
    <w:rsid w:val="008C7FD6"/>
    <w:rsid w:val="008D1A6E"/>
    <w:rsid w:val="008D2D04"/>
    <w:rsid w:val="008D3070"/>
    <w:rsid w:val="008D3F06"/>
    <w:rsid w:val="008D44BC"/>
    <w:rsid w:val="008D68DA"/>
    <w:rsid w:val="008D7732"/>
    <w:rsid w:val="008D78B3"/>
    <w:rsid w:val="008E014C"/>
    <w:rsid w:val="008E033D"/>
    <w:rsid w:val="008E0FA1"/>
    <w:rsid w:val="008E37C4"/>
    <w:rsid w:val="008E3C3B"/>
    <w:rsid w:val="008E6439"/>
    <w:rsid w:val="008E7990"/>
    <w:rsid w:val="008F3A37"/>
    <w:rsid w:val="008F3C39"/>
    <w:rsid w:val="008F3EC7"/>
    <w:rsid w:val="008F6B8D"/>
    <w:rsid w:val="009016F8"/>
    <w:rsid w:val="00902D0C"/>
    <w:rsid w:val="00903AD9"/>
    <w:rsid w:val="00907143"/>
    <w:rsid w:val="00916797"/>
    <w:rsid w:val="00921433"/>
    <w:rsid w:val="0092143F"/>
    <w:rsid w:val="009216C6"/>
    <w:rsid w:val="00921CE9"/>
    <w:rsid w:val="009226F4"/>
    <w:rsid w:val="00923355"/>
    <w:rsid w:val="00924005"/>
    <w:rsid w:val="0092559E"/>
    <w:rsid w:val="0092688B"/>
    <w:rsid w:val="00932C59"/>
    <w:rsid w:val="009342D6"/>
    <w:rsid w:val="00941CE7"/>
    <w:rsid w:val="00942521"/>
    <w:rsid w:val="00942EB0"/>
    <w:rsid w:val="009431BC"/>
    <w:rsid w:val="00944684"/>
    <w:rsid w:val="00945710"/>
    <w:rsid w:val="009507A5"/>
    <w:rsid w:val="00952FE5"/>
    <w:rsid w:val="00954C7F"/>
    <w:rsid w:val="009628D0"/>
    <w:rsid w:val="00964C84"/>
    <w:rsid w:val="00965677"/>
    <w:rsid w:val="009667F0"/>
    <w:rsid w:val="009669C2"/>
    <w:rsid w:val="00970D2E"/>
    <w:rsid w:val="009738AE"/>
    <w:rsid w:val="009747B1"/>
    <w:rsid w:val="00977656"/>
    <w:rsid w:val="0098140A"/>
    <w:rsid w:val="009815B3"/>
    <w:rsid w:val="00981713"/>
    <w:rsid w:val="00981FBC"/>
    <w:rsid w:val="0098253F"/>
    <w:rsid w:val="00986C56"/>
    <w:rsid w:val="00986E9D"/>
    <w:rsid w:val="00987114"/>
    <w:rsid w:val="009874F5"/>
    <w:rsid w:val="00993225"/>
    <w:rsid w:val="0099323B"/>
    <w:rsid w:val="00994398"/>
    <w:rsid w:val="00995C9C"/>
    <w:rsid w:val="0099720B"/>
    <w:rsid w:val="009A0811"/>
    <w:rsid w:val="009A2FED"/>
    <w:rsid w:val="009A34E5"/>
    <w:rsid w:val="009A5215"/>
    <w:rsid w:val="009A541A"/>
    <w:rsid w:val="009A5F9D"/>
    <w:rsid w:val="009A6848"/>
    <w:rsid w:val="009A6B1A"/>
    <w:rsid w:val="009B049F"/>
    <w:rsid w:val="009B05DF"/>
    <w:rsid w:val="009B0B5F"/>
    <w:rsid w:val="009B39E6"/>
    <w:rsid w:val="009B50AF"/>
    <w:rsid w:val="009B577C"/>
    <w:rsid w:val="009B678C"/>
    <w:rsid w:val="009B701C"/>
    <w:rsid w:val="009B7D70"/>
    <w:rsid w:val="009B7F96"/>
    <w:rsid w:val="009C083C"/>
    <w:rsid w:val="009C1CCF"/>
    <w:rsid w:val="009C4874"/>
    <w:rsid w:val="009C67A9"/>
    <w:rsid w:val="009C69FB"/>
    <w:rsid w:val="009C6B96"/>
    <w:rsid w:val="009D0CC8"/>
    <w:rsid w:val="009D104B"/>
    <w:rsid w:val="009D217C"/>
    <w:rsid w:val="009D3BC9"/>
    <w:rsid w:val="009D3FF1"/>
    <w:rsid w:val="009D5065"/>
    <w:rsid w:val="009D511D"/>
    <w:rsid w:val="009D5835"/>
    <w:rsid w:val="009E02E7"/>
    <w:rsid w:val="009E190B"/>
    <w:rsid w:val="009E61DA"/>
    <w:rsid w:val="009E7621"/>
    <w:rsid w:val="009F0C4A"/>
    <w:rsid w:val="009F58BB"/>
    <w:rsid w:val="009F5B2A"/>
    <w:rsid w:val="009F686C"/>
    <w:rsid w:val="009F77A1"/>
    <w:rsid w:val="00A00ECE"/>
    <w:rsid w:val="00A01750"/>
    <w:rsid w:val="00A0268C"/>
    <w:rsid w:val="00A037E4"/>
    <w:rsid w:val="00A0458B"/>
    <w:rsid w:val="00A056DA"/>
    <w:rsid w:val="00A059EC"/>
    <w:rsid w:val="00A0786D"/>
    <w:rsid w:val="00A10029"/>
    <w:rsid w:val="00A11DC2"/>
    <w:rsid w:val="00A1260A"/>
    <w:rsid w:val="00A13A79"/>
    <w:rsid w:val="00A13AF0"/>
    <w:rsid w:val="00A16E48"/>
    <w:rsid w:val="00A21AC1"/>
    <w:rsid w:val="00A21CE9"/>
    <w:rsid w:val="00A24CE6"/>
    <w:rsid w:val="00A25252"/>
    <w:rsid w:val="00A27A51"/>
    <w:rsid w:val="00A322F2"/>
    <w:rsid w:val="00A36306"/>
    <w:rsid w:val="00A41716"/>
    <w:rsid w:val="00A433FA"/>
    <w:rsid w:val="00A44F64"/>
    <w:rsid w:val="00A45C9C"/>
    <w:rsid w:val="00A47D05"/>
    <w:rsid w:val="00A504A9"/>
    <w:rsid w:val="00A50512"/>
    <w:rsid w:val="00A5104E"/>
    <w:rsid w:val="00A53824"/>
    <w:rsid w:val="00A54F37"/>
    <w:rsid w:val="00A5668B"/>
    <w:rsid w:val="00A63104"/>
    <w:rsid w:val="00A63AD9"/>
    <w:rsid w:val="00A6420A"/>
    <w:rsid w:val="00A6498C"/>
    <w:rsid w:val="00A65E7A"/>
    <w:rsid w:val="00A70170"/>
    <w:rsid w:val="00A7058E"/>
    <w:rsid w:val="00A718D5"/>
    <w:rsid w:val="00A71AB6"/>
    <w:rsid w:val="00A76B33"/>
    <w:rsid w:val="00A8018A"/>
    <w:rsid w:val="00A8071C"/>
    <w:rsid w:val="00A80CAA"/>
    <w:rsid w:val="00A82101"/>
    <w:rsid w:val="00A8648E"/>
    <w:rsid w:val="00A86CAB"/>
    <w:rsid w:val="00A87339"/>
    <w:rsid w:val="00A87CB7"/>
    <w:rsid w:val="00A90829"/>
    <w:rsid w:val="00A90C47"/>
    <w:rsid w:val="00A92D95"/>
    <w:rsid w:val="00A938C3"/>
    <w:rsid w:val="00AA0631"/>
    <w:rsid w:val="00AA260D"/>
    <w:rsid w:val="00AA2939"/>
    <w:rsid w:val="00AA5CE5"/>
    <w:rsid w:val="00AB16D4"/>
    <w:rsid w:val="00AB4E87"/>
    <w:rsid w:val="00AB7769"/>
    <w:rsid w:val="00AB77E5"/>
    <w:rsid w:val="00AC094D"/>
    <w:rsid w:val="00AC1596"/>
    <w:rsid w:val="00AC2728"/>
    <w:rsid w:val="00AC276C"/>
    <w:rsid w:val="00AC49C6"/>
    <w:rsid w:val="00AC5D54"/>
    <w:rsid w:val="00AD0BA2"/>
    <w:rsid w:val="00AD21C5"/>
    <w:rsid w:val="00AD2224"/>
    <w:rsid w:val="00AD491A"/>
    <w:rsid w:val="00AD7A52"/>
    <w:rsid w:val="00AE0046"/>
    <w:rsid w:val="00AE211F"/>
    <w:rsid w:val="00AE2BE3"/>
    <w:rsid w:val="00AF1295"/>
    <w:rsid w:val="00AF16AE"/>
    <w:rsid w:val="00AF20BC"/>
    <w:rsid w:val="00AF2A82"/>
    <w:rsid w:val="00AF3207"/>
    <w:rsid w:val="00AF3EF6"/>
    <w:rsid w:val="00AF7C2B"/>
    <w:rsid w:val="00B000F1"/>
    <w:rsid w:val="00B00648"/>
    <w:rsid w:val="00B0166E"/>
    <w:rsid w:val="00B05217"/>
    <w:rsid w:val="00B1038A"/>
    <w:rsid w:val="00B13FF3"/>
    <w:rsid w:val="00B144B8"/>
    <w:rsid w:val="00B14EF6"/>
    <w:rsid w:val="00B15BDE"/>
    <w:rsid w:val="00B177BA"/>
    <w:rsid w:val="00B17AAA"/>
    <w:rsid w:val="00B20DAE"/>
    <w:rsid w:val="00B213D0"/>
    <w:rsid w:val="00B2329C"/>
    <w:rsid w:val="00B253C7"/>
    <w:rsid w:val="00B25674"/>
    <w:rsid w:val="00B25692"/>
    <w:rsid w:val="00B30FD9"/>
    <w:rsid w:val="00B33685"/>
    <w:rsid w:val="00B34C99"/>
    <w:rsid w:val="00B35600"/>
    <w:rsid w:val="00B411DC"/>
    <w:rsid w:val="00B41923"/>
    <w:rsid w:val="00B41C06"/>
    <w:rsid w:val="00B433AD"/>
    <w:rsid w:val="00B43EE4"/>
    <w:rsid w:val="00B4575B"/>
    <w:rsid w:val="00B45CAD"/>
    <w:rsid w:val="00B45E7A"/>
    <w:rsid w:val="00B470A7"/>
    <w:rsid w:val="00B525D3"/>
    <w:rsid w:val="00B52A57"/>
    <w:rsid w:val="00B53E05"/>
    <w:rsid w:val="00B55F1F"/>
    <w:rsid w:val="00B57D25"/>
    <w:rsid w:val="00B61CFD"/>
    <w:rsid w:val="00B62D1B"/>
    <w:rsid w:val="00B6350E"/>
    <w:rsid w:val="00B6640A"/>
    <w:rsid w:val="00B664F2"/>
    <w:rsid w:val="00B7194C"/>
    <w:rsid w:val="00B72255"/>
    <w:rsid w:val="00B72358"/>
    <w:rsid w:val="00B72D2B"/>
    <w:rsid w:val="00B73452"/>
    <w:rsid w:val="00B755C3"/>
    <w:rsid w:val="00B76D51"/>
    <w:rsid w:val="00B80CC7"/>
    <w:rsid w:val="00B81496"/>
    <w:rsid w:val="00B83142"/>
    <w:rsid w:val="00B860F3"/>
    <w:rsid w:val="00B86835"/>
    <w:rsid w:val="00B9225D"/>
    <w:rsid w:val="00B92907"/>
    <w:rsid w:val="00B97A50"/>
    <w:rsid w:val="00BA048D"/>
    <w:rsid w:val="00BA20B1"/>
    <w:rsid w:val="00BA3DAA"/>
    <w:rsid w:val="00BA3FC0"/>
    <w:rsid w:val="00BA5729"/>
    <w:rsid w:val="00BA62B0"/>
    <w:rsid w:val="00BA6415"/>
    <w:rsid w:val="00BB0633"/>
    <w:rsid w:val="00BB20AF"/>
    <w:rsid w:val="00BB24CE"/>
    <w:rsid w:val="00BB52A7"/>
    <w:rsid w:val="00BB5E1A"/>
    <w:rsid w:val="00BB65D2"/>
    <w:rsid w:val="00BB79B3"/>
    <w:rsid w:val="00BC08D4"/>
    <w:rsid w:val="00BC362F"/>
    <w:rsid w:val="00BC445F"/>
    <w:rsid w:val="00BC5938"/>
    <w:rsid w:val="00BC6031"/>
    <w:rsid w:val="00BD18AD"/>
    <w:rsid w:val="00BD3204"/>
    <w:rsid w:val="00BD3BE8"/>
    <w:rsid w:val="00BD3E8B"/>
    <w:rsid w:val="00BD4AA7"/>
    <w:rsid w:val="00BD7618"/>
    <w:rsid w:val="00BD76A6"/>
    <w:rsid w:val="00BD772A"/>
    <w:rsid w:val="00BE21CC"/>
    <w:rsid w:val="00BE24CF"/>
    <w:rsid w:val="00BE43BF"/>
    <w:rsid w:val="00BE60AB"/>
    <w:rsid w:val="00BE7022"/>
    <w:rsid w:val="00BF0109"/>
    <w:rsid w:val="00BF0F09"/>
    <w:rsid w:val="00BF408C"/>
    <w:rsid w:val="00BF4A79"/>
    <w:rsid w:val="00BF588E"/>
    <w:rsid w:val="00BF7C4D"/>
    <w:rsid w:val="00BF7E3D"/>
    <w:rsid w:val="00C00416"/>
    <w:rsid w:val="00C00EFC"/>
    <w:rsid w:val="00C0194A"/>
    <w:rsid w:val="00C046BB"/>
    <w:rsid w:val="00C07BCA"/>
    <w:rsid w:val="00C10B94"/>
    <w:rsid w:val="00C129EF"/>
    <w:rsid w:val="00C140D5"/>
    <w:rsid w:val="00C21339"/>
    <w:rsid w:val="00C2223D"/>
    <w:rsid w:val="00C24A25"/>
    <w:rsid w:val="00C26205"/>
    <w:rsid w:val="00C26D01"/>
    <w:rsid w:val="00C27BC8"/>
    <w:rsid w:val="00C31DE0"/>
    <w:rsid w:val="00C34161"/>
    <w:rsid w:val="00C34A10"/>
    <w:rsid w:val="00C34C91"/>
    <w:rsid w:val="00C37336"/>
    <w:rsid w:val="00C375FC"/>
    <w:rsid w:val="00C41A76"/>
    <w:rsid w:val="00C428B2"/>
    <w:rsid w:val="00C43768"/>
    <w:rsid w:val="00C459D4"/>
    <w:rsid w:val="00C46F54"/>
    <w:rsid w:val="00C47DD6"/>
    <w:rsid w:val="00C5083A"/>
    <w:rsid w:val="00C5186D"/>
    <w:rsid w:val="00C51A5D"/>
    <w:rsid w:val="00C555DA"/>
    <w:rsid w:val="00C576D2"/>
    <w:rsid w:val="00C60F46"/>
    <w:rsid w:val="00C61DB4"/>
    <w:rsid w:val="00C62B20"/>
    <w:rsid w:val="00C65A6A"/>
    <w:rsid w:val="00C65B5E"/>
    <w:rsid w:val="00C75AE3"/>
    <w:rsid w:val="00C760F3"/>
    <w:rsid w:val="00C80102"/>
    <w:rsid w:val="00C82693"/>
    <w:rsid w:val="00C83080"/>
    <w:rsid w:val="00C83F4E"/>
    <w:rsid w:val="00C85E88"/>
    <w:rsid w:val="00C9037E"/>
    <w:rsid w:val="00C911C2"/>
    <w:rsid w:val="00C93255"/>
    <w:rsid w:val="00C957E7"/>
    <w:rsid w:val="00C96A86"/>
    <w:rsid w:val="00C96FAC"/>
    <w:rsid w:val="00CA18A7"/>
    <w:rsid w:val="00CA2BF6"/>
    <w:rsid w:val="00CA3328"/>
    <w:rsid w:val="00CA4B09"/>
    <w:rsid w:val="00CA6A79"/>
    <w:rsid w:val="00CA75A4"/>
    <w:rsid w:val="00CB0ADC"/>
    <w:rsid w:val="00CB262E"/>
    <w:rsid w:val="00CB3E25"/>
    <w:rsid w:val="00CB40F0"/>
    <w:rsid w:val="00CB60E7"/>
    <w:rsid w:val="00CB66D3"/>
    <w:rsid w:val="00CB69DB"/>
    <w:rsid w:val="00CB6AF1"/>
    <w:rsid w:val="00CC10BB"/>
    <w:rsid w:val="00CC2E44"/>
    <w:rsid w:val="00CC79AD"/>
    <w:rsid w:val="00CD0721"/>
    <w:rsid w:val="00CD5126"/>
    <w:rsid w:val="00CD560F"/>
    <w:rsid w:val="00CE1E56"/>
    <w:rsid w:val="00CE1EA6"/>
    <w:rsid w:val="00CE36EA"/>
    <w:rsid w:val="00CE387C"/>
    <w:rsid w:val="00CE5E69"/>
    <w:rsid w:val="00CE6404"/>
    <w:rsid w:val="00CF0358"/>
    <w:rsid w:val="00CF05A9"/>
    <w:rsid w:val="00CF0767"/>
    <w:rsid w:val="00CF1175"/>
    <w:rsid w:val="00CF1887"/>
    <w:rsid w:val="00CF1DC3"/>
    <w:rsid w:val="00CF221C"/>
    <w:rsid w:val="00CF2CA6"/>
    <w:rsid w:val="00CF39D4"/>
    <w:rsid w:val="00CF60BE"/>
    <w:rsid w:val="00CF7B2F"/>
    <w:rsid w:val="00CF7D14"/>
    <w:rsid w:val="00D0223B"/>
    <w:rsid w:val="00D04467"/>
    <w:rsid w:val="00D04F35"/>
    <w:rsid w:val="00D0596A"/>
    <w:rsid w:val="00D071FC"/>
    <w:rsid w:val="00D072D1"/>
    <w:rsid w:val="00D10FBE"/>
    <w:rsid w:val="00D126EA"/>
    <w:rsid w:val="00D12904"/>
    <w:rsid w:val="00D12ADC"/>
    <w:rsid w:val="00D135ED"/>
    <w:rsid w:val="00D15C1F"/>
    <w:rsid w:val="00D16325"/>
    <w:rsid w:val="00D21A7C"/>
    <w:rsid w:val="00D23A2E"/>
    <w:rsid w:val="00D23C16"/>
    <w:rsid w:val="00D2624B"/>
    <w:rsid w:val="00D26CDC"/>
    <w:rsid w:val="00D3019B"/>
    <w:rsid w:val="00D3052F"/>
    <w:rsid w:val="00D30D70"/>
    <w:rsid w:val="00D31EAB"/>
    <w:rsid w:val="00D3241F"/>
    <w:rsid w:val="00D32A35"/>
    <w:rsid w:val="00D33340"/>
    <w:rsid w:val="00D35154"/>
    <w:rsid w:val="00D357EF"/>
    <w:rsid w:val="00D42CB0"/>
    <w:rsid w:val="00D4386D"/>
    <w:rsid w:val="00D4454A"/>
    <w:rsid w:val="00D44AB6"/>
    <w:rsid w:val="00D45B8B"/>
    <w:rsid w:val="00D46BED"/>
    <w:rsid w:val="00D53032"/>
    <w:rsid w:val="00D536FA"/>
    <w:rsid w:val="00D54330"/>
    <w:rsid w:val="00D54968"/>
    <w:rsid w:val="00D57474"/>
    <w:rsid w:val="00D57EEA"/>
    <w:rsid w:val="00D60806"/>
    <w:rsid w:val="00D62DC6"/>
    <w:rsid w:val="00D66B13"/>
    <w:rsid w:val="00D703E6"/>
    <w:rsid w:val="00D7504F"/>
    <w:rsid w:val="00D75309"/>
    <w:rsid w:val="00D75CD2"/>
    <w:rsid w:val="00D82A0C"/>
    <w:rsid w:val="00D90DD3"/>
    <w:rsid w:val="00D915C0"/>
    <w:rsid w:val="00D91CB5"/>
    <w:rsid w:val="00D93510"/>
    <w:rsid w:val="00D95403"/>
    <w:rsid w:val="00D97233"/>
    <w:rsid w:val="00DA0891"/>
    <w:rsid w:val="00DA1002"/>
    <w:rsid w:val="00DA2938"/>
    <w:rsid w:val="00DA30B3"/>
    <w:rsid w:val="00DA6C59"/>
    <w:rsid w:val="00DA7106"/>
    <w:rsid w:val="00DB1825"/>
    <w:rsid w:val="00DB3C50"/>
    <w:rsid w:val="00DB5670"/>
    <w:rsid w:val="00DB68AA"/>
    <w:rsid w:val="00DB70AB"/>
    <w:rsid w:val="00DC0CCB"/>
    <w:rsid w:val="00DC1C71"/>
    <w:rsid w:val="00DC27FB"/>
    <w:rsid w:val="00DC50B7"/>
    <w:rsid w:val="00DC5F00"/>
    <w:rsid w:val="00DC5FA8"/>
    <w:rsid w:val="00DD0D21"/>
    <w:rsid w:val="00DD4BF3"/>
    <w:rsid w:val="00DD4C6B"/>
    <w:rsid w:val="00DD65D8"/>
    <w:rsid w:val="00DD670E"/>
    <w:rsid w:val="00DE387F"/>
    <w:rsid w:val="00DE5C7D"/>
    <w:rsid w:val="00DF1B7B"/>
    <w:rsid w:val="00DF2982"/>
    <w:rsid w:val="00DF507D"/>
    <w:rsid w:val="00DF664C"/>
    <w:rsid w:val="00E013BD"/>
    <w:rsid w:val="00E0239B"/>
    <w:rsid w:val="00E0552F"/>
    <w:rsid w:val="00E10063"/>
    <w:rsid w:val="00E1136C"/>
    <w:rsid w:val="00E1188C"/>
    <w:rsid w:val="00E11CD1"/>
    <w:rsid w:val="00E11D31"/>
    <w:rsid w:val="00E13EFD"/>
    <w:rsid w:val="00E158AB"/>
    <w:rsid w:val="00E1626E"/>
    <w:rsid w:val="00E174D5"/>
    <w:rsid w:val="00E2061E"/>
    <w:rsid w:val="00E20DF4"/>
    <w:rsid w:val="00E20F5B"/>
    <w:rsid w:val="00E223F2"/>
    <w:rsid w:val="00E2240F"/>
    <w:rsid w:val="00E22890"/>
    <w:rsid w:val="00E23D2F"/>
    <w:rsid w:val="00E23F96"/>
    <w:rsid w:val="00E24613"/>
    <w:rsid w:val="00E25D07"/>
    <w:rsid w:val="00E27351"/>
    <w:rsid w:val="00E2753A"/>
    <w:rsid w:val="00E275C1"/>
    <w:rsid w:val="00E332C0"/>
    <w:rsid w:val="00E3482A"/>
    <w:rsid w:val="00E36351"/>
    <w:rsid w:val="00E40329"/>
    <w:rsid w:val="00E4082E"/>
    <w:rsid w:val="00E41C29"/>
    <w:rsid w:val="00E43C52"/>
    <w:rsid w:val="00E4405D"/>
    <w:rsid w:val="00E51122"/>
    <w:rsid w:val="00E5156D"/>
    <w:rsid w:val="00E52703"/>
    <w:rsid w:val="00E54025"/>
    <w:rsid w:val="00E554CB"/>
    <w:rsid w:val="00E556B8"/>
    <w:rsid w:val="00E607F5"/>
    <w:rsid w:val="00E6352E"/>
    <w:rsid w:val="00E67148"/>
    <w:rsid w:val="00E6736F"/>
    <w:rsid w:val="00E70ED3"/>
    <w:rsid w:val="00E72BE7"/>
    <w:rsid w:val="00E75A30"/>
    <w:rsid w:val="00E75D3D"/>
    <w:rsid w:val="00E77106"/>
    <w:rsid w:val="00E779A1"/>
    <w:rsid w:val="00E80841"/>
    <w:rsid w:val="00E80EB4"/>
    <w:rsid w:val="00E82697"/>
    <w:rsid w:val="00E82F9F"/>
    <w:rsid w:val="00E83C9C"/>
    <w:rsid w:val="00E84BC0"/>
    <w:rsid w:val="00E856C3"/>
    <w:rsid w:val="00E860C0"/>
    <w:rsid w:val="00EA0E3F"/>
    <w:rsid w:val="00EA0F93"/>
    <w:rsid w:val="00EA1825"/>
    <w:rsid w:val="00EA3D12"/>
    <w:rsid w:val="00EA4297"/>
    <w:rsid w:val="00EA55C3"/>
    <w:rsid w:val="00EA76C2"/>
    <w:rsid w:val="00EB17FE"/>
    <w:rsid w:val="00EB1BDF"/>
    <w:rsid w:val="00EB1BE4"/>
    <w:rsid w:val="00EB37BA"/>
    <w:rsid w:val="00EB4CC7"/>
    <w:rsid w:val="00EB4F59"/>
    <w:rsid w:val="00EB55FA"/>
    <w:rsid w:val="00EB73EE"/>
    <w:rsid w:val="00EB7A40"/>
    <w:rsid w:val="00EC325A"/>
    <w:rsid w:val="00EC3D01"/>
    <w:rsid w:val="00EC42D4"/>
    <w:rsid w:val="00EC536A"/>
    <w:rsid w:val="00EC647B"/>
    <w:rsid w:val="00ED026E"/>
    <w:rsid w:val="00ED1CF5"/>
    <w:rsid w:val="00ED26A1"/>
    <w:rsid w:val="00ED26D5"/>
    <w:rsid w:val="00ED3AFD"/>
    <w:rsid w:val="00ED3D98"/>
    <w:rsid w:val="00ED7106"/>
    <w:rsid w:val="00EE1F53"/>
    <w:rsid w:val="00EE24A4"/>
    <w:rsid w:val="00EE3EAC"/>
    <w:rsid w:val="00EE439F"/>
    <w:rsid w:val="00EE53C6"/>
    <w:rsid w:val="00EE5E8A"/>
    <w:rsid w:val="00EF104A"/>
    <w:rsid w:val="00EF10A6"/>
    <w:rsid w:val="00EF53B3"/>
    <w:rsid w:val="00EF5B92"/>
    <w:rsid w:val="00F00989"/>
    <w:rsid w:val="00F01788"/>
    <w:rsid w:val="00F01AD6"/>
    <w:rsid w:val="00F038A0"/>
    <w:rsid w:val="00F03CD6"/>
    <w:rsid w:val="00F06F88"/>
    <w:rsid w:val="00F121D1"/>
    <w:rsid w:val="00F12865"/>
    <w:rsid w:val="00F13283"/>
    <w:rsid w:val="00F13972"/>
    <w:rsid w:val="00F139FC"/>
    <w:rsid w:val="00F13FC4"/>
    <w:rsid w:val="00F15790"/>
    <w:rsid w:val="00F15A13"/>
    <w:rsid w:val="00F20038"/>
    <w:rsid w:val="00F2122A"/>
    <w:rsid w:val="00F25435"/>
    <w:rsid w:val="00F26E86"/>
    <w:rsid w:val="00F30A8E"/>
    <w:rsid w:val="00F313EC"/>
    <w:rsid w:val="00F31B8D"/>
    <w:rsid w:val="00F31D68"/>
    <w:rsid w:val="00F33263"/>
    <w:rsid w:val="00F33FFE"/>
    <w:rsid w:val="00F37915"/>
    <w:rsid w:val="00F4189A"/>
    <w:rsid w:val="00F41DB2"/>
    <w:rsid w:val="00F42144"/>
    <w:rsid w:val="00F4231E"/>
    <w:rsid w:val="00F42A76"/>
    <w:rsid w:val="00F432E5"/>
    <w:rsid w:val="00F47729"/>
    <w:rsid w:val="00F5373D"/>
    <w:rsid w:val="00F53F6E"/>
    <w:rsid w:val="00F54A08"/>
    <w:rsid w:val="00F6006C"/>
    <w:rsid w:val="00F650CF"/>
    <w:rsid w:val="00F662BC"/>
    <w:rsid w:val="00F67DDE"/>
    <w:rsid w:val="00F72A7D"/>
    <w:rsid w:val="00F72BEF"/>
    <w:rsid w:val="00F744CC"/>
    <w:rsid w:val="00F75363"/>
    <w:rsid w:val="00F768FB"/>
    <w:rsid w:val="00F804BA"/>
    <w:rsid w:val="00F8331D"/>
    <w:rsid w:val="00F84A41"/>
    <w:rsid w:val="00F854E9"/>
    <w:rsid w:val="00F86B1B"/>
    <w:rsid w:val="00F86EE3"/>
    <w:rsid w:val="00F87522"/>
    <w:rsid w:val="00F875FE"/>
    <w:rsid w:val="00F915F2"/>
    <w:rsid w:val="00F91951"/>
    <w:rsid w:val="00F92069"/>
    <w:rsid w:val="00F96816"/>
    <w:rsid w:val="00F97CBA"/>
    <w:rsid w:val="00FA16DD"/>
    <w:rsid w:val="00FA2EF8"/>
    <w:rsid w:val="00FA594C"/>
    <w:rsid w:val="00FA6ED8"/>
    <w:rsid w:val="00FA703C"/>
    <w:rsid w:val="00FA771C"/>
    <w:rsid w:val="00FB1159"/>
    <w:rsid w:val="00FB243B"/>
    <w:rsid w:val="00FB3E2E"/>
    <w:rsid w:val="00FB4241"/>
    <w:rsid w:val="00FC04E5"/>
    <w:rsid w:val="00FC1080"/>
    <w:rsid w:val="00FC18A6"/>
    <w:rsid w:val="00FC1C60"/>
    <w:rsid w:val="00FC33D9"/>
    <w:rsid w:val="00FC3DB9"/>
    <w:rsid w:val="00FC6C42"/>
    <w:rsid w:val="00FC6E53"/>
    <w:rsid w:val="00FD316D"/>
    <w:rsid w:val="00FD3F3A"/>
    <w:rsid w:val="00FD5198"/>
    <w:rsid w:val="00FD5887"/>
    <w:rsid w:val="00FD6CFC"/>
    <w:rsid w:val="00FD75CE"/>
    <w:rsid w:val="00FE2F36"/>
    <w:rsid w:val="00FE4BB1"/>
    <w:rsid w:val="00FE54BC"/>
    <w:rsid w:val="00FE6649"/>
    <w:rsid w:val="00FE7EA0"/>
    <w:rsid w:val="00FF0241"/>
    <w:rsid w:val="00FF49E0"/>
    <w:rsid w:val="00FF5A42"/>
    <w:rsid w:val="00FF5AF5"/>
    <w:rsid w:val="00FF5E4E"/>
    <w:rsid w:val="00FF69CC"/>
    <w:rsid w:val="0157618E"/>
    <w:rsid w:val="018909B6"/>
    <w:rsid w:val="01D950F6"/>
    <w:rsid w:val="03351F6D"/>
    <w:rsid w:val="04CB5C2F"/>
    <w:rsid w:val="068F0BD1"/>
    <w:rsid w:val="06AB0105"/>
    <w:rsid w:val="074B78AB"/>
    <w:rsid w:val="0AA85467"/>
    <w:rsid w:val="0B5D5575"/>
    <w:rsid w:val="0B8F668B"/>
    <w:rsid w:val="0E3528AE"/>
    <w:rsid w:val="0F57672F"/>
    <w:rsid w:val="137B2D22"/>
    <w:rsid w:val="14E27C92"/>
    <w:rsid w:val="15541AB2"/>
    <w:rsid w:val="1AE171E0"/>
    <w:rsid w:val="1C2136CD"/>
    <w:rsid w:val="1DDB17AD"/>
    <w:rsid w:val="1EFD1383"/>
    <w:rsid w:val="1FFCDCEC"/>
    <w:rsid w:val="232B3229"/>
    <w:rsid w:val="249029DF"/>
    <w:rsid w:val="2550575C"/>
    <w:rsid w:val="2553271E"/>
    <w:rsid w:val="25F82337"/>
    <w:rsid w:val="2A5C300A"/>
    <w:rsid w:val="2AFDFBC0"/>
    <w:rsid w:val="2CC2A370"/>
    <w:rsid w:val="2CE866C1"/>
    <w:rsid w:val="2D033CBB"/>
    <w:rsid w:val="2EA3A240"/>
    <w:rsid w:val="2F3D6F31"/>
    <w:rsid w:val="2F59504B"/>
    <w:rsid w:val="2FB59186"/>
    <w:rsid w:val="2FBFACF9"/>
    <w:rsid w:val="318B102E"/>
    <w:rsid w:val="357D1471"/>
    <w:rsid w:val="35DF9D68"/>
    <w:rsid w:val="37EB6FEC"/>
    <w:rsid w:val="3A115291"/>
    <w:rsid w:val="3B822EA7"/>
    <w:rsid w:val="3D1917F1"/>
    <w:rsid w:val="3D7D0442"/>
    <w:rsid w:val="3F1501B1"/>
    <w:rsid w:val="3F3F7F7E"/>
    <w:rsid w:val="3F6BAD7A"/>
    <w:rsid w:val="3F7E9A77"/>
    <w:rsid w:val="3FBD3F76"/>
    <w:rsid w:val="400409FC"/>
    <w:rsid w:val="41B7517E"/>
    <w:rsid w:val="472357AA"/>
    <w:rsid w:val="47B642F1"/>
    <w:rsid w:val="481618AB"/>
    <w:rsid w:val="487D6110"/>
    <w:rsid w:val="4A0253DE"/>
    <w:rsid w:val="4AF06589"/>
    <w:rsid w:val="4B7F8B12"/>
    <w:rsid w:val="504E327D"/>
    <w:rsid w:val="535166A1"/>
    <w:rsid w:val="53784751"/>
    <w:rsid w:val="537F582D"/>
    <w:rsid w:val="53A93832"/>
    <w:rsid w:val="543F4416"/>
    <w:rsid w:val="573E41AF"/>
    <w:rsid w:val="57B9162E"/>
    <w:rsid w:val="58AE515F"/>
    <w:rsid w:val="59AF0EAE"/>
    <w:rsid w:val="5A872308"/>
    <w:rsid w:val="5A892560"/>
    <w:rsid w:val="5B661732"/>
    <w:rsid w:val="5D5676EB"/>
    <w:rsid w:val="5DF27E6D"/>
    <w:rsid w:val="5DFFB174"/>
    <w:rsid w:val="5FAFE5CE"/>
    <w:rsid w:val="601856F1"/>
    <w:rsid w:val="60375A72"/>
    <w:rsid w:val="607C3C04"/>
    <w:rsid w:val="61053DB3"/>
    <w:rsid w:val="61927671"/>
    <w:rsid w:val="61EE1DC6"/>
    <w:rsid w:val="66205B8F"/>
    <w:rsid w:val="66424305"/>
    <w:rsid w:val="675416E2"/>
    <w:rsid w:val="679F0569"/>
    <w:rsid w:val="68B319A8"/>
    <w:rsid w:val="68D249FA"/>
    <w:rsid w:val="6BD70994"/>
    <w:rsid w:val="6DBE04E5"/>
    <w:rsid w:val="6DECAE68"/>
    <w:rsid w:val="6E2C15CC"/>
    <w:rsid w:val="6E597664"/>
    <w:rsid w:val="6FC51DF5"/>
    <w:rsid w:val="6FDF457C"/>
    <w:rsid w:val="6FDFDCC6"/>
    <w:rsid w:val="71577CC1"/>
    <w:rsid w:val="73FFD875"/>
    <w:rsid w:val="76F5113A"/>
    <w:rsid w:val="76FF0381"/>
    <w:rsid w:val="776B4A6D"/>
    <w:rsid w:val="77A80CB1"/>
    <w:rsid w:val="77FB8FCB"/>
    <w:rsid w:val="78C92AB0"/>
    <w:rsid w:val="78DFC0D2"/>
    <w:rsid w:val="7ADF16A0"/>
    <w:rsid w:val="7B5133B6"/>
    <w:rsid w:val="7B5A0B56"/>
    <w:rsid w:val="7BA404A6"/>
    <w:rsid w:val="7BDEA05D"/>
    <w:rsid w:val="7BE99B89"/>
    <w:rsid w:val="7BF10E1F"/>
    <w:rsid w:val="7BF779D0"/>
    <w:rsid w:val="7BFF0D9B"/>
    <w:rsid w:val="7BFF48A5"/>
    <w:rsid w:val="7CEF90CB"/>
    <w:rsid w:val="7DED4836"/>
    <w:rsid w:val="7E1F45FE"/>
    <w:rsid w:val="7E9DA507"/>
    <w:rsid w:val="7F2BCAA1"/>
    <w:rsid w:val="7F77A4FB"/>
    <w:rsid w:val="7F7F0950"/>
    <w:rsid w:val="7FAFDBB1"/>
    <w:rsid w:val="7FBF82A9"/>
    <w:rsid w:val="7FD764AB"/>
    <w:rsid w:val="7FDE534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2290" fillcolor="white">
      <v:fill color="white"/>
    </o:shapedefaults>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semiHidden="0" w:qFormat="1"/>
    <w:lsdException w:name="annotation text" w:semiHidden="0" w:qFormat="1"/>
    <w:lsdException w:name="header" w:semiHidden="0" w:qFormat="1"/>
    <w:lsdException w:name="footer" w:semiHidden="0" w:qFormat="1"/>
    <w:lsdException w:name="caption" w:semiHidden="0" w:uiPriority="35" w:qFormat="1"/>
    <w:lsdException w:name="annotation reference" w:semiHidden="0" w:qFormat="1"/>
    <w:lsdException w:name="Title" w:semiHidden="0" w:uiPriority="10" w:unhideWhenUsed="0" w:qFormat="1"/>
    <w:lsdException w:name="Default Paragraph Font" w:uiPriority="1"/>
    <w:lsdException w:name="Body Text" w:semiHidden="0" w:qFormat="1"/>
    <w:lsdException w:name="Subtitle" w:semiHidden="0" w:uiPriority="11" w:unhideWhenUsed="0" w:qFormat="1"/>
    <w:lsdException w:name="Hyperlink" w:semiHidden="0" w:qFormat="1"/>
    <w:lsdException w:name="FollowedHyperlink" w:semiHidden="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annotation subject" w:semiHidden="0" w:qFormat="1"/>
    <w:lsdException w:name="Balloon Text" w:semiHidden="0" w:qFormat="1"/>
    <w:lsdException w:name="Table Grid" w:semiHidden="0" w:uiPriority="59" w:unhideWhenUsed="0" w:qFormat="1"/>
    <w:lsdException w:name="Light Shading" w:semiHidden="0" w:uiPriority="60" w:unhideWhenUsed="0" w:qFormat="1"/>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qFormat="1"/>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E5476"/>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rsid w:val="002E5476"/>
    <w:pPr>
      <w:keepNext/>
      <w:keepLines/>
      <w:spacing w:before="220" w:after="210"/>
      <w:outlineLvl w:val="0"/>
    </w:pPr>
    <w:rPr>
      <w:rFonts w:eastAsiaTheme="majorEastAsia"/>
      <w:b/>
      <w:kern w:val="44"/>
      <w:sz w:val="24"/>
    </w:rPr>
  </w:style>
  <w:style w:type="paragraph" w:styleId="2">
    <w:name w:val="heading 2"/>
    <w:basedOn w:val="a"/>
    <w:next w:val="a"/>
    <w:uiPriority w:val="9"/>
    <w:unhideWhenUsed/>
    <w:qFormat/>
    <w:rsid w:val="002E5476"/>
    <w:pPr>
      <w:keepNext/>
      <w:keepLines/>
      <w:spacing w:before="260" w:after="260" w:line="413" w:lineRule="auto"/>
      <w:outlineLvl w:val="1"/>
    </w:pPr>
    <w:rPr>
      <w:rFonts w:ascii="DejaVu Sans" w:eastAsia="方正黑体_GBK" w:hAnsi="DejaVu Sans"/>
      <w:b/>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iPriority w:val="35"/>
    <w:unhideWhenUsed/>
    <w:qFormat/>
    <w:rsid w:val="002E5476"/>
    <w:rPr>
      <w:rFonts w:asciiTheme="majorHAnsi" w:eastAsia="黑体" w:hAnsiTheme="majorHAnsi" w:cstheme="majorBidi"/>
      <w:sz w:val="20"/>
      <w:szCs w:val="20"/>
    </w:rPr>
  </w:style>
  <w:style w:type="paragraph" w:styleId="a4">
    <w:name w:val="annotation text"/>
    <w:basedOn w:val="a"/>
    <w:link w:val="Char"/>
    <w:uiPriority w:val="99"/>
    <w:unhideWhenUsed/>
    <w:qFormat/>
    <w:rsid w:val="002E5476"/>
    <w:pPr>
      <w:jc w:val="left"/>
    </w:pPr>
  </w:style>
  <w:style w:type="paragraph" w:styleId="a5">
    <w:name w:val="Body Text"/>
    <w:basedOn w:val="a"/>
    <w:link w:val="Char0"/>
    <w:uiPriority w:val="99"/>
    <w:unhideWhenUsed/>
    <w:qFormat/>
    <w:rsid w:val="002E5476"/>
    <w:rPr>
      <w:rFonts w:ascii="宋体" w:eastAsia="宋体" w:hAnsi="宋体" w:cs="宋体"/>
      <w:sz w:val="13"/>
      <w:szCs w:val="13"/>
      <w:lang w:val="zh-CN" w:eastAsia="en-US"/>
    </w:rPr>
  </w:style>
  <w:style w:type="paragraph" w:styleId="a6">
    <w:name w:val="Balloon Text"/>
    <w:basedOn w:val="a"/>
    <w:link w:val="Char1"/>
    <w:uiPriority w:val="99"/>
    <w:unhideWhenUsed/>
    <w:qFormat/>
    <w:rsid w:val="002E5476"/>
    <w:rPr>
      <w:sz w:val="18"/>
      <w:szCs w:val="18"/>
    </w:rPr>
  </w:style>
  <w:style w:type="paragraph" w:styleId="a7">
    <w:name w:val="footer"/>
    <w:basedOn w:val="a"/>
    <w:link w:val="Char2"/>
    <w:uiPriority w:val="99"/>
    <w:unhideWhenUsed/>
    <w:qFormat/>
    <w:rsid w:val="002E5476"/>
    <w:pPr>
      <w:tabs>
        <w:tab w:val="center" w:pos="4153"/>
        <w:tab w:val="right" w:pos="8306"/>
      </w:tabs>
      <w:snapToGrid w:val="0"/>
      <w:jc w:val="left"/>
    </w:pPr>
    <w:rPr>
      <w:sz w:val="18"/>
      <w:szCs w:val="18"/>
    </w:rPr>
  </w:style>
  <w:style w:type="paragraph" w:styleId="a8">
    <w:name w:val="header"/>
    <w:basedOn w:val="a"/>
    <w:link w:val="Char3"/>
    <w:uiPriority w:val="99"/>
    <w:unhideWhenUsed/>
    <w:qFormat/>
    <w:rsid w:val="002E5476"/>
    <w:pPr>
      <w:pBdr>
        <w:bottom w:val="single" w:sz="6" w:space="1" w:color="auto"/>
      </w:pBdr>
      <w:tabs>
        <w:tab w:val="center" w:pos="4153"/>
        <w:tab w:val="right" w:pos="8306"/>
      </w:tabs>
      <w:snapToGrid w:val="0"/>
      <w:jc w:val="center"/>
    </w:pPr>
    <w:rPr>
      <w:sz w:val="18"/>
      <w:szCs w:val="18"/>
    </w:rPr>
  </w:style>
  <w:style w:type="paragraph" w:styleId="a9">
    <w:name w:val="footnote text"/>
    <w:basedOn w:val="a"/>
    <w:link w:val="Char4"/>
    <w:uiPriority w:val="99"/>
    <w:unhideWhenUsed/>
    <w:qFormat/>
    <w:rsid w:val="002E5476"/>
    <w:pPr>
      <w:widowControl/>
      <w:jc w:val="left"/>
    </w:pPr>
    <w:rPr>
      <w:kern w:val="0"/>
      <w:sz w:val="20"/>
      <w:szCs w:val="20"/>
    </w:rPr>
  </w:style>
  <w:style w:type="paragraph" w:styleId="aa">
    <w:name w:val="Normal (Web)"/>
    <w:basedOn w:val="a"/>
    <w:uiPriority w:val="99"/>
    <w:unhideWhenUsed/>
    <w:qFormat/>
    <w:rsid w:val="002E5476"/>
    <w:pPr>
      <w:widowControl/>
      <w:spacing w:beforeAutospacing="1" w:afterAutospacing="1"/>
      <w:jc w:val="left"/>
    </w:pPr>
    <w:rPr>
      <w:rFonts w:ascii="宋体" w:eastAsia="宋体" w:hAnsi="宋体" w:cs="Times New Roman"/>
      <w:kern w:val="0"/>
      <w:sz w:val="24"/>
      <w:szCs w:val="24"/>
    </w:rPr>
  </w:style>
  <w:style w:type="paragraph" w:styleId="ab">
    <w:name w:val="annotation subject"/>
    <w:basedOn w:val="a4"/>
    <w:next w:val="a4"/>
    <w:link w:val="Char5"/>
    <w:uiPriority w:val="99"/>
    <w:unhideWhenUsed/>
    <w:qFormat/>
    <w:rsid w:val="002E5476"/>
    <w:rPr>
      <w:b/>
      <w:bCs/>
    </w:rPr>
  </w:style>
  <w:style w:type="table" w:styleId="ac">
    <w:name w:val="Table Grid"/>
    <w:basedOn w:val="a1"/>
    <w:uiPriority w:val="59"/>
    <w:qFormat/>
    <w:rsid w:val="002E5476"/>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cPr>
      <w:tcBorders>
        <w:top w:val="single" w:sz="4" w:space="0" w:color="auto"/>
        <w:left w:val="single" w:sz="4" w:space="0" w:color="auto"/>
        <w:bottom w:val="single" w:sz="4" w:space="0" w:color="auto"/>
        <w:right w:val="single" w:sz="4" w:space="0" w:color="auto"/>
      </w:tcBorders>
    </w:tcPr>
  </w:style>
  <w:style w:type="table" w:styleId="ad">
    <w:name w:val="Light Shading"/>
    <w:basedOn w:val="a1"/>
    <w:uiPriority w:val="60"/>
    <w:qFormat/>
    <w:rsid w:val="002E5476"/>
    <w:rPr>
      <w:color w:val="000000" w:themeColor="text1" w:themeShade="BF"/>
    </w:rPr>
    <w:tblPr>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1">
    <w:name w:val="Light Shading Accent 1"/>
    <w:basedOn w:val="a1"/>
    <w:uiPriority w:val="60"/>
    <w:qFormat/>
    <w:rsid w:val="002E5476"/>
    <w:rPr>
      <w:color w:val="365F91" w:themeColor="accent1" w:themeShade="BF"/>
    </w:rPr>
    <w:tblPr>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styleId="ae">
    <w:name w:val="Strong"/>
    <w:basedOn w:val="a0"/>
    <w:uiPriority w:val="22"/>
    <w:qFormat/>
    <w:rsid w:val="002E5476"/>
    <w:rPr>
      <w:b/>
      <w:bCs/>
    </w:rPr>
  </w:style>
  <w:style w:type="character" w:styleId="af">
    <w:name w:val="FollowedHyperlink"/>
    <w:basedOn w:val="a0"/>
    <w:uiPriority w:val="99"/>
    <w:unhideWhenUsed/>
    <w:qFormat/>
    <w:rsid w:val="002E5476"/>
    <w:rPr>
      <w:color w:val="800080" w:themeColor="followedHyperlink"/>
      <w:u w:val="single"/>
    </w:rPr>
  </w:style>
  <w:style w:type="character" w:styleId="af0">
    <w:name w:val="Emphasis"/>
    <w:basedOn w:val="a0"/>
    <w:uiPriority w:val="20"/>
    <w:qFormat/>
    <w:rsid w:val="002E5476"/>
    <w:rPr>
      <w:i/>
      <w:iCs/>
    </w:rPr>
  </w:style>
  <w:style w:type="character" w:styleId="af1">
    <w:name w:val="Hyperlink"/>
    <w:basedOn w:val="a0"/>
    <w:uiPriority w:val="99"/>
    <w:unhideWhenUsed/>
    <w:qFormat/>
    <w:rsid w:val="002E5476"/>
    <w:rPr>
      <w:color w:val="0000FF"/>
      <w:u w:val="single"/>
    </w:rPr>
  </w:style>
  <w:style w:type="character" w:styleId="af2">
    <w:name w:val="annotation reference"/>
    <w:basedOn w:val="a0"/>
    <w:uiPriority w:val="99"/>
    <w:unhideWhenUsed/>
    <w:qFormat/>
    <w:rsid w:val="002E5476"/>
    <w:rPr>
      <w:sz w:val="21"/>
      <w:szCs w:val="21"/>
    </w:rPr>
  </w:style>
  <w:style w:type="paragraph" w:customStyle="1" w:styleId="10">
    <w:name w:val="列出段落1"/>
    <w:basedOn w:val="a"/>
    <w:uiPriority w:val="34"/>
    <w:qFormat/>
    <w:rsid w:val="002E5476"/>
    <w:pPr>
      <w:ind w:firstLineChars="200" w:firstLine="420"/>
    </w:pPr>
  </w:style>
  <w:style w:type="character" w:customStyle="1" w:styleId="font41">
    <w:name w:val="font41"/>
    <w:basedOn w:val="a0"/>
    <w:qFormat/>
    <w:rsid w:val="002E5476"/>
    <w:rPr>
      <w:rFonts w:ascii="Times New Roman" w:hAnsi="Times New Roman" w:cs="Times New Roman" w:hint="default"/>
      <w:color w:val="000000"/>
      <w:sz w:val="20"/>
      <w:szCs w:val="20"/>
      <w:u w:val="none"/>
    </w:rPr>
  </w:style>
  <w:style w:type="character" w:customStyle="1" w:styleId="font31">
    <w:name w:val="font31"/>
    <w:basedOn w:val="a0"/>
    <w:qFormat/>
    <w:rsid w:val="002E5476"/>
    <w:rPr>
      <w:rFonts w:ascii="宋体" w:eastAsia="宋体" w:hAnsi="宋体" w:cs="宋体" w:hint="eastAsia"/>
      <w:color w:val="000000"/>
      <w:sz w:val="20"/>
      <w:szCs w:val="20"/>
      <w:u w:val="none"/>
    </w:rPr>
  </w:style>
  <w:style w:type="character" w:customStyle="1" w:styleId="font51">
    <w:name w:val="font51"/>
    <w:basedOn w:val="a0"/>
    <w:qFormat/>
    <w:rsid w:val="002E5476"/>
    <w:rPr>
      <w:rFonts w:ascii="Times New Roman" w:hAnsi="Times New Roman" w:cs="Times New Roman" w:hint="default"/>
      <w:color w:val="231F20"/>
      <w:sz w:val="20"/>
      <w:szCs w:val="20"/>
      <w:u w:val="none"/>
    </w:rPr>
  </w:style>
  <w:style w:type="character" w:customStyle="1" w:styleId="font01">
    <w:name w:val="font01"/>
    <w:basedOn w:val="a0"/>
    <w:qFormat/>
    <w:rsid w:val="002E5476"/>
    <w:rPr>
      <w:rFonts w:ascii="宋体" w:eastAsia="宋体" w:hAnsi="宋体" w:cs="宋体" w:hint="eastAsia"/>
      <w:color w:val="231F20"/>
      <w:sz w:val="20"/>
      <w:szCs w:val="20"/>
      <w:u w:val="none"/>
    </w:rPr>
  </w:style>
  <w:style w:type="character" w:customStyle="1" w:styleId="font61">
    <w:name w:val="font61"/>
    <w:basedOn w:val="a0"/>
    <w:qFormat/>
    <w:rsid w:val="002E5476"/>
    <w:rPr>
      <w:rFonts w:ascii="Times New Roman" w:hAnsi="Times New Roman" w:cs="Times New Roman" w:hint="default"/>
      <w:color w:val="000000"/>
      <w:sz w:val="20"/>
      <w:szCs w:val="20"/>
      <w:u w:val="none"/>
      <w:vertAlign w:val="superscript"/>
    </w:rPr>
  </w:style>
  <w:style w:type="character" w:customStyle="1" w:styleId="font81">
    <w:name w:val="font81"/>
    <w:basedOn w:val="a0"/>
    <w:qFormat/>
    <w:rsid w:val="002E5476"/>
    <w:rPr>
      <w:rFonts w:ascii="Times New Roman" w:hAnsi="Times New Roman" w:cs="Times New Roman" w:hint="default"/>
      <w:color w:val="231F20"/>
      <w:sz w:val="20"/>
      <w:szCs w:val="20"/>
      <w:u w:val="none"/>
    </w:rPr>
  </w:style>
  <w:style w:type="character" w:customStyle="1" w:styleId="font11">
    <w:name w:val="font11"/>
    <w:basedOn w:val="a0"/>
    <w:qFormat/>
    <w:rsid w:val="002E5476"/>
    <w:rPr>
      <w:rFonts w:ascii="宋体" w:eastAsia="宋体" w:hAnsi="宋体" w:cs="宋体" w:hint="eastAsia"/>
      <w:color w:val="231F20"/>
      <w:sz w:val="20"/>
      <w:szCs w:val="20"/>
      <w:u w:val="none"/>
    </w:rPr>
  </w:style>
  <w:style w:type="paragraph" w:customStyle="1" w:styleId="TableParagraph">
    <w:name w:val="Table Paragraph"/>
    <w:basedOn w:val="a"/>
    <w:uiPriority w:val="1"/>
    <w:qFormat/>
    <w:rsid w:val="002E5476"/>
    <w:rPr>
      <w:rFonts w:ascii="宋体" w:eastAsia="宋体" w:hAnsi="宋体" w:cs="宋体"/>
      <w:lang w:val="zh-CN" w:eastAsia="en-US"/>
    </w:rPr>
  </w:style>
  <w:style w:type="paragraph" w:customStyle="1" w:styleId="EndNoteBibliographyTitle">
    <w:name w:val="EndNote Bibliography Title"/>
    <w:qFormat/>
    <w:rsid w:val="002E5476"/>
    <w:pPr>
      <w:jc w:val="center"/>
    </w:pPr>
    <w:rPr>
      <w:rFonts w:asciiTheme="minorHAnsi" w:eastAsiaTheme="minorEastAsia" w:hAnsiTheme="minorHAnsi" w:cstheme="minorBidi"/>
      <w:kern w:val="2"/>
      <w:szCs w:val="22"/>
    </w:rPr>
  </w:style>
  <w:style w:type="paragraph" w:customStyle="1" w:styleId="EndNoteBibliography">
    <w:name w:val="EndNote Bibliography"/>
    <w:qFormat/>
    <w:rsid w:val="002E5476"/>
    <w:pPr>
      <w:jc w:val="both"/>
    </w:pPr>
    <w:rPr>
      <w:rFonts w:asciiTheme="minorHAnsi" w:eastAsiaTheme="minorEastAsia" w:hAnsiTheme="minorHAnsi" w:cstheme="minorBidi"/>
      <w:kern w:val="2"/>
      <w:szCs w:val="22"/>
    </w:rPr>
  </w:style>
  <w:style w:type="paragraph" w:customStyle="1" w:styleId="20">
    <w:name w:val="列出段落2"/>
    <w:basedOn w:val="a"/>
    <w:uiPriority w:val="99"/>
    <w:unhideWhenUsed/>
    <w:qFormat/>
    <w:rsid w:val="002E5476"/>
    <w:pPr>
      <w:ind w:firstLineChars="200" w:firstLine="420"/>
    </w:pPr>
  </w:style>
  <w:style w:type="character" w:customStyle="1" w:styleId="fontstyle01">
    <w:name w:val="fontstyle01"/>
    <w:basedOn w:val="a0"/>
    <w:qFormat/>
    <w:rsid w:val="002E5476"/>
    <w:rPr>
      <w:rFonts w:ascii="宋体" w:eastAsia="宋体" w:hAnsi="宋体" w:hint="eastAsia"/>
      <w:color w:val="000000"/>
      <w:sz w:val="20"/>
      <w:szCs w:val="20"/>
    </w:rPr>
  </w:style>
  <w:style w:type="character" w:customStyle="1" w:styleId="Char1">
    <w:name w:val="批注框文本 Char"/>
    <w:basedOn w:val="a0"/>
    <w:link w:val="a6"/>
    <w:uiPriority w:val="99"/>
    <w:qFormat/>
    <w:rsid w:val="002E5476"/>
    <w:rPr>
      <w:rFonts w:asciiTheme="minorHAnsi" w:eastAsiaTheme="minorEastAsia" w:hAnsiTheme="minorHAnsi" w:cstheme="minorBidi"/>
      <w:kern w:val="2"/>
      <w:sz w:val="18"/>
      <w:szCs w:val="18"/>
    </w:rPr>
  </w:style>
  <w:style w:type="character" w:customStyle="1" w:styleId="Char3">
    <w:name w:val="页眉 Char"/>
    <w:basedOn w:val="a0"/>
    <w:link w:val="a8"/>
    <w:uiPriority w:val="99"/>
    <w:qFormat/>
    <w:rsid w:val="002E5476"/>
    <w:rPr>
      <w:rFonts w:asciiTheme="minorHAnsi" w:eastAsiaTheme="minorEastAsia" w:hAnsiTheme="minorHAnsi" w:cstheme="minorBidi"/>
      <w:kern w:val="2"/>
      <w:sz w:val="18"/>
      <w:szCs w:val="18"/>
    </w:rPr>
  </w:style>
  <w:style w:type="character" w:customStyle="1" w:styleId="Char2">
    <w:name w:val="页脚 Char"/>
    <w:basedOn w:val="a0"/>
    <w:link w:val="a7"/>
    <w:uiPriority w:val="99"/>
    <w:qFormat/>
    <w:rsid w:val="002E5476"/>
    <w:rPr>
      <w:rFonts w:asciiTheme="minorHAnsi" w:eastAsiaTheme="minorEastAsia" w:hAnsiTheme="minorHAnsi" w:cstheme="minorBidi"/>
      <w:kern w:val="2"/>
      <w:sz w:val="18"/>
      <w:szCs w:val="18"/>
    </w:rPr>
  </w:style>
  <w:style w:type="character" w:customStyle="1" w:styleId="fontstyle11">
    <w:name w:val="fontstyle11"/>
    <w:basedOn w:val="a0"/>
    <w:qFormat/>
    <w:rsid w:val="002E5476"/>
    <w:rPr>
      <w:color w:val="000000"/>
      <w:sz w:val="22"/>
      <w:szCs w:val="22"/>
    </w:rPr>
  </w:style>
  <w:style w:type="character" w:customStyle="1" w:styleId="fontstyle21">
    <w:name w:val="fontstyle21"/>
    <w:basedOn w:val="a0"/>
    <w:qFormat/>
    <w:rsid w:val="002E5476"/>
    <w:rPr>
      <w:color w:val="000000"/>
      <w:sz w:val="22"/>
      <w:szCs w:val="22"/>
    </w:rPr>
  </w:style>
  <w:style w:type="character" w:customStyle="1" w:styleId="Char">
    <w:name w:val="批注文字 Char"/>
    <w:basedOn w:val="a0"/>
    <w:link w:val="a4"/>
    <w:uiPriority w:val="99"/>
    <w:qFormat/>
    <w:rsid w:val="002E5476"/>
    <w:rPr>
      <w:rFonts w:asciiTheme="minorHAnsi" w:eastAsiaTheme="minorEastAsia" w:hAnsiTheme="minorHAnsi" w:cstheme="minorBidi"/>
      <w:kern w:val="2"/>
      <w:sz w:val="21"/>
      <w:szCs w:val="22"/>
    </w:rPr>
  </w:style>
  <w:style w:type="character" w:customStyle="1" w:styleId="Char0">
    <w:name w:val="正文文本 Char"/>
    <w:basedOn w:val="a0"/>
    <w:link w:val="a5"/>
    <w:uiPriority w:val="99"/>
    <w:qFormat/>
    <w:rsid w:val="002E5476"/>
    <w:rPr>
      <w:rFonts w:ascii="宋体" w:hAnsi="宋体" w:cs="宋体"/>
      <w:kern w:val="2"/>
      <w:sz w:val="13"/>
      <w:szCs w:val="13"/>
      <w:lang w:val="zh-CN" w:eastAsia="en-US"/>
    </w:rPr>
  </w:style>
  <w:style w:type="paragraph" w:customStyle="1" w:styleId="3">
    <w:name w:val="列出段落3"/>
    <w:basedOn w:val="a"/>
    <w:uiPriority w:val="99"/>
    <w:unhideWhenUsed/>
    <w:qFormat/>
    <w:rsid w:val="002E5476"/>
    <w:pPr>
      <w:ind w:firstLineChars="200" w:firstLine="420"/>
    </w:pPr>
  </w:style>
  <w:style w:type="paragraph" w:customStyle="1" w:styleId="4">
    <w:name w:val="列出段落4"/>
    <w:basedOn w:val="a"/>
    <w:uiPriority w:val="99"/>
    <w:unhideWhenUsed/>
    <w:qFormat/>
    <w:rsid w:val="002E5476"/>
    <w:pPr>
      <w:ind w:firstLineChars="200" w:firstLine="420"/>
    </w:pPr>
  </w:style>
  <w:style w:type="paragraph" w:customStyle="1" w:styleId="5">
    <w:name w:val="列出段落5"/>
    <w:basedOn w:val="a"/>
    <w:uiPriority w:val="99"/>
    <w:unhideWhenUsed/>
    <w:qFormat/>
    <w:rsid w:val="002E5476"/>
    <w:pPr>
      <w:ind w:firstLineChars="200" w:firstLine="420"/>
    </w:pPr>
  </w:style>
  <w:style w:type="character" w:customStyle="1" w:styleId="Char5">
    <w:name w:val="批注主题 Char"/>
    <w:basedOn w:val="Char"/>
    <w:link w:val="ab"/>
    <w:uiPriority w:val="99"/>
    <w:semiHidden/>
    <w:qFormat/>
    <w:rsid w:val="002E5476"/>
    <w:rPr>
      <w:rFonts w:asciiTheme="minorHAnsi" w:eastAsiaTheme="minorEastAsia" w:hAnsiTheme="minorHAnsi" w:cstheme="minorBidi"/>
      <w:b/>
      <w:bCs/>
      <w:kern w:val="2"/>
      <w:sz w:val="21"/>
      <w:szCs w:val="22"/>
    </w:rPr>
  </w:style>
  <w:style w:type="character" w:customStyle="1" w:styleId="inline-tablelabel">
    <w:name w:val="inline-table__label"/>
    <w:basedOn w:val="a0"/>
    <w:qFormat/>
    <w:rsid w:val="002E5476"/>
  </w:style>
  <w:style w:type="character" w:customStyle="1" w:styleId="inline-tabletitle">
    <w:name w:val="inline-table__title"/>
    <w:basedOn w:val="a0"/>
    <w:qFormat/>
    <w:rsid w:val="002E5476"/>
  </w:style>
  <w:style w:type="character" w:customStyle="1" w:styleId="label">
    <w:name w:val="label"/>
    <w:basedOn w:val="a0"/>
    <w:qFormat/>
    <w:rsid w:val="002E5476"/>
  </w:style>
  <w:style w:type="paragraph" w:customStyle="1" w:styleId="6">
    <w:name w:val="列出段落6"/>
    <w:basedOn w:val="a"/>
    <w:uiPriority w:val="99"/>
    <w:unhideWhenUsed/>
    <w:qFormat/>
    <w:rsid w:val="002E5476"/>
    <w:pPr>
      <w:ind w:firstLineChars="200" w:firstLine="420"/>
    </w:pPr>
  </w:style>
  <w:style w:type="paragraph" w:customStyle="1" w:styleId="DecimalAligned">
    <w:name w:val="Decimal Aligned"/>
    <w:basedOn w:val="a"/>
    <w:uiPriority w:val="40"/>
    <w:qFormat/>
    <w:rsid w:val="002E5476"/>
    <w:pPr>
      <w:widowControl/>
      <w:tabs>
        <w:tab w:val="decimal" w:pos="360"/>
      </w:tabs>
      <w:spacing w:after="200" w:line="276" w:lineRule="auto"/>
      <w:jc w:val="left"/>
    </w:pPr>
    <w:rPr>
      <w:rFonts w:eastAsiaTheme="minorHAnsi"/>
      <w:kern w:val="0"/>
      <w:sz w:val="22"/>
    </w:rPr>
  </w:style>
  <w:style w:type="character" w:customStyle="1" w:styleId="Char4">
    <w:name w:val="脚注文本 Char"/>
    <w:basedOn w:val="a0"/>
    <w:link w:val="a9"/>
    <w:uiPriority w:val="99"/>
    <w:qFormat/>
    <w:rsid w:val="002E5476"/>
    <w:rPr>
      <w:rFonts w:asciiTheme="minorHAnsi" w:eastAsiaTheme="minorEastAsia" w:hAnsiTheme="minorHAnsi" w:cstheme="minorBidi"/>
    </w:rPr>
  </w:style>
  <w:style w:type="character" w:customStyle="1" w:styleId="11">
    <w:name w:val="不明显强调1"/>
    <w:basedOn w:val="a0"/>
    <w:uiPriority w:val="19"/>
    <w:qFormat/>
    <w:rsid w:val="002E5476"/>
    <w:rPr>
      <w:i/>
      <w:iCs/>
      <w:color w:val="000000" w:themeColor="text1"/>
    </w:rPr>
  </w:style>
  <w:style w:type="paragraph" w:customStyle="1" w:styleId="WPSOffice1">
    <w:name w:val="WPSOffice手动目录 1"/>
    <w:qFormat/>
    <w:rsid w:val="002E5476"/>
  </w:style>
  <w:style w:type="paragraph" w:customStyle="1" w:styleId="WPSOffice2">
    <w:name w:val="WPSOffice手动目录 2"/>
    <w:qFormat/>
    <w:rsid w:val="002E5476"/>
    <w:pPr>
      <w:ind w:leftChars="200" w:left="200"/>
    </w:pPr>
  </w:style>
  <w:style w:type="paragraph" w:customStyle="1" w:styleId="WPSOffice3">
    <w:name w:val="WPSOffice手动目录 3"/>
    <w:qFormat/>
    <w:rsid w:val="002E5476"/>
    <w:pPr>
      <w:ind w:leftChars="400" w:left="400"/>
    </w:pPr>
  </w:style>
  <w:style w:type="character" w:customStyle="1" w:styleId="font21">
    <w:name w:val="font21"/>
    <w:basedOn w:val="a0"/>
    <w:qFormat/>
    <w:rsid w:val="002E5476"/>
    <w:rPr>
      <w:rFonts w:ascii="Times New Roman" w:hAnsi="Times New Roman" w:cs="Times New Roman" w:hint="default"/>
      <w:b/>
      <w:color w:val="000000"/>
      <w:sz w:val="18"/>
      <w:szCs w:val="18"/>
      <w:u w:val="none"/>
    </w:rPr>
  </w:style>
  <w:style w:type="paragraph" w:customStyle="1" w:styleId="12">
    <w:name w:val="样式1"/>
    <w:basedOn w:val="1"/>
    <w:qFormat/>
    <w:rsid w:val="002E5476"/>
  </w:style>
  <w:style w:type="paragraph" w:customStyle="1" w:styleId="13">
    <w:name w:val="修订1"/>
    <w:hidden/>
    <w:uiPriority w:val="99"/>
    <w:semiHidden/>
    <w:qFormat/>
    <w:rsid w:val="002E5476"/>
    <w:rPr>
      <w:rFonts w:asciiTheme="minorHAnsi" w:eastAsiaTheme="minorEastAsia" w:hAnsiTheme="minorHAnsi" w:cstheme="minorBidi"/>
      <w:kern w:val="2"/>
      <w:sz w:val="21"/>
      <w:szCs w:val="22"/>
    </w:rPr>
  </w:style>
  <w:style w:type="paragraph" w:customStyle="1" w:styleId="21">
    <w:name w:val="修订2"/>
    <w:hidden/>
    <w:uiPriority w:val="99"/>
    <w:semiHidden/>
    <w:qFormat/>
    <w:rsid w:val="002E5476"/>
    <w:rPr>
      <w:rFonts w:asciiTheme="minorHAnsi" w:eastAsiaTheme="minorEastAsia" w:hAnsiTheme="minorHAnsi" w:cstheme="minorBidi"/>
      <w:kern w:val="2"/>
      <w:sz w:val="21"/>
      <w:szCs w:val="22"/>
    </w:rPr>
  </w:style>
  <w:style w:type="paragraph" w:customStyle="1" w:styleId="30">
    <w:name w:val="修订3"/>
    <w:hidden/>
    <w:uiPriority w:val="99"/>
    <w:semiHidden/>
    <w:qFormat/>
    <w:rsid w:val="002E5476"/>
    <w:rPr>
      <w:rFonts w:asciiTheme="minorHAnsi" w:eastAsiaTheme="minorEastAsia" w:hAnsiTheme="minorHAnsi" w:cstheme="minorBidi"/>
      <w:kern w:val="2"/>
      <w:sz w:val="21"/>
      <w:szCs w:val="22"/>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s://doi.org/10.2337/dc20-Sppc" TargetMode="External"/><Relationship Id="rId4" Type="http://schemas.openxmlformats.org/officeDocument/2006/relationships/styles" Target="styles.xml"/><Relationship Id="rId9" Type="http://schemas.openxmlformats.org/officeDocument/2006/relationships/hyperlink" Target="https://pubmed.ncbi.nlm.nih.gov/?term=ALLHAT+Officers+and+Coordinators+for+the+ALLHAT+Collaborative+Research+Group.+The+Antihypertensive+and+Lipid-Lowering+Treatment+to+Prevent+Heart+Attack+Trial%5bCorporate+Author%5d" TargetMode="External"/><Relationship Id="rId14"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f707655a-de5c-413b-9899-8884e167d69f}"/>
        <w:category>
          <w:name w:val="常规"/>
          <w:gallery w:val="placeholder"/>
        </w:category>
        <w:types>
          <w:type w:val="bbPlcHdr"/>
        </w:types>
        <w:behaviors>
          <w:behavior w:val="content"/>
        </w:behaviors>
        <w:guid w:val="{F707655A-DE5C-413B-9899-8884E167D69F}"/>
      </w:docPartPr>
      <w:docPartBody>
        <w:p w:rsidR="00D10D74" w:rsidRDefault="00D10D74">
          <w:r>
            <w:rPr>
              <w:color w:val="808080"/>
            </w:rPr>
            <w:t>单击此处输入文字。</w:t>
          </w:r>
        </w:p>
      </w:docPartBody>
    </w:docPart>
    <w:docPart>
      <w:docPartPr>
        <w:name w:val="{9ee997aa-0df6-45ae-943c-0d01bf97c546}"/>
        <w:category>
          <w:name w:val="常规"/>
          <w:gallery w:val="placeholder"/>
        </w:category>
        <w:types>
          <w:type w:val="bbPlcHdr"/>
        </w:types>
        <w:behaviors>
          <w:behavior w:val="content"/>
        </w:behaviors>
        <w:guid w:val="{9EE997AA-0DF6-45AE-943C-0D01BF97C546}"/>
      </w:docPartPr>
      <w:docPartBody>
        <w:p w:rsidR="00D10D74" w:rsidRDefault="00D10D74">
          <w:r>
            <w:rPr>
              <w:color w:val="808080"/>
            </w:rPr>
            <w:t>单击此处输入文字。</w:t>
          </w:r>
        </w:p>
      </w:docPartBody>
    </w:docPart>
    <w:docPart>
      <w:docPartPr>
        <w:name w:val="{75002aa8-d9a3-4af0-bb8e-aa70beaaa068}"/>
        <w:category>
          <w:name w:val="常规"/>
          <w:gallery w:val="placeholder"/>
        </w:category>
        <w:types>
          <w:type w:val="bbPlcHdr"/>
        </w:types>
        <w:behaviors>
          <w:behavior w:val="content"/>
        </w:behaviors>
        <w:guid w:val="{75002AA8-D9A3-4AF0-BB8E-AA70BEAAA068}"/>
      </w:docPartPr>
      <w:docPartBody>
        <w:p w:rsidR="00D10D74" w:rsidRDefault="00D10D74">
          <w:r>
            <w:rPr>
              <w:color w:val="808080"/>
            </w:rPr>
            <w:t>单击此处输入文字。</w:t>
          </w:r>
        </w:p>
      </w:docPartBody>
    </w:docPart>
    <w:docPart>
      <w:docPartPr>
        <w:name w:val="{4aed588f-8c5a-45ec-9563-3824c7c6a6bb}"/>
        <w:category>
          <w:name w:val="常规"/>
          <w:gallery w:val="placeholder"/>
        </w:category>
        <w:types>
          <w:type w:val="bbPlcHdr"/>
        </w:types>
        <w:behaviors>
          <w:behavior w:val="content"/>
        </w:behaviors>
        <w:guid w:val="{4AED588F-8C5A-45EC-9563-3824C7C6A6BB}"/>
      </w:docPartPr>
      <w:docPartBody>
        <w:p w:rsidR="00D10D74" w:rsidRDefault="00D10D74">
          <w:r>
            <w:rPr>
              <w:color w:val="808080"/>
            </w:rPr>
            <w:t>单击此处输入文字。</w:t>
          </w:r>
        </w:p>
      </w:docPartBody>
    </w:docPart>
    <w:docPart>
      <w:docPartPr>
        <w:name w:val="{958951a4-94b1-43a0-b4bd-2cc74d113f66}"/>
        <w:category>
          <w:name w:val="常规"/>
          <w:gallery w:val="placeholder"/>
        </w:category>
        <w:types>
          <w:type w:val="bbPlcHdr"/>
        </w:types>
        <w:behaviors>
          <w:behavior w:val="content"/>
        </w:behaviors>
        <w:guid w:val="{958951A4-94B1-43A0-B4BD-2CC74D113F66}"/>
      </w:docPartPr>
      <w:docPartBody>
        <w:p w:rsidR="00D10D74" w:rsidRDefault="00D10D74">
          <w:r>
            <w:rPr>
              <w:color w:val="808080"/>
            </w:rPr>
            <w:t>单击此处输入文字。</w:t>
          </w:r>
        </w:p>
      </w:docPartBody>
    </w:docPart>
    <w:docPart>
      <w:docPartPr>
        <w:name w:val="{403affda-205a-4dc4-9ca3-57b568c4f88f}"/>
        <w:category>
          <w:name w:val="常规"/>
          <w:gallery w:val="placeholder"/>
        </w:category>
        <w:types>
          <w:type w:val="bbPlcHdr"/>
        </w:types>
        <w:behaviors>
          <w:behavior w:val="content"/>
        </w:behaviors>
        <w:guid w:val="{403AFFDA-205A-4DC4-9CA3-57B568C4F88F}"/>
      </w:docPartPr>
      <w:docPartBody>
        <w:p w:rsidR="00D10D74" w:rsidRDefault="00D10D74">
          <w:r>
            <w:rPr>
              <w:color w:val="808080"/>
            </w:rPr>
            <w:t>单击此处输入文字。</w:t>
          </w:r>
        </w:p>
      </w:docPartBody>
    </w:docPart>
    <w:docPart>
      <w:docPartPr>
        <w:name w:val="{8e5e9d69-0733-4f0f-941d-efc635a8d5f0}"/>
        <w:category>
          <w:name w:val="常规"/>
          <w:gallery w:val="placeholder"/>
        </w:category>
        <w:types>
          <w:type w:val="bbPlcHdr"/>
        </w:types>
        <w:behaviors>
          <w:behavior w:val="content"/>
        </w:behaviors>
        <w:guid w:val="{8E5E9D69-0733-4F0F-941D-EFC635A8D5F0}"/>
      </w:docPartPr>
      <w:docPartBody>
        <w:p w:rsidR="00D10D74" w:rsidRDefault="00D10D74">
          <w:r>
            <w:rPr>
              <w:color w:val="808080"/>
            </w:rPr>
            <w:t>单击此处输入文字。</w:t>
          </w:r>
        </w:p>
      </w:docPartBody>
    </w:docPart>
    <w:docPart>
      <w:docPartPr>
        <w:name w:val="{d492f4e9-27d8-4197-a0d1-8865533947e9}"/>
        <w:category>
          <w:name w:val="常规"/>
          <w:gallery w:val="placeholder"/>
        </w:category>
        <w:types>
          <w:type w:val="bbPlcHdr"/>
        </w:types>
        <w:behaviors>
          <w:behavior w:val="content"/>
        </w:behaviors>
        <w:guid w:val="{D492F4E9-27D8-4197-A0D1-8865533947E9}"/>
      </w:docPartPr>
      <w:docPartBody>
        <w:p w:rsidR="00D10D74" w:rsidRDefault="00D10D74">
          <w:r>
            <w:rPr>
              <w:color w:val="808080"/>
            </w:rPr>
            <w:t>单击此处输入文字。</w:t>
          </w:r>
        </w:p>
      </w:docPartBody>
    </w:docPart>
    <w:docPart>
      <w:docPartPr>
        <w:name w:val="{f46f9597-ea5f-483f-8f6c-d08980387de9}"/>
        <w:category>
          <w:name w:val="常规"/>
          <w:gallery w:val="placeholder"/>
        </w:category>
        <w:types>
          <w:type w:val="bbPlcHdr"/>
        </w:types>
        <w:behaviors>
          <w:behavior w:val="content"/>
        </w:behaviors>
        <w:guid w:val="{F46F9597-EA5F-483F-8F6C-D08980387DE9}"/>
      </w:docPartPr>
      <w:docPartBody>
        <w:p w:rsidR="00D10D74" w:rsidRDefault="00D10D74">
          <w:r>
            <w:rPr>
              <w:color w:val="808080"/>
            </w:rPr>
            <w:t>单击此处输入文字。</w:t>
          </w:r>
        </w:p>
      </w:docPartBody>
    </w:docPart>
    <w:docPart>
      <w:docPartPr>
        <w:name w:val="{0561ce1f-e219-476c-8abf-5cf19d917fc0}"/>
        <w:category>
          <w:name w:val="常规"/>
          <w:gallery w:val="placeholder"/>
        </w:category>
        <w:types>
          <w:type w:val="bbPlcHdr"/>
        </w:types>
        <w:behaviors>
          <w:behavior w:val="content"/>
        </w:behaviors>
        <w:guid w:val="{0561CE1F-E219-476C-8ABF-5CF19D917FC0}"/>
      </w:docPartPr>
      <w:docPartBody>
        <w:p w:rsidR="00D10D74" w:rsidRDefault="00D10D74">
          <w:r>
            <w:rPr>
              <w:color w:val="808080"/>
            </w:rPr>
            <w:t>单击此处输入文字。</w:t>
          </w:r>
        </w:p>
      </w:docPartBody>
    </w:docPart>
    <w:docPart>
      <w:docPartPr>
        <w:name w:val="{b185b664-cf70-40b6-8e12-0f3393d6ec2e}"/>
        <w:category>
          <w:name w:val="常规"/>
          <w:gallery w:val="placeholder"/>
        </w:category>
        <w:types>
          <w:type w:val="bbPlcHdr"/>
        </w:types>
        <w:behaviors>
          <w:behavior w:val="content"/>
        </w:behaviors>
        <w:guid w:val="{B185B664-CF70-40B6-8E12-0F3393D6EC2E}"/>
      </w:docPartPr>
      <w:docPartBody>
        <w:p w:rsidR="00D10D74" w:rsidRDefault="00D10D74">
          <w:r>
            <w:rPr>
              <w:color w:val="808080"/>
            </w:rPr>
            <w:t>单击此处输入文字。</w:t>
          </w:r>
        </w:p>
      </w:docPartBody>
    </w:docPart>
    <w:docPart>
      <w:docPartPr>
        <w:name w:val="{e93358e1-79aa-4431-a76c-7c7def9dacc2}"/>
        <w:category>
          <w:name w:val="常规"/>
          <w:gallery w:val="placeholder"/>
        </w:category>
        <w:types>
          <w:type w:val="bbPlcHdr"/>
        </w:types>
        <w:behaviors>
          <w:behavior w:val="content"/>
        </w:behaviors>
        <w:guid w:val="{E93358E1-79AA-4431-A76C-7C7DEF9DACC2}"/>
      </w:docPartPr>
      <w:docPartBody>
        <w:p w:rsidR="00D10D74" w:rsidRDefault="00D10D74">
          <w:r>
            <w:rPr>
              <w:color w:val="808080"/>
            </w:rPr>
            <w:t>单击此处输入文字。</w:t>
          </w:r>
        </w:p>
      </w:docPartBody>
    </w:docPart>
    <w:docPart>
      <w:docPartPr>
        <w:name w:val="{ec138fb2-ed9d-41fe-b544-79f9cca4b474}"/>
        <w:category>
          <w:name w:val="常规"/>
          <w:gallery w:val="placeholder"/>
        </w:category>
        <w:types>
          <w:type w:val="bbPlcHdr"/>
        </w:types>
        <w:behaviors>
          <w:behavior w:val="content"/>
        </w:behaviors>
        <w:guid w:val="{EC138FB2-ED9D-41FE-B544-79F9CCA4B474}"/>
      </w:docPartPr>
      <w:docPartBody>
        <w:p w:rsidR="00D10D74" w:rsidRDefault="00D10D74">
          <w:r>
            <w:rPr>
              <w:color w:val="808080"/>
            </w:rPr>
            <w:t>单击此处输入文字。</w:t>
          </w:r>
        </w:p>
      </w:docPartBody>
    </w:docPart>
    <w:docPart>
      <w:docPartPr>
        <w:name w:val="{cc2065c6-55fe-4ade-b186-5d5e0590baa1}"/>
        <w:category>
          <w:name w:val="常规"/>
          <w:gallery w:val="placeholder"/>
        </w:category>
        <w:types>
          <w:type w:val="bbPlcHdr"/>
        </w:types>
        <w:behaviors>
          <w:behavior w:val="content"/>
        </w:behaviors>
        <w:guid w:val="{CC2065C6-55FE-4ADE-B186-5D5E0590BAA1}"/>
      </w:docPartPr>
      <w:docPartBody>
        <w:p w:rsidR="00D10D74" w:rsidRDefault="00D10D74">
          <w:r>
            <w:rPr>
              <w:color w:val="808080"/>
            </w:rPr>
            <w:t>单击此处输入文字。</w:t>
          </w:r>
        </w:p>
      </w:docPartBody>
    </w:docPart>
    <w:docPart>
      <w:docPartPr>
        <w:name w:val="{b3968b2f-a8e3-40b2-b230-129aaf6e9d0d}"/>
        <w:category>
          <w:name w:val="常规"/>
          <w:gallery w:val="placeholder"/>
        </w:category>
        <w:types>
          <w:type w:val="bbPlcHdr"/>
        </w:types>
        <w:behaviors>
          <w:behavior w:val="content"/>
        </w:behaviors>
        <w:guid w:val="{B3968B2F-A8E3-40B2-B230-129AAF6E9D0D}"/>
      </w:docPartPr>
      <w:docPartBody>
        <w:p w:rsidR="00D10D74" w:rsidRDefault="00D10D74">
          <w:r>
            <w:rPr>
              <w:color w:val="808080"/>
            </w:rPr>
            <w:t>单击此处输入文字。</w:t>
          </w:r>
        </w:p>
      </w:docPartBody>
    </w:docPart>
    <w:docPart>
      <w:docPartPr>
        <w:name w:val="{8efa53d5-558c-4cfa-80e0-a56fded6f9d2}"/>
        <w:category>
          <w:name w:val="常规"/>
          <w:gallery w:val="placeholder"/>
        </w:category>
        <w:types>
          <w:type w:val="bbPlcHdr"/>
        </w:types>
        <w:behaviors>
          <w:behavior w:val="content"/>
        </w:behaviors>
        <w:guid w:val="{8EFA53D5-558C-4CFA-80E0-A56FDED6F9D2}"/>
      </w:docPartPr>
      <w:docPartBody>
        <w:p w:rsidR="00D10D74" w:rsidRDefault="00D10D74">
          <w:r>
            <w:rPr>
              <w:color w:val="808080"/>
            </w:rPr>
            <w:t>单击此处输入文字。</w:t>
          </w:r>
        </w:p>
      </w:docPartBody>
    </w:docPart>
    <w:docPart>
      <w:docPartPr>
        <w:name w:val="{d215c719-7d4e-4105-ae23-a5747c1405ae}"/>
        <w:category>
          <w:name w:val="常规"/>
          <w:gallery w:val="placeholder"/>
        </w:category>
        <w:types>
          <w:type w:val="bbPlcHdr"/>
        </w:types>
        <w:behaviors>
          <w:behavior w:val="content"/>
        </w:behaviors>
        <w:guid w:val="{D215C719-7D4E-4105-AE23-A5747C1405AE}"/>
      </w:docPartPr>
      <w:docPartBody>
        <w:p w:rsidR="00D10D74" w:rsidRDefault="00D10D74">
          <w:r>
            <w:rPr>
              <w:color w:val="808080"/>
            </w:rPr>
            <w:t>单击此处输入文字。</w:t>
          </w:r>
        </w:p>
      </w:docPartBody>
    </w:docPart>
    <w:docPart>
      <w:docPartPr>
        <w:name w:val="{3de68b18-cdcf-4dc1-aa78-22662b6238e6}"/>
        <w:category>
          <w:name w:val="常规"/>
          <w:gallery w:val="placeholder"/>
        </w:category>
        <w:types>
          <w:type w:val="bbPlcHdr"/>
        </w:types>
        <w:behaviors>
          <w:behavior w:val="content"/>
        </w:behaviors>
        <w:guid w:val="{3DE68B18-CDCF-4DC1-AA78-22662B6238E6}"/>
      </w:docPartPr>
      <w:docPartBody>
        <w:p w:rsidR="00D10D74" w:rsidRDefault="00D10D74">
          <w:r>
            <w:rPr>
              <w:color w:val="808080"/>
            </w:rPr>
            <w:t>单击此处输入文字。</w:t>
          </w:r>
        </w:p>
      </w:docPartBody>
    </w:docPart>
    <w:docPart>
      <w:docPartPr>
        <w:name w:val="{bcdff9cc-d16f-46fd-b84c-dbd2696fd545}"/>
        <w:category>
          <w:name w:val="常规"/>
          <w:gallery w:val="placeholder"/>
        </w:category>
        <w:types>
          <w:type w:val="bbPlcHdr"/>
        </w:types>
        <w:behaviors>
          <w:behavior w:val="content"/>
        </w:behaviors>
        <w:guid w:val="{BCDFF9CC-D16F-46FD-B84C-DBD2696FD545}"/>
      </w:docPartPr>
      <w:docPartBody>
        <w:p w:rsidR="00D10D74" w:rsidRDefault="00D10D74">
          <w:r>
            <w:rPr>
              <w:color w:val="808080"/>
            </w:rPr>
            <w:t>单击此处输入文字。</w:t>
          </w:r>
        </w:p>
      </w:docPartBody>
    </w:docPart>
    <w:docPart>
      <w:docPartPr>
        <w:name w:val="{e32a90f2-f874-49d0-9700-ddaff2e43dda}"/>
        <w:category>
          <w:name w:val="常规"/>
          <w:gallery w:val="placeholder"/>
        </w:category>
        <w:types>
          <w:type w:val="bbPlcHdr"/>
        </w:types>
        <w:behaviors>
          <w:behavior w:val="content"/>
        </w:behaviors>
        <w:guid w:val="{E32A90F2-F874-49D0-9700-DDAFF2E43DDA}"/>
      </w:docPartPr>
      <w:docPartBody>
        <w:p w:rsidR="00D10D74" w:rsidRDefault="00D10D74">
          <w:r>
            <w:rPr>
              <w:color w:val="808080"/>
            </w:rPr>
            <w:t>单击此处输入文字。</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DejaVu Sans">
    <w:altName w:val="Times New Roman"/>
    <w:charset w:val="00"/>
    <w:family w:val="roman"/>
    <w:pitch w:val="default"/>
    <w:sig w:usb0="00000000" w:usb1="00000000" w:usb2="00000008" w:usb3="00000000" w:csb0="000001FF" w:csb1="00000000"/>
  </w:font>
  <w:font w:name="方正黑体_GBK">
    <w:altName w:val="微软雅黑"/>
    <w:charset w:val="00"/>
    <w:family w:val="auto"/>
    <w:pitch w:val="default"/>
    <w:sig w:usb0="00000000" w:usb1="00000000" w:usb2="00000000" w:usb3="00000000" w:csb0="00040000"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notTrueType/>
    <w:pitch w:val="fixed"/>
    <w:sig w:usb0="00000001" w:usb1="080E0000" w:usb2="00000010" w:usb3="00000000" w:csb0="00040000" w:csb1="00000000"/>
  </w:font>
  <w:font w:name="Cambria Math">
    <w:panose1 w:val="02040503050406030204"/>
    <w:charset w:val="00"/>
    <w:family w:val="roman"/>
    <w:pitch w:val="variable"/>
    <w:sig w:usb0="E00002FF" w:usb1="420024FF" w:usb2="00000000" w:usb3="00000000" w:csb0="0000019F" w:csb1="00000000"/>
  </w:font>
  <w:font w:name="仿宋">
    <w:panose1 w:val="02010609060101010101"/>
    <w:charset w:val="86"/>
    <w:family w:val="modern"/>
    <w:pitch w:val="fixed"/>
    <w:sig w:usb0="800002BF" w:usb1="38CF7CFA" w:usb2="00000016" w:usb3="00000000" w:csb0="00040001"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bordersDoNotSurroundHeader/>
  <w:bordersDoNotSurroundFooter/>
  <w:defaultTabStop w:val="420"/>
  <w:characterSpacingControl w:val="doNotCompress"/>
  <w:compat>
    <w:useFELayout/>
  </w:compat>
  <w:rsids>
    <w:rsidRoot w:val="008369D4"/>
    <w:rsid w:val="0006645E"/>
    <w:rsid w:val="000D1201"/>
    <w:rsid w:val="001227C5"/>
    <w:rsid w:val="001230A9"/>
    <w:rsid w:val="003B6347"/>
    <w:rsid w:val="00541831"/>
    <w:rsid w:val="006716CE"/>
    <w:rsid w:val="00687EA6"/>
    <w:rsid w:val="00756FB0"/>
    <w:rsid w:val="00794147"/>
    <w:rsid w:val="008369D4"/>
    <w:rsid w:val="009861BD"/>
    <w:rsid w:val="00AD6DD0"/>
    <w:rsid w:val="00B62FD8"/>
    <w:rsid w:val="00B835B9"/>
    <w:rsid w:val="00BA5205"/>
    <w:rsid w:val="00BC7492"/>
    <w:rsid w:val="00C00E01"/>
    <w:rsid w:val="00C557F0"/>
    <w:rsid w:val="00C85E6F"/>
    <w:rsid w:val="00CF1081"/>
    <w:rsid w:val="00D10D74"/>
    <w:rsid w:val="00D1799E"/>
    <w:rsid w:val="00DA0036"/>
    <w:rsid w:val="00DF3716"/>
    <w:rsid w:val="00EA33B4"/>
    <w:rsid w:val="00EC21C3"/>
    <w:rsid w:val="00ED6CEE"/>
    <w:rsid w:val="00EE4353"/>
    <w:rsid w:val="00EF60A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Default Paragraph Font" w:uiPriority="1"/>
    <w:lsdException w:name="Normal Table" w:qFormat="1"/>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10D7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glossary/webSettings.xml><?xml version="1.0" encoding="utf-8"?>
<w:webSettings xmlns:r="http://schemas.openxmlformats.org/officeDocument/2006/relationships" xmlns:w="http://schemas.openxmlformats.org/wordprocessingml/2006/main"/>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customShpExts>
    <customShpInfo spid="_x0000_s2050"/>
    <customShpInfo spid="_x0000_s2053"/>
    <customShpInfo spid="_x0000_s2052"/>
    <customShpInfo spid="_x0000_s2054"/>
  </customShpExts>
</s:customData>
</file>

<file path=customXml/itemProps1.xml><?xml version="1.0" encoding="utf-8"?>
<ds:datastoreItem xmlns:ds="http://schemas.openxmlformats.org/officeDocument/2006/customXml" ds:itemID="{B5A8E460-3157-47D2-BDBD-67A6D3D5AC8A}">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67</TotalTime>
  <Pages>1</Pages>
  <Words>10426</Words>
  <Characters>59432</Characters>
  <Application>Microsoft Office Word</Application>
  <DocSecurity>0</DocSecurity>
  <Lines>495</Lines>
  <Paragraphs>139</Paragraphs>
  <ScaleCrop>false</ScaleCrop>
  <Company>Microsoft</Company>
  <LinksUpToDate>false</LinksUpToDate>
  <CharactersWithSpaces>69719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张悦阳</dc:creator>
  <dc:description>NE.Ref</dc:description>
  <cp:lastModifiedBy>微软用户</cp:lastModifiedBy>
  <cp:revision>37</cp:revision>
  <dcterms:created xsi:type="dcterms:W3CDTF">2022-05-29T02:27:00Z</dcterms:created>
  <dcterms:modified xsi:type="dcterms:W3CDTF">2022-06-22T02:45:00Z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11B8F4CCAD4449BBA30946C79C14F3CE</vt:lpwstr>
  </property>
</Properties>
</file>