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6FF8" w:rsidRDefault="00DD68D6">
      <w:pPr>
        <w:jc w:val="center"/>
        <w:rPr>
          <w:rFonts w:ascii="Times New Roman" w:eastAsia="宋体" w:hAnsi="Times New Roman" w:cs="Times New Roman"/>
          <w:b/>
          <w:bCs/>
          <w:sz w:val="36"/>
          <w:szCs w:val="36"/>
        </w:rPr>
      </w:pPr>
      <w:r>
        <w:rPr>
          <w:rFonts w:ascii="Times New Roman" w:eastAsia="宋体" w:hAnsi="Times New Roman" w:cs="Times New Roman"/>
          <w:b/>
          <w:bCs/>
          <w:sz w:val="40"/>
          <w:szCs w:val="40"/>
        </w:rPr>
        <w:t>广东省</w:t>
      </w:r>
      <w:r>
        <w:rPr>
          <w:rFonts w:ascii="Times New Roman" w:eastAsia="宋体" w:hAnsi="Times New Roman" w:cs="Times New Roman"/>
          <w:b/>
          <w:bCs/>
          <w:sz w:val="40"/>
          <w:szCs w:val="40"/>
        </w:rPr>
        <w:t>SGLT-2</w:t>
      </w:r>
      <w:r>
        <w:rPr>
          <w:rFonts w:ascii="Times New Roman" w:eastAsia="宋体" w:hAnsi="Times New Roman" w:cs="Times New Roman"/>
          <w:b/>
          <w:bCs/>
          <w:sz w:val="40"/>
          <w:szCs w:val="40"/>
        </w:rPr>
        <w:t>抑制剂临床快速综合评价专家共识</w:t>
      </w:r>
    </w:p>
    <w:p w:rsidR="00516354" w:rsidRPr="00E72D95" w:rsidRDefault="00516354" w:rsidP="00516354">
      <w:pPr>
        <w:jc w:val="center"/>
        <w:rPr>
          <w:rFonts w:ascii="Times New Roman" w:eastAsia="仿宋" w:hAnsi="Times New Roman" w:cs="Times New Roman"/>
          <w:bCs/>
          <w:sz w:val="28"/>
          <w:szCs w:val="28"/>
        </w:rPr>
      </w:pPr>
      <w:r w:rsidRPr="00E72D95">
        <w:rPr>
          <w:rFonts w:ascii="Times New Roman" w:eastAsia="仿宋" w:hAnsi="Times New Roman" w:cs="Times New Roman"/>
          <w:bCs/>
          <w:sz w:val="28"/>
          <w:szCs w:val="28"/>
        </w:rPr>
        <w:t>（广东省药学会</w:t>
      </w:r>
      <w:r>
        <w:rPr>
          <w:rFonts w:ascii="Times New Roman" w:eastAsia="仿宋" w:hAnsi="Times New Roman" w:cs="Times New Roman" w:hint="eastAsia"/>
          <w:bCs/>
          <w:sz w:val="28"/>
          <w:szCs w:val="28"/>
        </w:rPr>
        <w:t>2022</w:t>
      </w:r>
      <w:r>
        <w:rPr>
          <w:rFonts w:ascii="Times New Roman" w:eastAsia="仿宋" w:hAnsi="Times New Roman" w:cs="Times New Roman" w:hint="eastAsia"/>
          <w:bCs/>
          <w:sz w:val="28"/>
          <w:szCs w:val="28"/>
        </w:rPr>
        <w:t>年</w:t>
      </w:r>
      <w:r>
        <w:rPr>
          <w:rFonts w:ascii="Times New Roman" w:eastAsia="仿宋" w:hAnsi="Times New Roman" w:cs="Times New Roman" w:hint="eastAsia"/>
          <w:bCs/>
          <w:sz w:val="28"/>
          <w:szCs w:val="28"/>
        </w:rPr>
        <w:t>7</w:t>
      </w:r>
      <w:r>
        <w:rPr>
          <w:rFonts w:ascii="Times New Roman" w:eastAsia="仿宋" w:hAnsi="Times New Roman" w:cs="Times New Roman" w:hint="eastAsia"/>
          <w:bCs/>
          <w:sz w:val="28"/>
          <w:szCs w:val="28"/>
        </w:rPr>
        <w:t>月</w:t>
      </w:r>
      <w:r>
        <w:rPr>
          <w:rFonts w:ascii="Times New Roman" w:eastAsia="仿宋" w:hAnsi="Times New Roman" w:cs="Times New Roman" w:hint="eastAsia"/>
          <w:bCs/>
          <w:sz w:val="28"/>
          <w:szCs w:val="28"/>
        </w:rPr>
        <w:t>29</w:t>
      </w:r>
      <w:r>
        <w:rPr>
          <w:rFonts w:ascii="Times New Roman" w:eastAsia="仿宋" w:hAnsi="Times New Roman" w:cs="Times New Roman" w:hint="eastAsia"/>
          <w:bCs/>
          <w:sz w:val="28"/>
          <w:szCs w:val="28"/>
        </w:rPr>
        <w:t>日</w:t>
      </w:r>
      <w:r w:rsidRPr="00E72D95">
        <w:rPr>
          <w:rFonts w:ascii="Times New Roman" w:eastAsia="仿宋" w:hAnsi="Times New Roman" w:cs="Times New Roman" w:hint="eastAsia"/>
          <w:bCs/>
          <w:sz w:val="28"/>
          <w:szCs w:val="28"/>
        </w:rPr>
        <w:t>发布）</w:t>
      </w:r>
    </w:p>
    <w:p w:rsidR="00C96FF8" w:rsidRPr="00516354" w:rsidRDefault="00C96FF8">
      <w:pPr>
        <w:ind w:firstLineChars="200" w:firstLine="562"/>
        <w:rPr>
          <w:rFonts w:ascii="Times New Roman" w:eastAsia="仿宋" w:hAnsi="Times New Roman" w:cs="Times New Roman"/>
          <w:b/>
          <w:bCs/>
          <w:sz w:val="28"/>
          <w:szCs w:val="28"/>
        </w:rPr>
      </w:pPr>
      <w:bookmarkStart w:id="0" w:name="_GoBack"/>
      <w:bookmarkEnd w:id="0"/>
    </w:p>
    <w:p w:rsidR="00C96FF8" w:rsidRDefault="00DD68D6">
      <w:pPr>
        <w:rPr>
          <w:rFonts w:ascii="Times New Roman" w:eastAsia="仿宋" w:hAnsi="Times New Roman" w:cs="Times New Roman"/>
          <w:b/>
          <w:bCs/>
          <w:sz w:val="28"/>
          <w:szCs w:val="28"/>
        </w:rPr>
      </w:pPr>
      <w:r>
        <w:rPr>
          <w:rFonts w:ascii="Times New Roman" w:eastAsia="仿宋" w:hAnsi="Times New Roman" w:cs="Times New Roman"/>
          <w:b/>
          <w:bCs/>
          <w:sz w:val="28"/>
          <w:szCs w:val="28"/>
        </w:rPr>
        <w:t xml:space="preserve">1 </w:t>
      </w:r>
      <w:r>
        <w:rPr>
          <w:rFonts w:ascii="Times New Roman" w:eastAsia="仿宋" w:hAnsi="Times New Roman" w:cs="Times New Roman"/>
          <w:b/>
          <w:bCs/>
          <w:sz w:val="28"/>
          <w:szCs w:val="28"/>
        </w:rPr>
        <w:t>药品临床综合评价背景</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随着我国医药卫生体制改革政策的不断深入与完善，大量创新药、仿制药上市，为此国家卫生行政部门加强了对药品临床综合评价工作的重点部署，引导和推动相关主体规范开展药物临床综合评价</w:t>
      </w:r>
      <w:r>
        <w:rPr>
          <w:rFonts w:ascii="Times New Roman" w:eastAsia="仿宋" w:hAnsi="Times New Roman" w:cs="Times New Roman"/>
          <w:sz w:val="28"/>
          <w:szCs w:val="28"/>
          <w:vertAlign w:val="superscript"/>
        </w:rPr>
        <w:t>[1-3]</w:t>
      </w:r>
      <w:r>
        <w:rPr>
          <w:rFonts w:ascii="Times New Roman" w:eastAsia="仿宋" w:hAnsi="Times New Roman" w:cs="Times New Roman"/>
          <w:sz w:val="28"/>
          <w:szCs w:val="28"/>
        </w:rPr>
        <w:t>。</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钠</w:t>
      </w:r>
      <w:r>
        <w:rPr>
          <w:rFonts w:ascii="Times New Roman" w:eastAsia="仿宋" w:hAnsi="Times New Roman" w:cs="Times New Roman"/>
          <w:sz w:val="28"/>
          <w:szCs w:val="28"/>
        </w:rPr>
        <w:t>-</w:t>
      </w:r>
      <w:r>
        <w:rPr>
          <w:rFonts w:ascii="Times New Roman" w:eastAsia="仿宋" w:hAnsi="Times New Roman" w:cs="Times New Roman"/>
          <w:sz w:val="28"/>
          <w:szCs w:val="28"/>
        </w:rPr>
        <w:t>葡萄糖共转运蛋白</w:t>
      </w:r>
      <w:r>
        <w:rPr>
          <w:rFonts w:ascii="Times New Roman" w:eastAsia="仿宋" w:hAnsi="Times New Roman" w:cs="Times New Roman" w:hint="eastAsia"/>
          <w:sz w:val="28"/>
          <w:szCs w:val="28"/>
        </w:rPr>
        <w:t>2</w:t>
      </w:r>
      <w:r>
        <w:rPr>
          <w:rFonts w:ascii="Times New Roman" w:eastAsia="仿宋" w:hAnsi="Times New Roman" w:cs="Times New Roman"/>
          <w:sz w:val="28"/>
          <w:szCs w:val="28"/>
        </w:rPr>
        <w:t>（</w:t>
      </w:r>
      <w:r>
        <w:rPr>
          <w:rFonts w:ascii="Times New Roman" w:eastAsia="仿宋" w:hAnsi="Times New Roman" w:cs="Times New Roman"/>
          <w:sz w:val="28"/>
          <w:szCs w:val="28"/>
        </w:rPr>
        <w:t>SGLT-2</w:t>
      </w:r>
      <w:r>
        <w:rPr>
          <w:rFonts w:ascii="Times New Roman" w:eastAsia="仿宋" w:hAnsi="Times New Roman" w:cs="Times New Roman"/>
          <w:sz w:val="28"/>
          <w:szCs w:val="28"/>
        </w:rPr>
        <w:t>）抑制剂是新上市的一类新型口服降糖药，因其具有独特的降糖机制、显著的降糖效果及明确的心肾获益证据，上市后迅速被国内外指南推荐为</w:t>
      </w:r>
      <w:r>
        <w:rPr>
          <w:rFonts w:ascii="Times New Roman" w:eastAsia="仿宋" w:hAnsi="Times New Roman" w:cs="Times New Roman"/>
          <w:sz w:val="28"/>
          <w:szCs w:val="28"/>
        </w:rPr>
        <w:t>2</w:t>
      </w:r>
      <w:r>
        <w:rPr>
          <w:rFonts w:ascii="Times New Roman" w:eastAsia="仿宋" w:hAnsi="Times New Roman" w:cs="Times New Roman"/>
          <w:sz w:val="28"/>
          <w:szCs w:val="28"/>
        </w:rPr>
        <w:t>型糖尿病（</w:t>
      </w:r>
      <w:r>
        <w:rPr>
          <w:rFonts w:ascii="Times New Roman" w:eastAsia="仿宋" w:hAnsi="Times New Roman" w:cs="Times New Roman"/>
          <w:sz w:val="28"/>
          <w:szCs w:val="28"/>
        </w:rPr>
        <w:t>T2DM</w:t>
      </w:r>
      <w:r>
        <w:rPr>
          <w:rFonts w:ascii="Times New Roman" w:eastAsia="仿宋" w:hAnsi="Times New Roman" w:cs="Times New Roman"/>
          <w:sz w:val="28"/>
          <w:szCs w:val="28"/>
        </w:rPr>
        <w:t>）治疗的一线用药。近年来，国内不断有</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抑制剂的新药、仿制药上市，虽然其作用机制类似，但在有效性、安全性</w:t>
      </w:r>
      <w:r>
        <w:rPr>
          <w:rFonts w:ascii="Times New Roman" w:eastAsia="仿宋" w:hAnsi="Times New Roman" w:cs="Times New Roman" w:hint="eastAsia"/>
          <w:sz w:val="28"/>
          <w:szCs w:val="28"/>
        </w:rPr>
        <w:t>和</w:t>
      </w:r>
      <w:r>
        <w:rPr>
          <w:rFonts w:ascii="Times New Roman" w:eastAsia="仿宋" w:hAnsi="Times New Roman" w:cs="Times New Roman"/>
          <w:sz w:val="28"/>
          <w:szCs w:val="28"/>
        </w:rPr>
        <w:t>经济性等方面仍有差别，因此，医疗机构亟需对其开展药品综合评价，为医疗机构药品遴选、优化用药目录提供参考。</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目前，尚无医疗机构对此类药物开展药品临床综合评价、缺乏统一标准，亟待建立一套科学、客观、量化的</w:t>
      </w:r>
      <w:r>
        <w:rPr>
          <w:rFonts w:ascii="Times New Roman" w:eastAsia="仿宋" w:hAnsi="Times New Roman" w:cs="Times New Roman"/>
          <w:sz w:val="28"/>
          <w:szCs w:val="28"/>
        </w:rPr>
        <w:t>SGLT-2</w:t>
      </w:r>
      <w:r>
        <w:rPr>
          <w:rFonts w:ascii="Times New Roman" w:eastAsia="仿宋" w:hAnsi="Times New Roman" w:cs="Times New Roman"/>
          <w:sz w:val="28"/>
          <w:szCs w:val="28"/>
        </w:rPr>
        <w:t>抑制剂综合评价方法，为此，</w:t>
      </w:r>
      <w:r>
        <w:rPr>
          <w:rFonts w:ascii="Times New Roman" w:eastAsia="仿宋" w:hAnsi="Times New Roman" w:cs="Times New Roman"/>
          <w:sz w:val="28"/>
          <w:szCs w:val="28"/>
        </w:rPr>
        <w:t>广东省药学会组织药学及临床专家特制定本</w:t>
      </w:r>
      <w:r>
        <w:rPr>
          <w:rFonts w:ascii="Times New Roman" w:eastAsia="仿宋" w:hAnsi="Times New Roman" w:cs="Times New Roman"/>
          <w:sz w:val="28"/>
          <w:szCs w:val="28"/>
        </w:rPr>
        <w:t>SGLT-2</w:t>
      </w:r>
      <w:r>
        <w:rPr>
          <w:rFonts w:ascii="Times New Roman" w:eastAsia="仿宋" w:hAnsi="Times New Roman" w:cs="Times New Roman"/>
          <w:sz w:val="28"/>
          <w:szCs w:val="28"/>
        </w:rPr>
        <w:t>抑制剂临床快速综合评价专家共识，以帮助临床全面评价该类药物的特点。鉴于中国已上市的</w:t>
      </w:r>
      <w:r>
        <w:rPr>
          <w:rFonts w:ascii="Times New Roman" w:eastAsia="仿宋" w:hAnsi="Times New Roman" w:cs="Times New Roman"/>
          <w:sz w:val="28"/>
          <w:szCs w:val="28"/>
        </w:rPr>
        <w:t>4</w:t>
      </w:r>
      <w:r>
        <w:rPr>
          <w:rFonts w:ascii="Times New Roman" w:eastAsia="仿宋" w:hAnsi="Times New Roman" w:cs="Times New Roman"/>
          <w:sz w:val="28"/>
          <w:szCs w:val="28"/>
        </w:rPr>
        <w:t>种原研</w:t>
      </w:r>
      <w:r>
        <w:rPr>
          <w:rFonts w:ascii="Times New Roman" w:eastAsia="仿宋" w:hAnsi="Times New Roman" w:cs="Times New Roman"/>
          <w:sz w:val="28"/>
          <w:szCs w:val="28"/>
        </w:rPr>
        <w:t>SGLT-2</w:t>
      </w:r>
      <w:r>
        <w:rPr>
          <w:rFonts w:ascii="Times New Roman" w:eastAsia="仿宋" w:hAnsi="Times New Roman" w:cs="Times New Roman"/>
          <w:sz w:val="28"/>
          <w:szCs w:val="28"/>
        </w:rPr>
        <w:t>抑制剂各项研究数据比较完整，本共识以其作为评价代表，作为评价方法学的案例展现，旨在为各医疗机构后续开展</w:t>
      </w:r>
      <w:r>
        <w:rPr>
          <w:rFonts w:ascii="Times New Roman" w:eastAsia="仿宋" w:hAnsi="Times New Roman" w:cs="Times New Roman"/>
          <w:sz w:val="28"/>
          <w:szCs w:val="28"/>
        </w:rPr>
        <w:t>SGLT-2</w:t>
      </w:r>
      <w:r>
        <w:rPr>
          <w:rFonts w:ascii="Times New Roman" w:eastAsia="仿宋" w:hAnsi="Times New Roman" w:cs="Times New Roman"/>
          <w:sz w:val="28"/>
          <w:szCs w:val="28"/>
        </w:rPr>
        <w:t>抑制剂临床快速综合评价提供依据。</w:t>
      </w:r>
    </w:p>
    <w:p w:rsidR="00C96FF8" w:rsidRDefault="00C96FF8">
      <w:pPr>
        <w:rPr>
          <w:rFonts w:ascii="Times New Roman" w:eastAsia="仿宋" w:hAnsi="Times New Roman" w:cs="Times New Roman"/>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2 </w:t>
      </w:r>
      <w:r>
        <w:rPr>
          <w:rFonts w:ascii="Times New Roman" w:eastAsia="仿宋" w:hAnsi="Times New Roman" w:cs="Times New Roman"/>
          <w:b/>
          <w:bCs/>
          <w:sz w:val="28"/>
          <w:szCs w:val="28"/>
        </w:rPr>
        <w:t>药品临床快速综合评价的方法及资料来源</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本专家共识参考</w:t>
      </w:r>
      <w:r>
        <w:rPr>
          <w:rFonts w:ascii="Times New Roman" w:eastAsia="仿宋" w:hAnsi="Times New Roman" w:cs="Times New Roman"/>
          <w:sz w:val="28"/>
          <w:szCs w:val="28"/>
        </w:rPr>
        <w:t>2020</w:t>
      </w:r>
      <w:r>
        <w:rPr>
          <w:rFonts w:ascii="Times New Roman" w:eastAsia="仿宋" w:hAnsi="Times New Roman" w:cs="Times New Roman"/>
          <w:sz w:val="28"/>
          <w:szCs w:val="28"/>
        </w:rPr>
        <w:t>年《中国医疗机构药品评价与遴选快速指南》（以下简称</w:t>
      </w:r>
      <w:r>
        <w:rPr>
          <w:rFonts w:ascii="Times New Roman" w:eastAsia="仿宋" w:hAnsi="Times New Roman" w:cs="Times New Roman"/>
          <w:sz w:val="28"/>
          <w:szCs w:val="28"/>
        </w:rPr>
        <w:t>“</w:t>
      </w:r>
      <w:r>
        <w:rPr>
          <w:rFonts w:ascii="Times New Roman" w:eastAsia="仿宋" w:hAnsi="Times New Roman" w:cs="Times New Roman"/>
          <w:sz w:val="28"/>
          <w:szCs w:val="28"/>
        </w:rPr>
        <w:t>快速指南</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sz w:val="28"/>
          <w:szCs w:val="28"/>
          <w:vertAlign w:val="superscript"/>
        </w:rPr>
        <w:t>[4]</w:t>
      </w:r>
      <w:r>
        <w:rPr>
          <w:rFonts w:ascii="Times New Roman" w:eastAsia="仿宋" w:hAnsi="Times New Roman" w:cs="Times New Roman"/>
          <w:sz w:val="28"/>
          <w:szCs w:val="28"/>
        </w:rPr>
        <w:t>，采用百分制量化评估，通过对</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抑制剂的药学特性、有效性、安全性、经济性和其他属性共</w:t>
      </w:r>
      <w:r>
        <w:rPr>
          <w:rFonts w:ascii="Times New Roman" w:eastAsia="仿宋" w:hAnsi="Times New Roman" w:cs="Times New Roman" w:hint="eastAsia"/>
          <w:sz w:val="28"/>
          <w:szCs w:val="28"/>
        </w:rPr>
        <w:t>5</w:t>
      </w:r>
      <w:r>
        <w:rPr>
          <w:rFonts w:ascii="Times New Roman" w:eastAsia="仿宋" w:hAnsi="Times New Roman" w:cs="Times New Roman"/>
          <w:sz w:val="28"/>
          <w:szCs w:val="28"/>
        </w:rPr>
        <w:t>个维度进行评价。此外，经专家组多次讨论，本共识在《快速指南》的基础上对有效性及经济性评分进行了细化及修改，使评分内容更满足临床应用需求。有效性及经济性评分的修改意见是基于德尔菲法问卷调研</w:t>
      </w:r>
      <w:r>
        <w:rPr>
          <w:rFonts w:ascii="Times New Roman" w:eastAsia="仿宋" w:hAnsi="Times New Roman" w:cs="Times New Roman"/>
          <w:sz w:val="28"/>
          <w:szCs w:val="28"/>
        </w:rPr>
        <w:t>14</w:t>
      </w:r>
      <w:r>
        <w:rPr>
          <w:rFonts w:ascii="Times New Roman" w:eastAsia="仿宋" w:hAnsi="Times New Roman" w:cs="Times New Roman"/>
          <w:sz w:val="28"/>
          <w:szCs w:val="28"/>
        </w:rPr>
        <w:t>位内分泌领域专家及</w:t>
      </w:r>
      <w:r>
        <w:rPr>
          <w:rFonts w:ascii="Times New Roman" w:eastAsia="仿宋" w:hAnsi="Times New Roman" w:cs="Times New Roman"/>
          <w:sz w:val="28"/>
          <w:szCs w:val="28"/>
        </w:rPr>
        <w:t>26</w:t>
      </w:r>
      <w:r>
        <w:rPr>
          <w:rFonts w:ascii="Times New Roman" w:eastAsia="仿宋" w:hAnsi="Times New Roman" w:cs="Times New Roman"/>
          <w:sz w:val="28"/>
          <w:szCs w:val="28"/>
        </w:rPr>
        <w:t>位药学专家的意见并进行投票产生（专家权威系数为</w:t>
      </w:r>
      <w:r>
        <w:rPr>
          <w:rFonts w:ascii="Times New Roman" w:eastAsia="仿宋" w:hAnsi="Times New Roman" w:cs="Times New Roman"/>
          <w:sz w:val="28"/>
          <w:szCs w:val="28"/>
        </w:rPr>
        <w:t>0.805</w:t>
      </w:r>
      <w:r>
        <w:rPr>
          <w:rFonts w:ascii="Times New Roman" w:eastAsia="仿宋" w:hAnsi="Times New Roman" w:cs="Times New Roman"/>
          <w:sz w:val="28"/>
          <w:szCs w:val="28"/>
        </w:rPr>
        <w:t>，</w:t>
      </w:r>
      <w:r>
        <w:rPr>
          <w:rFonts w:ascii="Times New Roman" w:eastAsia="仿宋" w:hAnsi="Times New Roman" w:cs="Times New Roman"/>
          <w:sz w:val="28"/>
          <w:szCs w:val="28"/>
        </w:rPr>
        <w:t>≥0.70</w:t>
      </w:r>
      <w:r>
        <w:rPr>
          <w:rFonts w:ascii="Times New Roman" w:eastAsia="仿宋" w:hAnsi="Times New Roman" w:cs="Times New Roman"/>
          <w:sz w:val="28"/>
          <w:szCs w:val="28"/>
        </w:rPr>
        <w:t>表示权威度高），最终</w:t>
      </w:r>
      <w:r>
        <w:rPr>
          <w:rFonts w:ascii="Times New Roman" w:eastAsia="仿宋" w:hAnsi="Times New Roman" w:cs="Times New Roman"/>
          <w:sz w:val="28"/>
          <w:szCs w:val="28"/>
        </w:rPr>
        <w:t>2</w:t>
      </w:r>
      <w:r>
        <w:rPr>
          <w:rFonts w:ascii="Times New Roman" w:eastAsia="仿宋" w:hAnsi="Times New Roman" w:cs="Times New Roman"/>
          <w:sz w:val="28"/>
          <w:szCs w:val="28"/>
        </w:rPr>
        <w:t>条修改意见达成共识（满分比</w:t>
      </w:r>
      <w:r>
        <w:rPr>
          <w:rFonts w:ascii="Times New Roman" w:eastAsia="仿宋" w:hAnsi="Times New Roman" w:cs="Times New Roman"/>
          <w:sz w:val="28"/>
          <w:szCs w:val="28"/>
        </w:rPr>
        <w:t>93.75%</w:t>
      </w:r>
      <w:r>
        <w:rPr>
          <w:rFonts w:ascii="Times New Roman" w:eastAsia="仿宋" w:hAnsi="Times New Roman" w:cs="Times New Roman"/>
          <w:sz w:val="28"/>
          <w:szCs w:val="28"/>
        </w:rPr>
        <w:t>、重要性均数＞</w:t>
      </w:r>
      <w:r>
        <w:rPr>
          <w:rFonts w:ascii="Times New Roman" w:eastAsia="仿宋" w:hAnsi="Times New Roman" w:cs="Times New Roman"/>
          <w:sz w:val="28"/>
          <w:szCs w:val="28"/>
        </w:rPr>
        <w:t>4</w:t>
      </w:r>
      <w:r>
        <w:rPr>
          <w:rFonts w:ascii="Times New Roman" w:eastAsia="仿宋" w:hAnsi="Times New Roman" w:cs="Times New Roman"/>
          <w:sz w:val="28"/>
          <w:szCs w:val="28"/>
        </w:rPr>
        <w:t>分、变异系数＜</w:t>
      </w:r>
      <w:r>
        <w:rPr>
          <w:rFonts w:ascii="Times New Roman" w:eastAsia="仿宋" w:hAnsi="Times New Roman" w:cs="Times New Roman"/>
          <w:sz w:val="28"/>
          <w:szCs w:val="28"/>
        </w:rPr>
        <w:t>0.20</w:t>
      </w:r>
      <w:r>
        <w:rPr>
          <w:rFonts w:ascii="Times New Roman" w:eastAsia="仿宋" w:hAnsi="Times New Roman" w:cs="Times New Roman"/>
          <w:sz w:val="28"/>
          <w:szCs w:val="28"/>
        </w:rPr>
        <w:t>）。</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为保证药品信息的真实、公正、客观，</w:t>
      </w:r>
      <w:r>
        <w:rPr>
          <w:rFonts w:ascii="Times New Roman" w:eastAsia="仿宋" w:hAnsi="Times New Roman" w:cs="Times New Roman"/>
          <w:sz w:val="28"/>
          <w:szCs w:val="28"/>
        </w:rPr>
        <w:t>本共识的数据收集来源于以下资料及平台：（</w:t>
      </w:r>
      <w:r>
        <w:rPr>
          <w:rFonts w:ascii="Times New Roman" w:eastAsia="仿宋" w:hAnsi="Times New Roman" w:cs="Times New Roman"/>
          <w:sz w:val="28"/>
          <w:szCs w:val="28"/>
        </w:rPr>
        <w:t>1</w:t>
      </w:r>
      <w:r>
        <w:rPr>
          <w:rFonts w:ascii="Times New Roman" w:eastAsia="仿宋" w:hAnsi="Times New Roman" w:cs="Times New Roman"/>
          <w:sz w:val="28"/>
          <w:szCs w:val="28"/>
        </w:rPr>
        <w:t>）药学特性、安全性通过检索药品说明书、药品注册资料、国家药品监督管理局网站、中英文数据库（</w:t>
      </w:r>
      <w:r>
        <w:rPr>
          <w:rFonts w:ascii="Times New Roman" w:eastAsia="仿宋" w:hAnsi="Times New Roman" w:cs="Times New Roman"/>
          <w:sz w:val="28"/>
          <w:szCs w:val="28"/>
        </w:rPr>
        <w:t>Pubmed</w:t>
      </w:r>
      <w:r>
        <w:rPr>
          <w:rFonts w:ascii="Times New Roman" w:eastAsia="仿宋" w:hAnsi="Times New Roman" w:cs="Times New Roman"/>
          <w:sz w:val="28"/>
          <w:szCs w:val="28"/>
        </w:rPr>
        <w:t>、</w:t>
      </w:r>
      <w:r>
        <w:rPr>
          <w:rFonts w:ascii="Times New Roman" w:eastAsia="仿宋" w:hAnsi="Times New Roman" w:cs="Times New Roman"/>
          <w:sz w:val="28"/>
          <w:szCs w:val="28"/>
        </w:rPr>
        <w:t>Micromedex</w:t>
      </w:r>
      <w:r>
        <w:rPr>
          <w:rFonts w:ascii="Times New Roman" w:eastAsia="仿宋" w:hAnsi="Times New Roman" w:cs="Times New Roman"/>
          <w:sz w:val="28"/>
          <w:szCs w:val="28"/>
        </w:rPr>
        <w:t>、</w:t>
      </w:r>
      <w:r>
        <w:rPr>
          <w:rFonts w:ascii="Times New Roman" w:eastAsia="仿宋" w:hAnsi="Times New Roman" w:cs="Times New Roman"/>
          <w:sz w:val="28"/>
          <w:szCs w:val="28"/>
        </w:rPr>
        <w:t>Up to date</w:t>
      </w:r>
      <w:r>
        <w:rPr>
          <w:rFonts w:ascii="Times New Roman" w:eastAsia="仿宋" w:hAnsi="Times New Roman" w:cs="Times New Roman"/>
          <w:sz w:val="28"/>
          <w:szCs w:val="28"/>
        </w:rPr>
        <w:t>、</w:t>
      </w:r>
      <w:r>
        <w:rPr>
          <w:rFonts w:ascii="Times New Roman" w:eastAsia="仿宋" w:hAnsi="Times New Roman" w:cs="Times New Roman"/>
          <w:sz w:val="28"/>
          <w:szCs w:val="28"/>
        </w:rPr>
        <w:t>CNKI</w:t>
      </w:r>
      <w:r>
        <w:rPr>
          <w:rFonts w:ascii="Times New Roman" w:eastAsia="仿宋" w:hAnsi="Times New Roman" w:cs="Times New Roman"/>
          <w:sz w:val="28"/>
          <w:szCs w:val="28"/>
        </w:rPr>
        <w:t>、万方等）获得。（</w:t>
      </w:r>
      <w:r>
        <w:rPr>
          <w:rFonts w:ascii="Times New Roman" w:eastAsia="仿宋" w:hAnsi="Times New Roman" w:cs="Times New Roman"/>
          <w:sz w:val="28"/>
          <w:szCs w:val="28"/>
        </w:rPr>
        <w:t>2</w:t>
      </w:r>
      <w:r>
        <w:rPr>
          <w:rFonts w:ascii="Times New Roman" w:eastAsia="仿宋" w:hAnsi="Times New Roman" w:cs="Times New Roman"/>
          <w:sz w:val="28"/>
          <w:szCs w:val="28"/>
        </w:rPr>
        <w:t>）药品有效性通过查阅医脉通、药智数据、</w:t>
      </w:r>
      <w:r>
        <w:rPr>
          <w:rFonts w:ascii="Times New Roman" w:eastAsia="仿宋" w:hAnsi="Times New Roman" w:cs="Times New Roman"/>
          <w:sz w:val="28"/>
          <w:szCs w:val="28"/>
        </w:rPr>
        <w:t>MCDEX</w:t>
      </w:r>
      <w:r>
        <w:rPr>
          <w:rFonts w:ascii="Times New Roman" w:eastAsia="仿宋" w:hAnsi="Times New Roman" w:cs="Times New Roman"/>
          <w:sz w:val="28"/>
          <w:szCs w:val="28"/>
        </w:rPr>
        <w:lastRenderedPageBreak/>
        <w:t>等指南检索工具获得。（</w:t>
      </w:r>
      <w:r>
        <w:rPr>
          <w:rFonts w:ascii="Times New Roman" w:eastAsia="仿宋" w:hAnsi="Times New Roman" w:cs="Times New Roman"/>
          <w:sz w:val="28"/>
          <w:szCs w:val="28"/>
        </w:rPr>
        <w:t>3</w:t>
      </w:r>
      <w:r>
        <w:rPr>
          <w:rFonts w:ascii="Times New Roman" w:eastAsia="仿宋" w:hAnsi="Times New Roman" w:cs="Times New Roman"/>
          <w:sz w:val="28"/>
          <w:szCs w:val="28"/>
        </w:rPr>
        <w:t>）药品价格通过查询广州药品基团采购平台（</w:t>
      </w:r>
      <w:r>
        <w:rPr>
          <w:rFonts w:ascii="Times New Roman" w:eastAsia="仿宋" w:hAnsi="Times New Roman" w:cs="Times New Roman"/>
          <w:sz w:val="28"/>
          <w:szCs w:val="28"/>
        </w:rPr>
        <w:t>GPO</w:t>
      </w:r>
      <w:r>
        <w:rPr>
          <w:rFonts w:ascii="Times New Roman" w:eastAsia="仿宋" w:hAnsi="Times New Roman" w:cs="Times New Roman"/>
          <w:sz w:val="28"/>
          <w:szCs w:val="28"/>
        </w:rPr>
        <w:t>）挂网价格获得。（</w:t>
      </w:r>
      <w:r>
        <w:rPr>
          <w:rFonts w:ascii="Times New Roman" w:eastAsia="仿宋" w:hAnsi="Times New Roman" w:cs="Times New Roman"/>
          <w:sz w:val="28"/>
          <w:szCs w:val="28"/>
        </w:rPr>
        <w:t>4</w:t>
      </w:r>
      <w:r>
        <w:rPr>
          <w:rFonts w:ascii="Times New Roman" w:eastAsia="仿宋" w:hAnsi="Times New Roman" w:cs="Times New Roman"/>
          <w:sz w:val="28"/>
          <w:szCs w:val="28"/>
        </w:rPr>
        <w:t>）国家医保和基本药物情况通过</w:t>
      </w:r>
      <w:r>
        <w:rPr>
          <w:rFonts w:ascii="Times New Roman" w:eastAsia="仿宋" w:hAnsi="Times New Roman" w:cs="Times New Roman"/>
          <w:sz w:val="28"/>
          <w:szCs w:val="28"/>
        </w:rPr>
        <w:t>2021</w:t>
      </w:r>
      <w:r>
        <w:rPr>
          <w:rFonts w:ascii="Times New Roman" w:eastAsia="仿宋" w:hAnsi="Times New Roman" w:cs="Times New Roman"/>
          <w:sz w:val="28"/>
          <w:szCs w:val="28"/>
        </w:rPr>
        <w:t>年版《国家基本医疗保险、工伤保险和生育保险药品目录》</w:t>
      </w:r>
      <w:r>
        <w:rPr>
          <w:rFonts w:ascii="Times New Roman" w:eastAsia="仿宋" w:hAnsi="Times New Roman" w:cs="Times New Roman"/>
          <w:sz w:val="28"/>
          <w:szCs w:val="28"/>
          <w:vertAlign w:val="superscript"/>
        </w:rPr>
        <w:t>[5]</w:t>
      </w:r>
      <w:r>
        <w:rPr>
          <w:rFonts w:ascii="Times New Roman" w:eastAsia="仿宋" w:hAnsi="Times New Roman" w:cs="Times New Roman"/>
          <w:sz w:val="28"/>
          <w:szCs w:val="28"/>
        </w:rPr>
        <w:t>及</w:t>
      </w:r>
      <w:r>
        <w:rPr>
          <w:rFonts w:ascii="Times New Roman" w:eastAsia="仿宋" w:hAnsi="Times New Roman" w:cs="Times New Roman"/>
          <w:sz w:val="28"/>
          <w:szCs w:val="28"/>
        </w:rPr>
        <w:t>2018</w:t>
      </w:r>
      <w:r>
        <w:rPr>
          <w:rFonts w:ascii="Times New Roman" w:eastAsia="仿宋" w:hAnsi="Times New Roman" w:cs="Times New Roman"/>
          <w:sz w:val="28"/>
          <w:szCs w:val="28"/>
        </w:rPr>
        <w:t>年版《国家基本药物目录》</w:t>
      </w:r>
      <w:r>
        <w:rPr>
          <w:rFonts w:ascii="Times New Roman" w:eastAsia="仿宋" w:hAnsi="Times New Roman" w:cs="Times New Roman"/>
          <w:sz w:val="28"/>
          <w:szCs w:val="28"/>
          <w:vertAlign w:val="superscript"/>
        </w:rPr>
        <w:t>[6]</w:t>
      </w:r>
      <w:r>
        <w:rPr>
          <w:rFonts w:ascii="Times New Roman" w:eastAsia="仿宋" w:hAnsi="Times New Roman" w:cs="Times New Roman"/>
          <w:sz w:val="28"/>
          <w:szCs w:val="28"/>
        </w:rPr>
        <w:t>获得。（</w:t>
      </w:r>
      <w:r>
        <w:rPr>
          <w:rFonts w:ascii="Times New Roman" w:eastAsia="仿宋" w:hAnsi="Times New Roman" w:cs="Times New Roman"/>
          <w:sz w:val="28"/>
          <w:szCs w:val="28"/>
        </w:rPr>
        <w:t>5</w:t>
      </w:r>
      <w:r>
        <w:rPr>
          <w:rFonts w:ascii="Times New Roman" w:eastAsia="仿宋" w:hAnsi="Times New Roman" w:cs="Times New Roman"/>
          <w:sz w:val="28"/>
          <w:szCs w:val="28"/>
        </w:rPr>
        <w:t>）药品的市场</w:t>
      </w:r>
      <w:r>
        <w:rPr>
          <w:rFonts w:ascii="Times New Roman" w:eastAsia="仿宋" w:hAnsi="Times New Roman" w:cs="Times New Roman"/>
          <w:sz w:val="28"/>
          <w:szCs w:val="28"/>
        </w:rPr>
        <w:t>信息及生产企业的信息通过查阅美国食品药品管理局（</w:t>
      </w:r>
      <w:r>
        <w:rPr>
          <w:rFonts w:ascii="Times New Roman" w:eastAsia="仿宋" w:hAnsi="Times New Roman" w:cs="Times New Roman"/>
          <w:sz w:val="28"/>
          <w:szCs w:val="28"/>
        </w:rPr>
        <w:t>FDA</w:t>
      </w:r>
      <w:r>
        <w:rPr>
          <w:rFonts w:ascii="Times New Roman" w:eastAsia="仿宋" w:hAnsi="Times New Roman" w:cs="Times New Roman"/>
          <w:sz w:val="28"/>
          <w:szCs w:val="28"/>
        </w:rPr>
        <w:t>）、欧洲药品管理局、日本药品与医疗器械管理局及国家药品监督管理局网站发布的药品信息及美国《制药经理人》公布的</w:t>
      </w:r>
      <w:r>
        <w:rPr>
          <w:rFonts w:ascii="Times New Roman" w:eastAsia="仿宋" w:hAnsi="Times New Roman" w:cs="Times New Roman"/>
          <w:sz w:val="28"/>
          <w:szCs w:val="28"/>
        </w:rPr>
        <w:t>2021</w:t>
      </w:r>
      <w:r>
        <w:rPr>
          <w:rFonts w:ascii="Times New Roman" w:eastAsia="仿宋" w:hAnsi="Times New Roman" w:cs="Times New Roman"/>
          <w:sz w:val="28"/>
          <w:szCs w:val="28"/>
        </w:rPr>
        <w:t>年全球制药企业</w:t>
      </w:r>
      <w:r>
        <w:rPr>
          <w:rFonts w:ascii="Times New Roman" w:eastAsia="仿宋" w:hAnsi="Times New Roman" w:cs="Times New Roman"/>
          <w:sz w:val="28"/>
          <w:szCs w:val="28"/>
        </w:rPr>
        <w:t>50</w:t>
      </w:r>
      <w:r>
        <w:rPr>
          <w:rFonts w:ascii="Times New Roman" w:eastAsia="仿宋" w:hAnsi="Times New Roman" w:cs="Times New Roman"/>
          <w:sz w:val="28"/>
          <w:szCs w:val="28"/>
        </w:rPr>
        <w:t>强目录获得。</w:t>
      </w:r>
    </w:p>
    <w:p w:rsidR="00C96FF8" w:rsidRDefault="00C96FF8">
      <w:pPr>
        <w:ind w:firstLineChars="200" w:firstLine="562"/>
        <w:rPr>
          <w:rFonts w:ascii="Times New Roman" w:eastAsia="仿宋" w:hAnsi="Times New Roman" w:cs="Times New Roman"/>
          <w:b/>
          <w:bCs/>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3 </w:t>
      </w:r>
      <w:r>
        <w:rPr>
          <w:rFonts w:ascii="Times New Roman" w:eastAsia="仿宋" w:hAnsi="Times New Roman" w:cs="Times New Roman"/>
          <w:b/>
          <w:bCs/>
          <w:sz w:val="28"/>
          <w:szCs w:val="28"/>
        </w:rPr>
        <w:t>药品临床快速综合评价指标和细则</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1</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药学特性（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主要从药品的适应证（</w:t>
      </w:r>
      <w:r>
        <w:rPr>
          <w:rFonts w:ascii="Times New Roman" w:eastAsia="仿宋" w:hAnsi="Times New Roman" w:cs="Times New Roman"/>
          <w:sz w:val="28"/>
          <w:szCs w:val="28"/>
        </w:rPr>
        <w:t>3</w:t>
      </w:r>
      <w:r>
        <w:rPr>
          <w:rFonts w:ascii="Times New Roman" w:eastAsia="仿宋" w:hAnsi="Times New Roman" w:cs="Times New Roman"/>
          <w:sz w:val="28"/>
          <w:szCs w:val="28"/>
        </w:rPr>
        <w:t>分）、药理作用（</w:t>
      </w:r>
      <w:r>
        <w:rPr>
          <w:rFonts w:ascii="Times New Roman" w:eastAsia="仿宋" w:hAnsi="Times New Roman" w:cs="Times New Roman"/>
          <w:sz w:val="28"/>
          <w:szCs w:val="28"/>
        </w:rPr>
        <w:t>3</w:t>
      </w:r>
      <w:r>
        <w:rPr>
          <w:rFonts w:ascii="Times New Roman" w:eastAsia="仿宋" w:hAnsi="Times New Roman" w:cs="Times New Roman"/>
          <w:sz w:val="28"/>
          <w:szCs w:val="28"/>
        </w:rPr>
        <w:t>分）、体内过程（</w:t>
      </w:r>
      <w:r>
        <w:rPr>
          <w:rFonts w:ascii="Times New Roman" w:eastAsia="仿宋" w:hAnsi="Times New Roman" w:cs="Times New Roman"/>
          <w:sz w:val="28"/>
          <w:szCs w:val="28"/>
        </w:rPr>
        <w:t>3</w:t>
      </w:r>
      <w:r>
        <w:rPr>
          <w:rFonts w:ascii="Times New Roman" w:eastAsia="仿宋" w:hAnsi="Times New Roman" w:cs="Times New Roman"/>
          <w:sz w:val="28"/>
          <w:szCs w:val="28"/>
        </w:rPr>
        <w:t>分）、药剂学与使用方法（</w:t>
      </w:r>
      <w:r>
        <w:rPr>
          <w:rFonts w:ascii="Times New Roman" w:eastAsia="仿宋" w:hAnsi="Times New Roman" w:cs="Times New Roman"/>
          <w:sz w:val="28"/>
          <w:szCs w:val="28"/>
        </w:rPr>
        <w:t>6</w:t>
      </w:r>
      <w:r>
        <w:rPr>
          <w:rFonts w:ascii="Times New Roman" w:eastAsia="仿宋" w:hAnsi="Times New Roman" w:cs="Times New Roman"/>
          <w:sz w:val="28"/>
          <w:szCs w:val="28"/>
        </w:rPr>
        <w:t>分）、一致性评价（</w:t>
      </w:r>
      <w:r>
        <w:rPr>
          <w:rFonts w:ascii="Times New Roman" w:eastAsia="仿宋" w:hAnsi="Times New Roman" w:cs="Times New Roman"/>
          <w:sz w:val="28"/>
          <w:szCs w:val="28"/>
        </w:rPr>
        <w:t>5</w:t>
      </w:r>
      <w:r>
        <w:rPr>
          <w:rFonts w:ascii="Times New Roman" w:eastAsia="仿宋" w:hAnsi="Times New Roman" w:cs="Times New Roman"/>
          <w:sz w:val="28"/>
          <w:szCs w:val="28"/>
        </w:rPr>
        <w:t>分）共</w:t>
      </w:r>
      <w:r>
        <w:rPr>
          <w:rFonts w:ascii="Times New Roman" w:eastAsia="仿宋" w:hAnsi="Times New Roman" w:cs="Times New Roman"/>
          <w:sz w:val="28"/>
          <w:szCs w:val="28"/>
        </w:rPr>
        <w:t>5</w:t>
      </w:r>
      <w:r>
        <w:rPr>
          <w:rFonts w:ascii="Times New Roman" w:eastAsia="仿宋" w:hAnsi="Times New Roman" w:cs="Times New Roman"/>
          <w:sz w:val="28"/>
          <w:szCs w:val="28"/>
        </w:rPr>
        <w:t>个方面考察待评价药品药学特性。</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2</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有效性（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重点考察待评价药品在诊疗规范、临床指南、专家共识等相关权威专业资料中给</w:t>
      </w:r>
      <w:r>
        <w:rPr>
          <w:rFonts w:ascii="Times New Roman" w:eastAsia="仿宋" w:hAnsi="Times New Roman" w:cs="Times New Roman"/>
          <w:sz w:val="28"/>
          <w:szCs w:val="28"/>
        </w:rPr>
        <w:t>出的推荐级别。此外，因</w:t>
      </w:r>
      <w:r>
        <w:rPr>
          <w:rFonts w:ascii="Times New Roman" w:eastAsia="仿宋" w:hAnsi="Times New Roman" w:cs="Times New Roman"/>
          <w:sz w:val="28"/>
          <w:szCs w:val="28"/>
        </w:rPr>
        <w:t>SGLT-2</w:t>
      </w:r>
      <w:r>
        <w:rPr>
          <w:rFonts w:ascii="Times New Roman" w:eastAsia="仿宋" w:hAnsi="Times New Roman" w:cs="Times New Roman"/>
          <w:sz w:val="28"/>
          <w:szCs w:val="28"/>
        </w:rPr>
        <w:t>抑制剂除显著的降糖作用外，还具有心肾获益的优势，故经专家组多次讨论后，建议纳入</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抑制剂的大型心血管结局（</w:t>
      </w:r>
      <w:r>
        <w:rPr>
          <w:rFonts w:ascii="Times New Roman" w:eastAsia="仿宋" w:hAnsi="Times New Roman" w:cs="Times New Roman"/>
          <w:sz w:val="28"/>
          <w:szCs w:val="28"/>
        </w:rPr>
        <w:t>CVOT</w:t>
      </w:r>
      <w:r>
        <w:rPr>
          <w:rFonts w:ascii="Times New Roman" w:eastAsia="仿宋" w:hAnsi="Times New Roman" w:cs="Times New Roman"/>
          <w:sz w:val="28"/>
          <w:szCs w:val="28"/>
        </w:rPr>
        <w:t>）及肾脏结局（</w:t>
      </w:r>
      <w:r>
        <w:rPr>
          <w:rFonts w:ascii="Times New Roman" w:eastAsia="仿宋" w:hAnsi="Times New Roman" w:cs="Times New Roman"/>
          <w:sz w:val="28"/>
          <w:szCs w:val="28"/>
        </w:rPr>
        <w:t>ROT</w:t>
      </w:r>
      <w:r>
        <w:rPr>
          <w:rFonts w:ascii="Times New Roman" w:eastAsia="仿宋" w:hAnsi="Times New Roman" w:cs="Times New Roman"/>
          <w:sz w:val="28"/>
          <w:szCs w:val="28"/>
        </w:rPr>
        <w:t>）的临床研究结果作为有效性评分的依据，以符合</w:t>
      </w:r>
      <w:r>
        <w:rPr>
          <w:rFonts w:ascii="Times New Roman" w:eastAsia="仿宋" w:hAnsi="Times New Roman" w:cs="Times New Roman"/>
          <w:sz w:val="28"/>
          <w:szCs w:val="28"/>
        </w:rPr>
        <w:t>SGLT-2</w:t>
      </w:r>
      <w:r>
        <w:rPr>
          <w:rFonts w:ascii="Times New Roman" w:eastAsia="仿宋" w:hAnsi="Times New Roman" w:cs="Times New Roman"/>
          <w:sz w:val="28"/>
          <w:szCs w:val="28"/>
        </w:rPr>
        <w:t>抑制剂在临床应用的实际特点。</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3</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安全性（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重点考察待评价药品在临床应用的安全属性</w:t>
      </w:r>
      <w:r>
        <w:rPr>
          <w:rFonts w:ascii="Times New Roman" w:eastAsia="仿宋" w:hAnsi="Times New Roman" w:cs="Times New Roman" w:hint="eastAsia"/>
          <w:sz w:val="28"/>
          <w:szCs w:val="28"/>
        </w:rPr>
        <w:t>，</w:t>
      </w:r>
      <w:r>
        <w:rPr>
          <w:rFonts w:ascii="Times New Roman" w:eastAsia="仿宋" w:hAnsi="Times New Roman" w:cs="Times New Roman"/>
          <w:sz w:val="28"/>
          <w:szCs w:val="28"/>
        </w:rPr>
        <w:t>主要从药品的不良反应分级或不良事件通用术语标准</w:t>
      </w:r>
      <w:r>
        <w:rPr>
          <w:rFonts w:ascii="Times New Roman" w:eastAsia="仿宋" w:hAnsi="Times New Roman" w:cs="Times New Roman"/>
          <w:sz w:val="28"/>
          <w:szCs w:val="28"/>
        </w:rPr>
        <w:t>-</w:t>
      </w:r>
      <w:r>
        <w:rPr>
          <w:rFonts w:ascii="Times New Roman" w:eastAsia="仿宋" w:hAnsi="Times New Roman" w:cs="Times New Roman"/>
          <w:sz w:val="28"/>
          <w:szCs w:val="28"/>
        </w:rPr>
        <w:t>中文（</w:t>
      </w:r>
      <w:r>
        <w:rPr>
          <w:rFonts w:ascii="Times New Roman" w:eastAsia="仿宋" w:hAnsi="Times New Roman" w:cs="Times New Roman"/>
          <w:sz w:val="28"/>
          <w:szCs w:val="28"/>
        </w:rPr>
        <w:t>CTCAE-V5.0</w:t>
      </w:r>
      <w:r>
        <w:rPr>
          <w:rFonts w:ascii="Times New Roman" w:eastAsia="仿宋" w:hAnsi="Times New Roman" w:cs="Times New Roman"/>
          <w:sz w:val="28"/>
          <w:szCs w:val="28"/>
        </w:rPr>
        <w:t>）分级（</w:t>
      </w:r>
      <w:r>
        <w:rPr>
          <w:rFonts w:ascii="Times New Roman" w:eastAsia="仿宋" w:hAnsi="Times New Roman" w:cs="Times New Roman"/>
          <w:sz w:val="28"/>
          <w:szCs w:val="28"/>
        </w:rPr>
        <w:t>7</w:t>
      </w:r>
      <w:r>
        <w:rPr>
          <w:rFonts w:ascii="Times New Roman" w:eastAsia="仿宋" w:hAnsi="Times New Roman" w:cs="Times New Roman"/>
          <w:sz w:val="28"/>
          <w:szCs w:val="28"/>
        </w:rPr>
        <w:t>分）、特殊人群（</w:t>
      </w:r>
      <w:r>
        <w:rPr>
          <w:rFonts w:ascii="Times New Roman" w:eastAsia="仿宋" w:hAnsi="Times New Roman" w:cs="Times New Roman"/>
          <w:sz w:val="28"/>
          <w:szCs w:val="28"/>
        </w:rPr>
        <w:t>7</w:t>
      </w:r>
      <w:r>
        <w:rPr>
          <w:rFonts w:ascii="Times New Roman" w:eastAsia="仿宋" w:hAnsi="Times New Roman" w:cs="Times New Roman"/>
          <w:sz w:val="28"/>
          <w:szCs w:val="28"/>
        </w:rPr>
        <w:t>分）、药物相互作用（</w:t>
      </w:r>
      <w:r>
        <w:rPr>
          <w:rFonts w:ascii="Times New Roman" w:eastAsia="仿宋" w:hAnsi="Times New Roman" w:cs="Times New Roman"/>
          <w:sz w:val="28"/>
          <w:szCs w:val="28"/>
        </w:rPr>
        <w:t>3</w:t>
      </w:r>
      <w:r>
        <w:rPr>
          <w:rFonts w:ascii="Times New Roman" w:eastAsia="仿宋" w:hAnsi="Times New Roman" w:cs="Times New Roman"/>
          <w:sz w:val="28"/>
          <w:szCs w:val="28"/>
        </w:rPr>
        <w:t>分）和其他（</w:t>
      </w:r>
      <w:r>
        <w:rPr>
          <w:rFonts w:ascii="Times New Roman" w:eastAsia="仿宋" w:hAnsi="Times New Roman" w:cs="Times New Roman"/>
          <w:sz w:val="28"/>
          <w:szCs w:val="28"/>
        </w:rPr>
        <w:t>3</w:t>
      </w:r>
      <w:r>
        <w:rPr>
          <w:rFonts w:ascii="Times New Roman" w:eastAsia="仿宋" w:hAnsi="Times New Roman" w:cs="Times New Roman"/>
          <w:sz w:val="28"/>
          <w:szCs w:val="28"/>
        </w:rPr>
        <w:t>分）共４个方面进行考察。</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4</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经济性（</w:t>
      </w:r>
      <w:r>
        <w:rPr>
          <w:rFonts w:ascii="Times New Roman" w:eastAsia="仿宋" w:hAnsi="Times New Roman" w:cs="Times New Roman"/>
          <w:b/>
          <w:bCs/>
          <w:sz w:val="28"/>
          <w:szCs w:val="28"/>
        </w:rPr>
        <w:t>2</w:t>
      </w:r>
      <w:r>
        <w:rPr>
          <w:rFonts w:ascii="Times New Roman" w:eastAsia="仿宋" w:hAnsi="Times New Roman" w:cs="Times New Roman"/>
          <w:b/>
          <w:bCs/>
          <w:sz w:val="28"/>
          <w:szCs w:val="28"/>
        </w:rPr>
        <w:t>0</w:t>
      </w:r>
      <w:r>
        <w:rPr>
          <w:rFonts w:ascii="Times New Roman" w:eastAsia="仿宋" w:hAnsi="Times New Roman" w:cs="Times New Roman"/>
          <w:b/>
          <w:bCs/>
          <w:sz w:val="28"/>
          <w:szCs w:val="28"/>
        </w:rPr>
        <w:t>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本共识只纳入原研</w:t>
      </w:r>
      <w:r>
        <w:rPr>
          <w:rFonts w:ascii="Times New Roman" w:eastAsia="仿宋" w:hAnsi="Times New Roman" w:cs="Times New Roman"/>
          <w:sz w:val="28"/>
          <w:szCs w:val="28"/>
        </w:rPr>
        <w:t>/</w:t>
      </w:r>
      <w:r>
        <w:rPr>
          <w:rFonts w:ascii="Times New Roman" w:eastAsia="仿宋" w:hAnsi="Times New Roman" w:cs="Times New Roman"/>
          <w:sz w:val="28"/>
          <w:szCs w:val="28"/>
        </w:rPr>
        <w:t>参比制剂作为评价对象，使用</w:t>
      </w:r>
      <w:r>
        <w:rPr>
          <w:rFonts w:ascii="Times New Roman" w:eastAsia="仿宋" w:hAnsi="Times New Roman" w:cs="Times New Roman"/>
          <w:sz w:val="28"/>
          <w:szCs w:val="28"/>
        </w:rPr>
        <w:t>“</w:t>
      </w:r>
      <w:r>
        <w:rPr>
          <w:rFonts w:ascii="Times New Roman" w:eastAsia="仿宋" w:hAnsi="Times New Roman" w:cs="Times New Roman"/>
          <w:sz w:val="28"/>
          <w:szCs w:val="28"/>
        </w:rPr>
        <w:t>所评价药品日均治疗费用（百分位）</w:t>
      </w:r>
      <w:r>
        <w:rPr>
          <w:rFonts w:ascii="Times New Roman" w:eastAsia="仿宋" w:hAnsi="Times New Roman" w:cs="Times New Roman"/>
          <w:sz w:val="28"/>
          <w:szCs w:val="28"/>
        </w:rPr>
        <w:t>”</w:t>
      </w:r>
      <w:r>
        <w:rPr>
          <w:rFonts w:ascii="Times New Roman" w:eastAsia="仿宋" w:hAnsi="Times New Roman" w:cs="Times New Roman"/>
          <w:sz w:val="28"/>
          <w:szCs w:val="28"/>
        </w:rPr>
        <w:t>作为经济性评价标准（</w:t>
      </w:r>
      <w:r>
        <w:rPr>
          <w:rFonts w:ascii="Times New Roman" w:eastAsia="仿宋" w:hAnsi="Times New Roman" w:cs="Times New Roman"/>
          <w:sz w:val="28"/>
          <w:szCs w:val="28"/>
        </w:rPr>
        <w:t>20</w:t>
      </w:r>
      <w:r>
        <w:rPr>
          <w:rFonts w:ascii="Times New Roman" w:eastAsia="仿宋" w:hAnsi="Times New Roman" w:cs="Times New Roman"/>
          <w:sz w:val="28"/>
          <w:szCs w:val="28"/>
        </w:rPr>
        <w:t>分）。因</w:t>
      </w:r>
      <w:r>
        <w:rPr>
          <w:rFonts w:ascii="Times New Roman" w:eastAsia="仿宋" w:hAnsi="Times New Roman" w:cs="Times New Roman"/>
          <w:sz w:val="28"/>
          <w:szCs w:val="28"/>
        </w:rPr>
        <w:t>4</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抑制剂的日均治疗费用绝对值差距较小（＜</w:t>
      </w:r>
      <w:r>
        <w:rPr>
          <w:rFonts w:ascii="Times New Roman" w:eastAsia="仿宋" w:hAnsi="Times New Roman" w:cs="Times New Roman"/>
          <w:sz w:val="28"/>
          <w:szCs w:val="28"/>
        </w:rPr>
        <w:t>1.00</w:t>
      </w:r>
      <w:r>
        <w:rPr>
          <w:rFonts w:ascii="Times New Roman" w:eastAsia="仿宋" w:hAnsi="Times New Roman" w:cs="Times New Roman"/>
          <w:sz w:val="28"/>
          <w:szCs w:val="28"/>
        </w:rPr>
        <w:t>元），经专家组多次讨论后，建议设置每区间分数差异为</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b/>
          <w:bCs/>
          <w:sz w:val="28"/>
          <w:szCs w:val="28"/>
        </w:rPr>
        <w:t>3.</w:t>
      </w:r>
      <w:r>
        <w:rPr>
          <w:rFonts w:ascii="Times New Roman" w:eastAsia="仿宋" w:hAnsi="Times New Roman" w:cs="Times New Roman"/>
          <w:b/>
          <w:bCs/>
          <w:sz w:val="28"/>
          <w:szCs w:val="28"/>
        </w:rPr>
        <w:t>5</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其他属性（</w:t>
      </w:r>
      <w:r>
        <w:rPr>
          <w:rFonts w:ascii="Times New Roman" w:eastAsia="仿宋" w:hAnsi="Times New Roman" w:cs="Times New Roman"/>
          <w:b/>
          <w:bCs/>
          <w:sz w:val="28"/>
          <w:szCs w:val="28"/>
        </w:rPr>
        <w:t>20</w:t>
      </w:r>
      <w:r>
        <w:rPr>
          <w:rFonts w:ascii="Times New Roman" w:eastAsia="仿宋" w:hAnsi="Times New Roman" w:cs="Times New Roman"/>
          <w:b/>
          <w:bCs/>
          <w:sz w:val="28"/>
          <w:szCs w:val="28"/>
        </w:rPr>
        <w:t>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考察待评价药品国家医保、国家基本药物目录的收录情况</w:t>
      </w:r>
      <w:r>
        <w:rPr>
          <w:rFonts w:ascii="Times New Roman" w:eastAsia="仿宋" w:hAnsi="Times New Roman" w:cs="Times New Roman" w:hint="eastAsia"/>
          <w:sz w:val="28"/>
          <w:szCs w:val="28"/>
        </w:rPr>
        <w:t>，</w:t>
      </w:r>
      <w:r>
        <w:rPr>
          <w:rFonts w:ascii="Times New Roman" w:eastAsia="仿宋" w:hAnsi="Times New Roman" w:cs="Times New Roman"/>
          <w:sz w:val="28"/>
          <w:szCs w:val="28"/>
        </w:rPr>
        <w:t>贮藏条件</w:t>
      </w:r>
      <w:r>
        <w:rPr>
          <w:rFonts w:ascii="Times New Roman" w:eastAsia="仿宋" w:hAnsi="Times New Roman" w:cs="Times New Roman" w:hint="eastAsia"/>
          <w:sz w:val="28"/>
          <w:szCs w:val="28"/>
        </w:rPr>
        <w:t>，</w:t>
      </w:r>
      <w:r>
        <w:rPr>
          <w:rFonts w:ascii="Times New Roman" w:eastAsia="仿宋" w:hAnsi="Times New Roman" w:cs="Times New Roman"/>
          <w:sz w:val="28"/>
          <w:szCs w:val="28"/>
        </w:rPr>
        <w:t>药品效期</w:t>
      </w:r>
      <w:r>
        <w:rPr>
          <w:rFonts w:ascii="Times New Roman" w:eastAsia="仿宋" w:hAnsi="Times New Roman" w:cs="Times New Roman" w:hint="eastAsia"/>
          <w:sz w:val="28"/>
          <w:szCs w:val="28"/>
        </w:rPr>
        <w:t>，</w:t>
      </w:r>
      <w:r>
        <w:rPr>
          <w:rFonts w:ascii="Times New Roman" w:eastAsia="仿宋" w:hAnsi="Times New Roman" w:cs="Times New Roman"/>
          <w:sz w:val="28"/>
          <w:szCs w:val="28"/>
        </w:rPr>
        <w:t>全球使用情况</w:t>
      </w:r>
      <w:r>
        <w:rPr>
          <w:rFonts w:ascii="Times New Roman" w:eastAsia="仿宋" w:hAnsi="Times New Roman" w:cs="Times New Roman" w:hint="eastAsia"/>
          <w:sz w:val="28"/>
          <w:szCs w:val="28"/>
        </w:rPr>
        <w:t>，</w:t>
      </w:r>
      <w:r>
        <w:rPr>
          <w:rFonts w:ascii="Times New Roman" w:eastAsia="仿宋" w:hAnsi="Times New Roman" w:cs="Times New Roman"/>
          <w:sz w:val="28"/>
          <w:szCs w:val="28"/>
        </w:rPr>
        <w:t>生产企业状况共</w:t>
      </w:r>
      <w:r>
        <w:rPr>
          <w:rFonts w:ascii="Times New Roman" w:eastAsia="仿宋" w:hAnsi="Times New Roman" w:cs="Times New Roman"/>
          <w:sz w:val="28"/>
          <w:szCs w:val="28"/>
        </w:rPr>
        <w:t>6</w:t>
      </w:r>
      <w:r>
        <w:rPr>
          <w:rFonts w:ascii="Times New Roman" w:eastAsia="仿宋" w:hAnsi="Times New Roman" w:cs="Times New Roman"/>
          <w:sz w:val="28"/>
          <w:szCs w:val="28"/>
        </w:rPr>
        <w:t>个方面的属性。</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color w:val="000000" w:themeColor="text1"/>
          <w:sz w:val="28"/>
          <w:szCs w:val="28"/>
          <w:lang w:eastAsia="zh-Hans"/>
        </w:rPr>
        <w:t>医疗机构药品临床快速综合评价量化记录表见表</w:t>
      </w:r>
      <w:r>
        <w:rPr>
          <w:rFonts w:ascii="Times New Roman" w:eastAsia="仿宋" w:hAnsi="Times New Roman" w:cs="Times New Roman"/>
          <w:sz w:val="28"/>
          <w:szCs w:val="28"/>
        </w:rPr>
        <w:t>1</w:t>
      </w:r>
      <w:r>
        <w:rPr>
          <w:rFonts w:ascii="Times New Roman" w:eastAsia="仿宋" w:hAnsi="Times New Roman" w:cs="Times New Roman"/>
          <w:sz w:val="28"/>
          <w:szCs w:val="28"/>
        </w:rPr>
        <w:t>。</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1</w:t>
      </w:r>
      <w:r>
        <w:rPr>
          <w:rFonts w:ascii="Times New Roman" w:eastAsia="仿宋" w:hAnsi="Times New Roman" w:cs="Times New Roman" w:hint="eastAsia"/>
          <w:sz w:val="24"/>
          <w:szCs w:val="28"/>
        </w:rPr>
        <w:t xml:space="preserve"> </w:t>
      </w:r>
      <w:r>
        <w:rPr>
          <w:rFonts w:ascii="Times New Roman" w:eastAsia="仿宋" w:hAnsi="Times New Roman" w:cs="Times New Roman"/>
          <w:sz w:val="24"/>
          <w:szCs w:val="28"/>
        </w:rPr>
        <w:t>医疗机构药品临床快速综合评价量化记录表</w:t>
      </w:r>
    </w:p>
    <w:tbl>
      <w:tblPr>
        <w:tblStyle w:val="21"/>
        <w:tblW w:w="9508" w:type="dxa"/>
        <w:jc w:val="center"/>
        <w:tblBorders>
          <w:top w:val="single" w:sz="4" w:space="0" w:color="auto"/>
        </w:tblBorders>
        <w:tblLook w:val="04A0" w:firstRow="1" w:lastRow="0" w:firstColumn="1" w:lastColumn="0" w:noHBand="0" w:noVBand="1"/>
      </w:tblPr>
      <w:tblGrid>
        <w:gridCol w:w="2704"/>
        <w:gridCol w:w="6804"/>
      </w:tblGrid>
      <w:tr w:rsidR="00C96FF8" w:rsidTr="00C96FF8">
        <w:trPr>
          <w:cnfStyle w:val="100000000000" w:firstRow="1" w:lastRow="0" w:firstColumn="0" w:lastColumn="0" w:oddVBand="0" w:evenVBand="0" w:oddHBand="0" w:evenHBand="0" w:firstRowFirstColumn="0" w:firstRowLastColumn="0" w:lastRowFirstColumn="0" w:lastRowLastColumn="0"/>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bottom w:val="single" w:sz="4" w:space="0" w:color="auto"/>
            </w:tcBorders>
          </w:tcPr>
          <w:p w:rsidR="00C96FF8" w:rsidRDefault="00DD68D6">
            <w:pPr>
              <w:textAlignment w:val="center"/>
              <w:rPr>
                <w:rFonts w:ascii="Times New Roman" w:eastAsia="仿宋" w:hAnsi="Times New Roman" w:cs="Times New Roman"/>
                <w:b w:val="0"/>
                <w:bCs w:val="0"/>
                <w:kern w:val="24"/>
                <w:sz w:val="24"/>
                <w:szCs w:val="24"/>
              </w:rPr>
            </w:pPr>
            <w:r>
              <w:rPr>
                <w:rFonts w:ascii="Times New Roman" w:eastAsia="仿宋" w:hAnsi="Times New Roman" w:cs="Times New Roman"/>
                <w:kern w:val="24"/>
                <w:sz w:val="24"/>
                <w:szCs w:val="24"/>
              </w:rPr>
              <w:t>指标体系及权重系数</w:t>
            </w:r>
          </w:p>
        </w:tc>
        <w:tc>
          <w:tcPr>
            <w:tcW w:w="6804" w:type="dxa"/>
            <w:tcBorders>
              <w:top w:val="single" w:sz="4" w:space="0" w:color="auto"/>
              <w:bottom w:val="single" w:sz="4" w:space="0" w:color="auto"/>
            </w:tcBorders>
          </w:tcPr>
          <w:p w:rsidR="00C96FF8" w:rsidRDefault="00DD68D6">
            <w:pPr>
              <w:jc w:val="left"/>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 w:val="0"/>
                <w:bCs w:val="0"/>
                <w:kern w:val="0"/>
                <w:sz w:val="24"/>
                <w:szCs w:val="24"/>
              </w:rPr>
            </w:pPr>
            <w:r>
              <w:rPr>
                <w:rFonts w:ascii="Times New Roman" w:eastAsia="仿宋" w:hAnsi="Times New Roman" w:cs="Times New Roman"/>
                <w:kern w:val="0"/>
                <w:sz w:val="24"/>
                <w:szCs w:val="24"/>
              </w:rPr>
              <w:t>细则（指标信息和数据来源）</w:t>
            </w:r>
          </w:p>
        </w:tc>
      </w:tr>
      <w:tr w:rsidR="00C96FF8" w:rsidTr="00C96FF8">
        <w:trPr>
          <w:trHeight w:val="278"/>
          <w:jc w:val="center"/>
        </w:trPr>
        <w:tc>
          <w:tcPr>
            <w:cnfStyle w:val="001000000000" w:firstRow="0" w:lastRow="0" w:firstColumn="1" w:lastColumn="0" w:oddVBand="0" w:evenVBand="0" w:oddHBand="0" w:evenHBand="0" w:firstRowFirstColumn="0" w:firstRowLastColumn="0" w:lastRowFirstColumn="0" w:lastRowLastColumn="0"/>
            <w:tcW w:w="2704" w:type="dxa"/>
            <w:tcBorders>
              <w:top w:val="single" w:sz="4" w:space="0" w:color="auto"/>
            </w:tcBorders>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一、药学特性（</w:t>
            </w:r>
            <w:r>
              <w:rPr>
                <w:rFonts w:ascii="Times New Roman" w:eastAsia="仿宋" w:hAnsi="Times New Roman" w:cs="Times New Roman"/>
                <w:kern w:val="24"/>
                <w:sz w:val="24"/>
                <w:szCs w:val="24"/>
              </w:rPr>
              <w:t>20</w:t>
            </w:r>
            <w:r>
              <w:rPr>
                <w:rFonts w:ascii="Times New Roman" w:eastAsia="仿宋" w:hAnsi="Times New Roman" w:cs="Times New Roman"/>
                <w:kern w:val="24"/>
                <w:sz w:val="24"/>
                <w:szCs w:val="24"/>
              </w:rPr>
              <w:t>）</w:t>
            </w:r>
          </w:p>
        </w:tc>
        <w:tc>
          <w:tcPr>
            <w:tcW w:w="6804" w:type="dxa"/>
            <w:tcBorders>
              <w:top w:val="single" w:sz="4" w:space="0" w:color="auto"/>
            </w:tcBorders>
          </w:tcPr>
          <w:p w:rsidR="00C96FF8"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适应证（</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tabs>
                <w:tab w:val="left" w:pos="387"/>
              </w:tabs>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临床必需，首选</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临床需要，次选</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可选药品较多</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药理作用（</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临床疗效确切，作用机制明确</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临床疗效确切，作用机制尚不十分明确</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临床疗效一般，作用机制不明确</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体内过程（</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体内过程明确，药动学参数完整</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体内过程基本明确，药动学参数不完整</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体内过程尚不明确，无药动学相关研究</w:t>
            </w:r>
          </w:p>
        </w:tc>
      </w:tr>
      <w:tr w:rsidR="00C96FF8"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textAlignment w:val="center"/>
              <w:rPr>
                <w:rFonts w:ascii="Times New Roman" w:eastAsia="仿宋" w:hAnsi="Times New Roman" w:cs="Times New Roman"/>
                <w:kern w:val="24"/>
                <w:sz w:val="24"/>
                <w:szCs w:val="24"/>
              </w:rPr>
            </w:pPr>
            <w:r>
              <w:rPr>
                <w:rFonts w:ascii="Times New Roman" w:eastAsia="仿宋" w:hAnsi="Times New Roman" w:cs="Times New Roman"/>
                <w:kern w:val="24"/>
                <w:sz w:val="24"/>
                <w:szCs w:val="24"/>
              </w:rPr>
              <w:t>药剂学和使用方法（</w:t>
            </w:r>
            <w:r>
              <w:rPr>
                <w:rFonts w:ascii="Times New Roman" w:eastAsia="仿宋" w:hAnsi="Times New Roman" w:cs="Times New Roman"/>
                <w:kern w:val="24"/>
                <w:sz w:val="24"/>
                <w:szCs w:val="24"/>
              </w:rPr>
              <w:t>6</w:t>
            </w:r>
            <w:r>
              <w:rPr>
                <w:rFonts w:ascii="Times New Roman" w:eastAsia="仿宋" w:hAnsi="Times New Roman" w:cs="Times New Roman"/>
                <w:kern w:val="24"/>
                <w:sz w:val="24"/>
                <w:szCs w:val="24"/>
              </w:rPr>
              <w:t>）</w:t>
            </w:r>
          </w:p>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（可多选）</w:t>
            </w:r>
          </w:p>
        </w:tc>
        <w:tc>
          <w:tcPr>
            <w:tcW w:w="6804" w:type="dxa"/>
          </w:tcPr>
          <w:p w:rsidR="00C96FF8" w:rsidRDefault="00DD68D6">
            <w:pPr>
              <w:pStyle w:val="ab"/>
              <w:numPr>
                <w:ilvl w:val="0"/>
                <w:numId w:val="1"/>
              </w:numPr>
              <w:ind w:firstLineChars="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主要成分及辅料明确</w:t>
            </w:r>
          </w:p>
        </w:tc>
      </w:tr>
      <w:tr w:rsidR="00C96FF8"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2  </w:t>
            </w:r>
            <w:r>
              <w:rPr>
                <w:rFonts w:ascii="Times New Roman" w:eastAsia="仿宋" w:hAnsi="Times New Roman" w:cs="Times New Roman"/>
                <w:kern w:val="24"/>
                <w:sz w:val="24"/>
                <w:szCs w:val="24"/>
              </w:rPr>
              <w:t>剂型适宜</w:t>
            </w:r>
          </w:p>
        </w:tc>
      </w:tr>
      <w:tr w:rsidR="00C96FF8"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 xml:space="preserve"> </w:t>
            </w:r>
            <w:r>
              <w:rPr>
                <w:rFonts w:ascii="Times New Roman" w:eastAsia="仿宋" w:hAnsi="Times New Roman" w:cs="Times New Roman"/>
                <w:kern w:val="24"/>
                <w:sz w:val="24"/>
                <w:szCs w:val="24"/>
              </w:rPr>
              <w:t>给药剂量便于掌握</w:t>
            </w:r>
          </w:p>
        </w:tc>
      </w:tr>
      <w:tr w:rsidR="00C96FF8" w:rsidTr="00C96FF8">
        <w:trPr>
          <w:trHeight w:val="27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给药频次适宜</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使用方便</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一致性评价（</w:t>
            </w:r>
            <w:r>
              <w:rPr>
                <w:rFonts w:ascii="Times New Roman" w:eastAsia="仿宋" w:hAnsi="Times New Roman" w:cs="Times New Roman"/>
                <w:kern w:val="24"/>
                <w:sz w:val="24"/>
                <w:szCs w:val="24"/>
              </w:rPr>
              <w:t>5</w:t>
            </w:r>
            <w:r>
              <w:rPr>
                <w:rFonts w:ascii="Times New Roman" w:eastAsia="仿宋" w:hAnsi="Times New Roman" w:cs="Times New Roman"/>
                <w:kern w:val="24"/>
                <w:sz w:val="24"/>
                <w:szCs w:val="24"/>
              </w:rPr>
              <w:t>）</w:t>
            </w: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5  </w:t>
            </w:r>
            <w:r>
              <w:rPr>
                <w:rFonts w:ascii="Times New Roman" w:eastAsia="仿宋" w:hAnsi="Times New Roman" w:cs="Times New Roman"/>
                <w:kern w:val="24"/>
                <w:sz w:val="24"/>
                <w:szCs w:val="24"/>
              </w:rPr>
              <w:t>原研药品</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参比药品</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kern w:val="0"/>
                <w:sz w:val="24"/>
                <w:szCs w:val="24"/>
              </w:rPr>
            </w:pPr>
          </w:p>
        </w:tc>
        <w:tc>
          <w:tcPr>
            <w:tcW w:w="6804" w:type="dxa"/>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通过一致性评价的仿制药品</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bottom w:val="nil"/>
            </w:tcBorders>
          </w:tcPr>
          <w:p w:rsidR="00C96FF8" w:rsidRDefault="00C96FF8">
            <w:pPr>
              <w:rPr>
                <w:rFonts w:ascii="Times New Roman" w:eastAsia="仿宋" w:hAnsi="Times New Roman" w:cs="Times New Roman"/>
                <w:kern w:val="0"/>
                <w:sz w:val="24"/>
                <w:szCs w:val="24"/>
              </w:rPr>
            </w:pPr>
          </w:p>
        </w:tc>
        <w:tc>
          <w:tcPr>
            <w:tcW w:w="6804" w:type="dxa"/>
            <w:tcBorders>
              <w:bottom w:val="nil"/>
            </w:tcBorders>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24"/>
                <w:sz w:val="24"/>
                <w:szCs w:val="24"/>
              </w:rPr>
              <w:t xml:space="preserve">1  </w:t>
            </w:r>
            <w:r>
              <w:rPr>
                <w:rFonts w:ascii="Times New Roman" w:eastAsia="仿宋" w:hAnsi="Times New Roman" w:cs="Times New Roman"/>
                <w:kern w:val="24"/>
                <w:sz w:val="24"/>
                <w:szCs w:val="24"/>
              </w:rPr>
              <w:t>非原研或未通过一致性评价药品</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24"/>
                <w:sz w:val="24"/>
                <w:szCs w:val="24"/>
              </w:rPr>
              <w:t>二、有效性（</w:t>
            </w:r>
            <w:r>
              <w:rPr>
                <w:rFonts w:ascii="Times New Roman" w:eastAsia="仿宋" w:hAnsi="Times New Roman" w:cs="Times New Roman"/>
                <w:kern w:val="24"/>
                <w:sz w:val="24"/>
                <w:szCs w:val="24"/>
              </w:rPr>
              <w:t>20</w:t>
            </w:r>
            <w:r>
              <w:rPr>
                <w:rFonts w:ascii="Times New Roman" w:eastAsia="仿宋" w:hAnsi="Times New Roman" w:cs="Times New Roman"/>
                <w:kern w:val="24"/>
                <w:sz w:val="24"/>
                <w:szCs w:val="24"/>
              </w:rPr>
              <w:t>）</w:t>
            </w:r>
          </w:p>
        </w:tc>
        <w:tc>
          <w:tcPr>
            <w:tcW w:w="6804" w:type="dxa"/>
            <w:tcBorders>
              <w:top w:val="nil"/>
              <w:left w:val="nil"/>
              <w:bottom w:val="nil"/>
              <w:right w:val="nil"/>
            </w:tcBorders>
          </w:tcPr>
          <w:p w:rsidR="00C96FF8" w:rsidRDefault="00C96FF8">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Borders>
              <w:top w:val="nil"/>
              <w:left w:val="nil"/>
              <w:bottom w:val="nil"/>
              <w:right w:val="nil"/>
            </w:tcBorders>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权威资料推荐（</w:t>
            </w:r>
            <w:r>
              <w:rPr>
                <w:rFonts w:ascii="Times New Roman" w:eastAsia="仿宋" w:hAnsi="Times New Roman" w:cs="Times New Roman"/>
                <w:kern w:val="0"/>
                <w:sz w:val="24"/>
                <w:szCs w:val="24"/>
              </w:rPr>
              <w:t>17</w:t>
            </w:r>
            <w:r>
              <w:rPr>
                <w:rFonts w:ascii="Times New Roman" w:eastAsia="仿宋" w:hAnsi="Times New Roman" w:cs="Times New Roman"/>
                <w:kern w:val="0"/>
                <w:sz w:val="24"/>
                <w:szCs w:val="24"/>
              </w:rPr>
              <w:t>）</w:t>
            </w:r>
          </w:p>
        </w:tc>
        <w:tc>
          <w:tcPr>
            <w:tcW w:w="6804" w:type="dxa"/>
            <w:tcBorders>
              <w:top w:val="nil"/>
              <w:left w:val="nil"/>
              <w:bottom w:val="nil"/>
              <w:right w:val="nil"/>
            </w:tcBorders>
          </w:tcPr>
          <w:p w:rsidR="00C96FF8" w:rsidRDefault="00DD68D6">
            <w:pPr>
              <w:jc w:val="left"/>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17 </w:t>
            </w:r>
            <w:r>
              <w:rPr>
                <w:rFonts w:ascii="Times New Roman" w:eastAsia="仿宋" w:hAnsi="Times New Roman" w:cs="Times New Roman"/>
                <w:kern w:val="24"/>
                <w:sz w:val="24"/>
                <w:szCs w:val="24"/>
              </w:rPr>
              <w:t>诊疗规范推荐</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国家卫生行政部门）</w:t>
            </w:r>
          </w:p>
        </w:tc>
      </w:tr>
      <w:tr w:rsidR="00C96FF8" w:rsidTr="00C96FF8">
        <w:trPr>
          <w:trHeight w:val="15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C96FF8" w:rsidRDefault="00C96FF8">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C96FF8" w:rsidRDefault="00DD68D6">
            <w:pPr>
              <w:ind w:left="480" w:hangingChars="200" w:hanging="480"/>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15 </w:t>
            </w:r>
            <w:r>
              <w:rPr>
                <w:rFonts w:ascii="Times New Roman" w:eastAsia="仿宋" w:hAnsi="Times New Roman" w:cs="Times New Roman"/>
                <w:kern w:val="24"/>
                <w:sz w:val="24"/>
                <w:szCs w:val="24"/>
              </w:rPr>
              <w:t>指南Ｉ级推荐（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15</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14</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13</w:t>
            </w: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12</w:t>
            </w:r>
            <w:r>
              <w:rPr>
                <w:rFonts w:ascii="Times New Roman" w:eastAsia="仿宋" w:hAnsi="Times New Roman" w:cs="Times New Roman"/>
                <w:kern w:val="24"/>
                <w:sz w:val="24"/>
                <w:szCs w:val="24"/>
              </w:rPr>
              <w:t>）</w:t>
            </w:r>
          </w:p>
        </w:tc>
      </w:tr>
      <w:tr w:rsidR="00C96FF8" w:rsidTr="00C96FF8">
        <w:trPr>
          <w:trHeight w:val="377"/>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C96FF8" w:rsidRDefault="00C96FF8">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11 </w:t>
            </w:r>
            <w:r>
              <w:rPr>
                <w:rFonts w:ascii="Times New Roman" w:eastAsia="仿宋" w:hAnsi="Times New Roman" w:cs="Times New Roman"/>
                <w:kern w:val="24"/>
                <w:sz w:val="24"/>
                <w:szCs w:val="24"/>
              </w:rPr>
              <w:t>指南</w:t>
            </w:r>
            <w:r>
              <w:rPr>
                <w:rFonts w:ascii="Times New Roman" w:eastAsia="仿宋" w:hAnsi="Times New Roman" w:cs="Times New Roman"/>
                <w:kern w:val="24"/>
                <w:sz w:val="24"/>
                <w:szCs w:val="24"/>
              </w:rPr>
              <w:t>Ⅱ</w:t>
            </w:r>
            <w:r>
              <w:rPr>
                <w:rFonts w:ascii="Times New Roman" w:eastAsia="仿宋" w:hAnsi="Times New Roman" w:cs="Times New Roman"/>
                <w:kern w:val="24"/>
                <w:sz w:val="24"/>
                <w:szCs w:val="24"/>
              </w:rPr>
              <w:t>级及以下推荐（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11</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10</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9</w:t>
            </w: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8</w:t>
            </w:r>
            <w:r>
              <w:rPr>
                <w:rFonts w:ascii="Times New Roman" w:eastAsia="仿宋" w:hAnsi="Times New Roman" w:cs="Times New Roman"/>
                <w:kern w:val="24"/>
                <w:sz w:val="24"/>
                <w:szCs w:val="24"/>
              </w:rPr>
              <w:t>）</w:t>
            </w:r>
          </w:p>
        </w:tc>
      </w:tr>
      <w:tr w:rsidR="00C96FF8" w:rsidTr="00C96FF8">
        <w:trPr>
          <w:trHeight w:val="2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C96FF8" w:rsidRDefault="00C96FF8">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7 </w:t>
            </w:r>
            <w:r>
              <w:rPr>
                <w:rFonts w:ascii="Times New Roman" w:eastAsia="仿宋" w:hAnsi="Times New Roman" w:cs="Times New Roman"/>
                <w:kern w:val="24"/>
                <w:sz w:val="24"/>
                <w:szCs w:val="24"/>
              </w:rPr>
              <w:t>专家共识推荐</w:t>
            </w:r>
          </w:p>
        </w:tc>
      </w:tr>
      <w:tr w:rsidR="00C96FF8" w:rsidTr="00C96FF8">
        <w:trPr>
          <w:trHeight w:val="399"/>
          <w:jc w:val="center"/>
        </w:trPr>
        <w:tc>
          <w:tcPr>
            <w:cnfStyle w:val="001000000000" w:firstRow="0" w:lastRow="0" w:firstColumn="1" w:lastColumn="0" w:oddVBand="0" w:evenVBand="0" w:oddHBand="0" w:evenHBand="0" w:firstRowFirstColumn="0" w:firstRowLastColumn="0" w:lastRowFirstColumn="0" w:lastRowLastColumn="0"/>
            <w:tcW w:w="2704" w:type="dxa"/>
            <w:vMerge/>
            <w:tcBorders>
              <w:top w:val="nil"/>
              <w:left w:val="nil"/>
              <w:bottom w:val="nil"/>
              <w:right w:val="nil"/>
            </w:tcBorders>
          </w:tcPr>
          <w:p w:rsidR="00C96FF8" w:rsidRDefault="00C96FF8">
            <w:pPr>
              <w:textAlignment w:val="center"/>
              <w:rPr>
                <w:rFonts w:ascii="Times New Roman" w:eastAsia="仿宋" w:hAnsi="Times New Roman" w:cs="Times New Roman"/>
                <w:kern w:val="0"/>
                <w:sz w:val="24"/>
                <w:szCs w:val="24"/>
              </w:rPr>
            </w:pPr>
          </w:p>
        </w:tc>
        <w:tc>
          <w:tcPr>
            <w:tcW w:w="6804" w:type="dxa"/>
            <w:tcBorders>
              <w:top w:val="nil"/>
              <w:left w:val="nil"/>
              <w:bottom w:val="nil"/>
              <w:right w:val="nil"/>
            </w:tcBorders>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24"/>
                <w:sz w:val="24"/>
                <w:szCs w:val="24"/>
              </w:rPr>
              <w:t xml:space="preserve">3  </w:t>
            </w:r>
            <w:r>
              <w:rPr>
                <w:rFonts w:ascii="Times New Roman" w:eastAsia="仿宋" w:hAnsi="Times New Roman" w:cs="Times New Roman"/>
                <w:kern w:val="24"/>
                <w:sz w:val="24"/>
                <w:szCs w:val="24"/>
              </w:rPr>
              <w:t>以上均无推荐</w:t>
            </w:r>
          </w:p>
        </w:tc>
      </w:tr>
      <w:tr w:rsidR="00C96FF8" w:rsidTr="00C96FF8">
        <w:trPr>
          <w:trHeight w:val="362"/>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left w:val="nil"/>
              <w:bottom w:val="nil"/>
              <w:right w:val="nil"/>
            </w:tcBorders>
          </w:tcPr>
          <w:p w:rsidR="00C96FF8" w:rsidRDefault="00DD68D6">
            <w:pPr>
              <w:textAlignment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心肾获益证据（</w:t>
            </w:r>
            <w:r>
              <w:rPr>
                <w:rFonts w:ascii="Times New Roman" w:eastAsia="仿宋" w:hAnsi="Times New Roman" w:cs="Times New Roman"/>
                <w:kern w:val="0"/>
                <w:sz w:val="24"/>
                <w:szCs w:val="24"/>
              </w:rPr>
              <w:t>3</w:t>
            </w:r>
            <w:r>
              <w:rPr>
                <w:rFonts w:ascii="Times New Roman" w:eastAsia="仿宋" w:hAnsi="Times New Roman" w:cs="Times New Roman"/>
                <w:kern w:val="0"/>
                <w:sz w:val="24"/>
                <w:szCs w:val="24"/>
              </w:rPr>
              <w:t>）</w:t>
            </w:r>
          </w:p>
        </w:tc>
        <w:tc>
          <w:tcPr>
            <w:tcW w:w="6804" w:type="dxa"/>
            <w:tcBorders>
              <w:top w:val="nil"/>
              <w:left w:val="nil"/>
              <w:bottom w:val="nil"/>
              <w:right w:val="nil"/>
            </w:tcBorders>
          </w:tcPr>
          <w:p w:rsidR="00C96FF8" w:rsidRDefault="00DD68D6">
            <w:pPr>
              <w:jc w:val="left"/>
              <w:textAlignment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24"/>
                <w:sz w:val="24"/>
                <w:szCs w:val="24"/>
              </w:rPr>
            </w:pPr>
            <w:r>
              <w:rPr>
                <w:rFonts w:ascii="Times New Roman" w:eastAsia="仿宋" w:hAnsi="Times New Roman" w:cs="Times New Roman"/>
                <w:kern w:val="0"/>
                <w:sz w:val="24"/>
                <w:szCs w:val="24"/>
              </w:rPr>
              <w:t xml:space="preserve">3  </w:t>
            </w:r>
            <w:r>
              <w:rPr>
                <w:rFonts w:ascii="Times New Roman" w:eastAsia="仿宋" w:hAnsi="Times New Roman" w:cs="Times New Roman"/>
                <w:kern w:val="0"/>
                <w:sz w:val="24"/>
                <w:szCs w:val="24"/>
              </w:rPr>
              <w:t>有明确心肾获益证据</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Borders>
              <w:top w:val="nil"/>
            </w:tcBorders>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三、安全性（</w:t>
            </w:r>
            <w:r>
              <w:rPr>
                <w:rFonts w:ascii="Times New Roman" w:eastAsia="仿宋" w:hAnsi="Times New Roman" w:cs="Times New Roman"/>
                <w:sz w:val="24"/>
                <w:szCs w:val="24"/>
              </w:rPr>
              <w:t>20</w:t>
            </w:r>
            <w:r>
              <w:rPr>
                <w:rFonts w:ascii="Times New Roman" w:eastAsia="仿宋" w:hAnsi="Times New Roman" w:cs="Times New Roman"/>
                <w:sz w:val="24"/>
                <w:szCs w:val="24"/>
              </w:rPr>
              <w:t>）</w:t>
            </w:r>
          </w:p>
        </w:tc>
        <w:tc>
          <w:tcPr>
            <w:tcW w:w="6804" w:type="dxa"/>
            <w:tcBorders>
              <w:top w:val="nil"/>
            </w:tcBorders>
          </w:tcPr>
          <w:p w:rsidR="00C96FF8"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
                <w:bCs/>
                <w:sz w:val="24"/>
                <w:szCs w:val="24"/>
              </w:rPr>
            </w:pP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不良反应分级或</w:t>
            </w:r>
            <w:r>
              <w:rPr>
                <w:rFonts w:ascii="Times New Roman" w:eastAsia="仿宋" w:hAnsi="Times New Roman" w:cs="Times New Roman"/>
                <w:sz w:val="24"/>
                <w:szCs w:val="24"/>
              </w:rPr>
              <w:t>CTCAE</w:t>
            </w:r>
            <w:r>
              <w:rPr>
                <w:rFonts w:ascii="Times New Roman" w:eastAsia="仿宋" w:hAnsi="Times New Roman" w:cs="Times New Roman"/>
                <w:sz w:val="24"/>
                <w:szCs w:val="24"/>
              </w:rPr>
              <w:t>分级（</w:t>
            </w:r>
            <w:r>
              <w:rPr>
                <w:rFonts w:ascii="Times New Roman" w:eastAsia="仿宋" w:hAnsi="Times New Roman" w:cs="Times New Roman"/>
                <w:sz w:val="24"/>
                <w:szCs w:val="24"/>
              </w:rPr>
              <w:t>7</w:t>
            </w:r>
            <w:r>
              <w:rPr>
                <w:rFonts w:ascii="Times New Roman" w:eastAsia="仿宋" w:hAnsi="Times New Roman" w:cs="Times New Roman"/>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7  </w:t>
            </w:r>
            <w:r>
              <w:rPr>
                <w:rFonts w:ascii="Times New Roman" w:eastAsia="仿宋" w:hAnsi="Times New Roman" w:cs="Times New Roman"/>
                <w:sz w:val="24"/>
                <w:szCs w:val="24"/>
              </w:rPr>
              <w:t>症状轻微，无需治疗或</w:t>
            </w:r>
            <w:r>
              <w:rPr>
                <w:rFonts w:ascii="Times New Roman" w:eastAsia="仿宋" w:hAnsi="Times New Roman" w:cs="Times New Roman"/>
                <w:sz w:val="24"/>
                <w:szCs w:val="24"/>
              </w:rPr>
              <w:t>CTC1</w:t>
            </w:r>
            <w:r>
              <w:rPr>
                <w:rFonts w:ascii="Times New Roman" w:eastAsia="仿宋" w:hAnsi="Times New Roman" w:cs="Times New Roman"/>
                <w:sz w:val="24"/>
                <w:szCs w:val="24"/>
              </w:rPr>
              <w:t>级</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6  </w:t>
            </w:r>
            <w:r>
              <w:rPr>
                <w:rFonts w:ascii="Times New Roman" w:eastAsia="仿宋" w:hAnsi="Times New Roman" w:cs="Times New Roman"/>
                <w:sz w:val="24"/>
                <w:szCs w:val="24"/>
              </w:rPr>
              <w:t>症状较轻，需要干预或</w:t>
            </w:r>
            <w:r>
              <w:rPr>
                <w:rFonts w:ascii="Times New Roman" w:eastAsia="仿宋" w:hAnsi="Times New Roman" w:cs="Times New Roman"/>
                <w:sz w:val="24"/>
                <w:szCs w:val="24"/>
              </w:rPr>
              <w:t>CTC2</w:t>
            </w:r>
            <w:r>
              <w:rPr>
                <w:rFonts w:ascii="Times New Roman" w:eastAsia="仿宋" w:hAnsi="Times New Roman" w:cs="Times New Roman"/>
                <w:sz w:val="24"/>
                <w:szCs w:val="24"/>
              </w:rPr>
              <w:t>级</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5  </w:t>
            </w:r>
            <w:r>
              <w:rPr>
                <w:rFonts w:ascii="Times New Roman" w:eastAsia="仿宋" w:hAnsi="Times New Roman" w:cs="Times New Roman"/>
                <w:sz w:val="24"/>
                <w:szCs w:val="24"/>
              </w:rPr>
              <w:t>症状明显，需要干预或</w:t>
            </w:r>
            <w:r>
              <w:rPr>
                <w:rFonts w:ascii="Times New Roman" w:eastAsia="仿宋" w:hAnsi="Times New Roman" w:cs="Times New Roman"/>
                <w:sz w:val="24"/>
                <w:szCs w:val="24"/>
              </w:rPr>
              <w:t>CTC3</w:t>
            </w:r>
            <w:r>
              <w:rPr>
                <w:rFonts w:ascii="Times New Roman" w:eastAsia="仿宋" w:hAnsi="Times New Roman" w:cs="Times New Roman"/>
                <w:sz w:val="24"/>
                <w:szCs w:val="24"/>
              </w:rPr>
              <w:t>级</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4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&lt;0.1%</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0.1%</w:t>
            </w:r>
            <w:r>
              <w:rPr>
                <w:rFonts w:ascii="Times New Roman" w:eastAsia="仿宋" w:hAnsi="Times New Roman" w:cs="Times New Roman" w:hint="eastAsia"/>
                <w:sz w:val="24"/>
                <w:szCs w:val="24"/>
              </w:rPr>
              <w:t>~</w:t>
            </w:r>
            <w:r>
              <w:rPr>
                <w:rFonts w:ascii="Times New Roman" w:eastAsia="仿宋" w:hAnsi="Times New Roman" w:cs="Times New Roman"/>
                <w:sz w:val="24"/>
                <w:szCs w:val="24"/>
              </w:rPr>
              <w:t>1%</w:t>
            </w:r>
            <w:r>
              <w:rPr>
                <w:rFonts w:ascii="Times New Roman" w:eastAsia="仿宋" w:hAnsi="Times New Roman" w:cs="Times New Roman"/>
                <w:sz w:val="24"/>
                <w:szCs w:val="24"/>
              </w:rPr>
              <w:t>）</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&gt;1%</w:t>
            </w:r>
            <w:r>
              <w:rPr>
                <w:rFonts w:ascii="Times New Roman" w:eastAsia="仿宋" w:hAnsi="Times New Roman" w:cs="Times New Roman" w:hint="eastAsia"/>
                <w:sz w:val="24"/>
                <w:szCs w:val="24"/>
              </w:rPr>
              <w:t>~</w:t>
            </w:r>
            <w:r>
              <w:rPr>
                <w:rFonts w:ascii="Times New Roman" w:eastAsia="仿宋" w:hAnsi="Times New Roman" w:cs="Times New Roman"/>
                <w:sz w:val="24"/>
                <w:szCs w:val="24"/>
              </w:rPr>
              <w:t>10%</w:t>
            </w:r>
            <w:r>
              <w:rPr>
                <w:rFonts w:ascii="Times New Roman" w:eastAsia="仿宋" w:hAnsi="Times New Roman" w:cs="Times New Roman"/>
                <w:sz w:val="24"/>
                <w:szCs w:val="24"/>
              </w:rPr>
              <w:t>）</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症状严重，危及生命或</w:t>
            </w:r>
            <w:r>
              <w:rPr>
                <w:rFonts w:ascii="Times New Roman" w:eastAsia="仿宋" w:hAnsi="Times New Roman" w:cs="Times New Roman"/>
                <w:sz w:val="24"/>
                <w:szCs w:val="24"/>
              </w:rPr>
              <w:t>CTC4-5</w:t>
            </w:r>
            <w:r>
              <w:rPr>
                <w:rFonts w:ascii="Times New Roman" w:eastAsia="仿宋" w:hAnsi="Times New Roman" w:cs="Times New Roman"/>
                <w:sz w:val="24"/>
                <w:szCs w:val="24"/>
              </w:rPr>
              <w:t>级，发生率</w:t>
            </w:r>
            <w:r>
              <w:rPr>
                <w:rFonts w:ascii="Times New Roman" w:eastAsia="仿宋" w:hAnsi="Times New Roman" w:cs="Times New Roman"/>
                <w:sz w:val="24"/>
                <w:szCs w:val="24"/>
              </w:rPr>
              <w:t>&gt;10%</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特殊人群（</w:t>
            </w:r>
            <w:r>
              <w:rPr>
                <w:rFonts w:ascii="Times New Roman" w:eastAsia="仿宋" w:hAnsi="Times New Roman" w:cs="Times New Roman"/>
                <w:sz w:val="24"/>
                <w:szCs w:val="24"/>
              </w:rPr>
              <w:t>7</w:t>
            </w:r>
            <w:r>
              <w:rPr>
                <w:rFonts w:ascii="Times New Roman" w:eastAsia="仿宋" w:hAnsi="Times New Roman" w:cs="Times New Roman"/>
                <w:sz w:val="24"/>
                <w:szCs w:val="24"/>
              </w:rPr>
              <w:t>）</w:t>
            </w:r>
          </w:p>
          <w:p w:rsidR="00C96FF8" w:rsidRDefault="00DD68D6">
            <w:pPr>
              <w:rPr>
                <w:rFonts w:ascii="Times New Roman" w:eastAsia="仿宋" w:hAnsi="Times New Roman" w:cs="Times New Roman"/>
                <w:sz w:val="24"/>
                <w:szCs w:val="24"/>
              </w:rPr>
            </w:pPr>
            <w:r>
              <w:rPr>
                <w:rFonts w:ascii="Times New Roman" w:eastAsia="仿宋" w:hAnsi="Times New Roman" w:cs="Times New Roman"/>
                <w:kern w:val="24"/>
                <w:sz w:val="24"/>
                <w:szCs w:val="24"/>
              </w:rPr>
              <w:t>（可多选）</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儿童可用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老人可用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tabs>
                <w:tab w:val="left" w:pos="417"/>
              </w:tabs>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孕妇可用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哺乳期妇女可用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肝功能异常可用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肾功能异常可用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药物相互作用所致不良反应</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轻中度：一般无需调整用药剂量</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重度：需要调整剂量</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禁忌：禁止在同一时段使用</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其他（</w:t>
            </w:r>
            <w:r>
              <w:rPr>
                <w:rFonts w:ascii="Times New Roman" w:eastAsia="仿宋" w:hAnsi="Times New Roman" w:cs="Times New Roman"/>
                <w:sz w:val="24"/>
                <w:szCs w:val="24"/>
              </w:rPr>
              <w:t>3</w:t>
            </w:r>
            <w:r>
              <w:rPr>
                <w:rFonts w:ascii="Times New Roman" w:eastAsia="仿宋" w:hAnsi="Times New Roman" w:cs="Times New Roman"/>
                <w:sz w:val="24"/>
                <w:szCs w:val="24"/>
              </w:rPr>
              <w:t>）</w:t>
            </w:r>
          </w:p>
          <w:p w:rsidR="00C96FF8" w:rsidRDefault="00DD68D6">
            <w:pPr>
              <w:rPr>
                <w:rFonts w:ascii="Times New Roman" w:eastAsia="仿宋" w:hAnsi="Times New Roman" w:cs="Times New Roman"/>
                <w:sz w:val="24"/>
                <w:szCs w:val="24"/>
              </w:rPr>
            </w:pPr>
            <w:r>
              <w:rPr>
                <w:rFonts w:ascii="Times New Roman" w:eastAsia="仿宋" w:hAnsi="Times New Roman" w:cs="Times New Roman"/>
                <w:kern w:val="24"/>
                <w:sz w:val="24"/>
                <w:szCs w:val="24"/>
              </w:rPr>
              <w:t>（可多选）</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不良反应均为可逆性</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无致畸、致癌</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无特别用药警示</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四、经济性（</w:t>
            </w:r>
            <w:r>
              <w:rPr>
                <w:rFonts w:ascii="Times New Roman" w:eastAsia="仿宋" w:hAnsi="Times New Roman" w:cs="Times New Roman"/>
                <w:sz w:val="24"/>
                <w:szCs w:val="24"/>
              </w:rPr>
              <w:t>20</w:t>
            </w:r>
            <w:r>
              <w:rPr>
                <w:rFonts w:ascii="Times New Roman" w:eastAsia="仿宋" w:hAnsi="Times New Roman" w:cs="Times New Roman"/>
                <w:sz w:val="24"/>
                <w:szCs w:val="24"/>
              </w:rPr>
              <w:t>）</w:t>
            </w:r>
          </w:p>
        </w:tc>
        <w:tc>
          <w:tcPr>
            <w:tcW w:w="6804" w:type="dxa"/>
          </w:tcPr>
          <w:p w:rsidR="00C96FF8"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所评价药品日均治疗费用（百分位数）</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20  </w:t>
            </w:r>
            <w:r>
              <w:rPr>
                <w:rFonts w:ascii="Times New Roman" w:eastAsia="仿宋" w:hAnsi="Times New Roman" w:cs="Times New Roman"/>
                <w:sz w:val="24"/>
                <w:szCs w:val="24"/>
              </w:rPr>
              <w:t>最低</w:t>
            </w:r>
            <w:r>
              <w:rPr>
                <w:rFonts w:ascii="Times New Roman" w:eastAsia="仿宋" w:hAnsi="Times New Roman" w:cs="Times New Roman"/>
                <w:sz w:val="24"/>
                <w:szCs w:val="24"/>
              </w:rPr>
              <w:t>P20%</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18  P20%</w:t>
            </w:r>
            <w:r>
              <w:rPr>
                <w:rFonts w:ascii="Times New Roman" w:eastAsia="仿宋" w:hAnsi="Times New Roman" w:cs="Times New Roman" w:hint="eastAsia"/>
                <w:sz w:val="24"/>
                <w:szCs w:val="24"/>
              </w:rPr>
              <w:t>~</w:t>
            </w:r>
            <w:r>
              <w:rPr>
                <w:rFonts w:ascii="Times New Roman" w:eastAsia="仿宋" w:hAnsi="Times New Roman" w:cs="Times New Roman"/>
                <w:sz w:val="24"/>
                <w:szCs w:val="24"/>
              </w:rPr>
              <w:t>40%</w:t>
            </w:r>
            <w:r>
              <w:rPr>
                <w:rFonts w:ascii="Times New Roman" w:eastAsia="仿宋" w:hAnsi="Times New Roman" w:cs="Times New Roman"/>
                <w:sz w:val="24"/>
                <w:szCs w:val="24"/>
              </w:rPr>
              <w:t>区间</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16  P40%</w:t>
            </w:r>
            <w:r>
              <w:rPr>
                <w:rFonts w:ascii="Times New Roman" w:eastAsia="仿宋" w:hAnsi="Times New Roman" w:cs="Times New Roman" w:hint="eastAsia"/>
                <w:sz w:val="24"/>
                <w:szCs w:val="24"/>
              </w:rPr>
              <w:t>~</w:t>
            </w:r>
            <w:r>
              <w:rPr>
                <w:rFonts w:ascii="Times New Roman" w:eastAsia="仿宋" w:hAnsi="Times New Roman" w:cs="Times New Roman"/>
                <w:sz w:val="24"/>
                <w:szCs w:val="24"/>
              </w:rPr>
              <w:t>60%</w:t>
            </w:r>
            <w:r>
              <w:rPr>
                <w:rFonts w:ascii="Times New Roman" w:eastAsia="仿宋" w:hAnsi="Times New Roman" w:cs="Times New Roman"/>
                <w:sz w:val="24"/>
                <w:szCs w:val="24"/>
              </w:rPr>
              <w:t>区间</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14  P60%</w:t>
            </w:r>
            <w:r>
              <w:rPr>
                <w:rFonts w:ascii="Times New Roman" w:eastAsia="仿宋" w:hAnsi="Times New Roman" w:cs="Times New Roman" w:hint="eastAsia"/>
                <w:sz w:val="24"/>
                <w:szCs w:val="24"/>
              </w:rPr>
              <w:t>~</w:t>
            </w:r>
            <w:r>
              <w:rPr>
                <w:rFonts w:ascii="Times New Roman" w:eastAsia="仿宋" w:hAnsi="Times New Roman" w:cs="Times New Roman"/>
                <w:sz w:val="24"/>
                <w:szCs w:val="24"/>
              </w:rPr>
              <w:t>80%</w:t>
            </w:r>
            <w:r>
              <w:rPr>
                <w:rFonts w:ascii="Times New Roman" w:eastAsia="仿宋" w:hAnsi="Times New Roman" w:cs="Times New Roman"/>
                <w:sz w:val="24"/>
                <w:szCs w:val="24"/>
              </w:rPr>
              <w:t>区间</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12  P80%</w:t>
            </w:r>
            <w:r>
              <w:rPr>
                <w:rFonts w:ascii="Times New Roman" w:eastAsia="仿宋" w:hAnsi="Times New Roman" w:cs="Times New Roman" w:hint="eastAsia"/>
                <w:sz w:val="24"/>
                <w:szCs w:val="24"/>
              </w:rPr>
              <w:t>~</w:t>
            </w:r>
            <w:r>
              <w:rPr>
                <w:rFonts w:ascii="Times New Roman" w:eastAsia="仿宋" w:hAnsi="Times New Roman" w:cs="Times New Roman"/>
                <w:sz w:val="24"/>
                <w:szCs w:val="24"/>
              </w:rPr>
              <w:t>100%</w:t>
            </w:r>
            <w:r>
              <w:rPr>
                <w:rFonts w:ascii="Times New Roman" w:eastAsia="仿宋" w:hAnsi="Times New Roman" w:cs="Times New Roman"/>
                <w:sz w:val="24"/>
                <w:szCs w:val="24"/>
              </w:rPr>
              <w:t>区间</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五、其他属性（</w:t>
            </w:r>
            <w:r>
              <w:rPr>
                <w:rFonts w:ascii="Times New Roman" w:eastAsia="仿宋" w:hAnsi="Times New Roman" w:cs="Times New Roman"/>
                <w:sz w:val="24"/>
                <w:szCs w:val="24"/>
              </w:rPr>
              <w:t>20</w:t>
            </w:r>
            <w:r>
              <w:rPr>
                <w:rFonts w:ascii="Times New Roman" w:eastAsia="仿宋" w:hAnsi="Times New Roman" w:cs="Times New Roman"/>
                <w:sz w:val="24"/>
                <w:szCs w:val="24"/>
              </w:rPr>
              <w:t>）</w:t>
            </w:r>
          </w:p>
        </w:tc>
        <w:tc>
          <w:tcPr>
            <w:tcW w:w="6804" w:type="dxa"/>
          </w:tcPr>
          <w:p w:rsidR="00C96FF8" w:rsidRDefault="00C96FF8">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国家医保（</w:t>
            </w:r>
            <w:r>
              <w:rPr>
                <w:rFonts w:ascii="Times New Roman" w:eastAsia="仿宋" w:hAnsi="Times New Roman" w:cs="Times New Roman"/>
                <w:sz w:val="24"/>
                <w:szCs w:val="24"/>
              </w:rPr>
              <w:t>5</w:t>
            </w:r>
            <w:r>
              <w:rPr>
                <w:rFonts w:ascii="Times New Roman" w:eastAsia="仿宋" w:hAnsi="Times New Roman" w:cs="Times New Roman"/>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5  </w:t>
            </w:r>
            <w:r>
              <w:rPr>
                <w:rFonts w:ascii="Times New Roman" w:eastAsia="仿宋" w:hAnsi="Times New Roman" w:cs="Times New Roman"/>
                <w:sz w:val="24"/>
                <w:szCs w:val="24"/>
              </w:rPr>
              <w:t>国家医保甲类</w:t>
            </w:r>
            <w:r>
              <w:rPr>
                <w:rFonts w:ascii="Times New Roman" w:eastAsia="仿宋" w:hAnsi="Times New Roman" w:cs="Times New Roman"/>
                <w:sz w:val="24"/>
                <w:szCs w:val="24"/>
              </w:rPr>
              <w:t>,</w:t>
            </w:r>
            <w:r>
              <w:rPr>
                <w:rFonts w:ascii="Times New Roman" w:eastAsia="仿宋" w:hAnsi="Times New Roman" w:cs="Times New Roman"/>
                <w:sz w:val="24"/>
                <w:szCs w:val="24"/>
              </w:rPr>
              <w:t>且没有支付限制条件</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4  </w:t>
            </w:r>
            <w:r>
              <w:rPr>
                <w:rFonts w:ascii="Times New Roman" w:eastAsia="仿宋" w:hAnsi="Times New Roman" w:cs="Times New Roman"/>
                <w:sz w:val="24"/>
                <w:szCs w:val="24"/>
              </w:rPr>
              <w:t>国家医保甲类</w:t>
            </w:r>
            <w:r>
              <w:rPr>
                <w:rFonts w:ascii="Times New Roman" w:eastAsia="仿宋" w:hAnsi="Times New Roman" w:cs="Times New Roman"/>
                <w:sz w:val="24"/>
                <w:szCs w:val="24"/>
              </w:rPr>
              <w:t>,</w:t>
            </w:r>
            <w:r>
              <w:rPr>
                <w:rFonts w:ascii="Times New Roman" w:eastAsia="仿宋" w:hAnsi="Times New Roman" w:cs="Times New Roman"/>
                <w:sz w:val="24"/>
                <w:szCs w:val="24"/>
              </w:rPr>
              <w:t>有支付限制条件</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国家医保乙类</w:t>
            </w:r>
            <w:r>
              <w:rPr>
                <w:rFonts w:ascii="Times New Roman" w:eastAsia="仿宋" w:hAnsi="Times New Roman" w:cs="Times New Roman"/>
                <w:sz w:val="24"/>
                <w:szCs w:val="24"/>
              </w:rPr>
              <w:t>/</w:t>
            </w:r>
            <w:r>
              <w:rPr>
                <w:rFonts w:ascii="Times New Roman" w:eastAsia="仿宋" w:hAnsi="Times New Roman" w:cs="Times New Roman"/>
                <w:sz w:val="24"/>
                <w:szCs w:val="24"/>
              </w:rPr>
              <w:t>国家谈判药品</w:t>
            </w:r>
            <w:r>
              <w:rPr>
                <w:rFonts w:ascii="Times New Roman" w:eastAsia="仿宋" w:hAnsi="Times New Roman" w:cs="Times New Roman"/>
                <w:sz w:val="24"/>
                <w:szCs w:val="24"/>
              </w:rPr>
              <w:t>,</w:t>
            </w:r>
            <w:r>
              <w:rPr>
                <w:rFonts w:ascii="Times New Roman" w:eastAsia="仿宋" w:hAnsi="Times New Roman" w:cs="Times New Roman"/>
                <w:sz w:val="24"/>
                <w:szCs w:val="24"/>
              </w:rPr>
              <w:t>且没有支付限制条件</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国家医保乙类</w:t>
            </w:r>
            <w:r>
              <w:rPr>
                <w:rFonts w:ascii="Times New Roman" w:eastAsia="仿宋" w:hAnsi="Times New Roman" w:cs="Times New Roman"/>
                <w:sz w:val="24"/>
                <w:szCs w:val="24"/>
              </w:rPr>
              <w:t>/</w:t>
            </w:r>
            <w:r>
              <w:rPr>
                <w:rFonts w:ascii="Times New Roman" w:eastAsia="仿宋" w:hAnsi="Times New Roman" w:cs="Times New Roman"/>
                <w:sz w:val="24"/>
                <w:szCs w:val="24"/>
              </w:rPr>
              <w:t>国家谈判药品</w:t>
            </w:r>
            <w:r>
              <w:rPr>
                <w:rFonts w:ascii="Times New Roman" w:eastAsia="仿宋" w:hAnsi="Times New Roman" w:cs="Times New Roman"/>
                <w:sz w:val="24"/>
                <w:szCs w:val="24"/>
              </w:rPr>
              <w:t>,</w:t>
            </w:r>
            <w:r>
              <w:rPr>
                <w:rFonts w:ascii="Times New Roman" w:eastAsia="仿宋" w:hAnsi="Times New Roman" w:cs="Times New Roman"/>
                <w:sz w:val="24"/>
                <w:szCs w:val="24"/>
              </w:rPr>
              <w:t>有支付限制条件</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不在国家医保目录</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基本药物（</w:t>
            </w:r>
            <w:r>
              <w:rPr>
                <w:rFonts w:ascii="Times New Roman" w:eastAsia="仿宋" w:hAnsi="Times New Roman" w:cs="Times New Roman"/>
                <w:sz w:val="24"/>
                <w:szCs w:val="24"/>
              </w:rPr>
              <w:t>3</w:t>
            </w:r>
            <w:r>
              <w:rPr>
                <w:rFonts w:ascii="Times New Roman" w:eastAsia="仿宋" w:hAnsi="Times New Roman" w:cs="Times New Roman"/>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在《国家基本药物目录》</w:t>
            </w:r>
            <w:r>
              <w:rPr>
                <w:rFonts w:ascii="Times New Roman" w:eastAsia="仿宋" w:hAnsi="Times New Roman" w:cs="Times New Roman"/>
                <w:sz w:val="24"/>
                <w:szCs w:val="24"/>
              </w:rPr>
              <w:t>,</w:t>
            </w:r>
            <w:r>
              <w:rPr>
                <w:rFonts w:ascii="Times New Roman" w:eastAsia="仿宋" w:hAnsi="Times New Roman" w:cs="Times New Roman"/>
                <w:sz w:val="24"/>
                <w:szCs w:val="24"/>
              </w:rPr>
              <w:t>没有</w:t>
            </w:r>
            <w:r>
              <w:rPr>
                <w:rFonts w:ascii="Times New Roman" w:eastAsia="宋体" w:hAnsi="Times New Roman" w:cs="Times New Roman"/>
                <w:sz w:val="24"/>
                <w:szCs w:val="24"/>
              </w:rPr>
              <w:t>△</w:t>
            </w:r>
            <w:r>
              <w:rPr>
                <w:rFonts w:ascii="Times New Roman" w:eastAsia="仿宋" w:hAnsi="Times New Roman" w:cs="Times New Roman"/>
                <w:sz w:val="24"/>
                <w:szCs w:val="24"/>
              </w:rPr>
              <w:t>要求</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在《国家基本药物目录》</w:t>
            </w:r>
            <w:r>
              <w:rPr>
                <w:rFonts w:ascii="Times New Roman" w:eastAsia="仿宋" w:hAnsi="Times New Roman" w:cs="Times New Roman"/>
                <w:sz w:val="24"/>
                <w:szCs w:val="24"/>
              </w:rPr>
              <w:t>,</w:t>
            </w:r>
            <w:r>
              <w:rPr>
                <w:rFonts w:ascii="Times New Roman" w:eastAsia="仿宋" w:hAnsi="Times New Roman" w:cs="Times New Roman"/>
                <w:sz w:val="24"/>
                <w:szCs w:val="24"/>
              </w:rPr>
              <w:t>有</w:t>
            </w:r>
            <w:r>
              <w:rPr>
                <w:rFonts w:ascii="Times New Roman" w:eastAsia="宋体" w:hAnsi="Times New Roman" w:cs="Times New Roman"/>
                <w:sz w:val="24"/>
                <w:szCs w:val="24"/>
              </w:rPr>
              <w:t>△</w:t>
            </w:r>
            <w:r>
              <w:rPr>
                <w:rFonts w:ascii="Times New Roman" w:eastAsia="仿宋" w:hAnsi="Times New Roman" w:cs="Times New Roman"/>
                <w:sz w:val="24"/>
                <w:szCs w:val="24"/>
              </w:rPr>
              <w:t>要求</w:t>
            </w:r>
          </w:p>
        </w:tc>
      </w:tr>
      <w:tr w:rsidR="00C96FF8" w:rsidTr="00C96FF8">
        <w:trPr>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不在《国家基本药物目录》</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贮藏条件</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常温贮藏</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w w:val="80"/>
                <w:sz w:val="24"/>
                <w:szCs w:val="24"/>
              </w:rPr>
              <w:t>2.5</w:t>
            </w:r>
            <w:r>
              <w:rPr>
                <w:rFonts w:ascii="Times New Roman" w:eastAsia="仿宋" w:hAnsi="Times New Roman" w:cs="Times New Roman"/>
                <w:sz w:val="24"/>
                <w:szCs w:val="24"/>
              </w:rPr>
              <w:t>常温贮藏</w:t>
            </w:r>
            <w:r>
              <w:rPr>
                <w:rFonts w:ascii="Times New Roman" w:eastAsia="仿宋" w:hAnsi="Times New Roman" w:cs="Times New Roman"/>
                <w:sz w:val="24"/>
                <w:szCs w:val="24"/>
              </w:rPr>
              <w:t>,</w:t>
            </w:r>
            <w:r>
              <w:rPr>
                <w:rFonts w:ascii="Times New Roman" w:eastAsia="仿宋" w:hAnsi="Times New Roman" w:cs="Times New Roman"/>
                <w:sz w:val="24"/>
                <w:szCs w:val="24"/>
              </w:rPr>
              <w:t>避光或遮光</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阴凉贮藏</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w w:val="80"/>
                <w:sz w:val="24"/>
                <w:szCs w:val="24"/>
              </w:rPr>
              <w:t xml:space="preserve">1.5 </w:t>
            </w:r>
            <w:r>
              <w:rPr>
                <w:rFonts w:ascii="Times New Roman" w:eastAsia="仿宋" w:hAnsi="Times New Roman" w:cs="Times New Roman"/>
                <w:sz w:val="24"/>
                <w:szCs w:val="24"/>
              </w:rPr>
              <w:t>阴凉贮藏</w:t>
            </w:r>
            <w:r>
              <w:rPr>
                <w:rFonts w:ascii="Times New Roman" w:eastAsia="仿宋" w:hAnsi="Times New Roman" w:cs="Times New Roman"/>
                <w:sz w:val="24"/>
                <w:szCs w:val="24"/>
              </w:rPr>
              <w:t>,</w:t>
            </w:r>
            <w:r>
              <w:rPr>
                <w:rFonts w:ascii="Times New Roman" w:eastAsia="仿宋" w:hAnsi="Times New Roman" w:cs="Times New Roman"/>
                <w:sz w:val="24"/>
                <w:szCs w:val="24"/>
              </w:rPr>
              <w:t>避光或遮光</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冷藏</w:t>
            </w:r>
            <w:r>
              <w:rPr>
                <w:rFonts w:ascii="Times New Roman" w:eastAsia="仿宋" w:hAnsi="Times New Roman" w:cs="Times New Roman"/>
                <w:sz w:val="24"/>
                <w:szCs w:val="24"/>
              </w:rPr>
              <w:t>/</w:t>
            </w:r>
            <w:r>
              <w:rPr>
                <w:rFonts w:ascii="Times New Roman" w:eastAsia="仿宋" w:hAnsi="Times New Roman" w:cs="Times New Roman"/>
                <w:sz w:val="24"/>
                <w:szCs w:val="24"/>
              </w:rPr>
              <w:t>冷冻贮藏</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药品有效期</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3  &gt;36</w:t>
            </w:r>
            <w:r>
              <w:rPr>
                <w:rFonts w:ascii="Times New Roman" w:eastAsia="仿宋" w:hAnsi="Times New Roman" w:cs="Times New Roman"/>
                <w:sz w:val="24"/>
                <w:szCs w:val="24"/>
              </w:rPr>
              <w:t>个月</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2  24</w:t>
            </w:r>
            <w:r>
              <w:rPr>
                <w:rFonts w:ascii="Times New Roman" w:eastAsia="仿宋" w:hAnsi="Times New Roman" w:cs="Times New Roman" w:hint="eastAsia"/>
                <w:sz w:val="24"/>
                <w:szCs w:val="24"/>
              </w:rPr>
              <w:t>~</w:t>
            </w:r>
            <w:r>
              <w:rPr>
                <w:rFonts w:ascii="Times New Roman" w:eastAsia="仿宋" w:hAnsi="Times New Roman" w:cs="Times New Roman"/>
                <w:sz w:val="24"/>
                <w:szCs w:val="24"/>
              </w:rPr>
              <w:t>36</w:t>
            </w:r>
            <w:r>
              <w:rPr>
                <w:rFonts w:ascii="Times New Roman" w:eastAsia="仿宋" w:hAnsi="Times New Roman" w:cs="Times New Roman"/>
                <w:sz w:val="24"/>
                <w:szCs w:val="24"/>
              </w:rPr>
              <w:t>个月</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1  &lt;24</w:t>
            </w:r>
            <w:r>
              <w:rPr>
                <w:rFonts w:ascii="Times New Roman" w:eastAsia="仿宋" w:hAnsi="Times New Roman" w:cs="Times New Roman"/>
                <w:sz w:val="24"/>
                <w:szCs w:val="24"/>
              </w:rPr>
              <w:t>个月</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全球使用情况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美国、欧洲、日本均已上市</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美国或欧洲或日本上市</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美国、欧洲、日本均未上市</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val="restart"/>
          </w:tcPr>
          <w:p w:rsidR="00C96FF8" w:rsidRDefault="00DD68D6">
            <w:pPr>
              <w:rPr>
                <w:rFonts w:ascii="Times New Roman" w:eastAsia="仿宋" w:hAnsi="Times New Roman" w:cs="Times New Roman"/>
                <w:sz w:val="24"/>
                <w:szCs w:val="24"/>
              </w:rPr>
            </w:pPr>
            <w:r>
              <w:rPr>
                <w:rFonts w:ascii="Times New Roman" w:eastAsia="仿宋" w:hAnsi="Times New Roman" w:cs="Times New Roman"/>
                <w:sz w:val="24"/>
                <w:szCs w:val="24"/>
              </w:rPr>
              <w:t>生产企业状况</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3</w:t>
            </w:r>
            <w:r>
              <w:rPr>
                <w:rFonts w:ascii="Times New Roman" w:eastAsia="仿宋" w:hAnsi="Times New Roman" w:cs="Times New Roman"/>
                <w:kern w:val="24"/>
                <w:sz w:val="24"/>
                <w:szCs w:val="24"/>
              </w:rPr>
              <w:t>）</w:t>
            </w:r>
          </w:p>
        </w:tc>
        <w:tc>
          <w:tcPr>
            <w:tcW w:w="6804" w:type="dxa"/>
          </w:tcPr>
          <w:p w:rsidR="00C96FF8" w:rsidRDefault="00DD68D6">
            <w:pPr>
              <w:ind w:left="480" w:hangingChars="200" w:hanging="480"/>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3  </w:t>
            </w:r>
            <w:r>
              <w:rPr>
                <w:rFonts w:ascii="Times New Roman" w:eastAsia="仿宋" w:hAnsi="Times New Roman" w:cs="Times New Roman"/>
                <w:sz w:val="24"/>
                <w:szCs w:val="24"/>
              </w:rPr>
              <w:t>生产企业为世界销量前</w:t>
            </w:r>
            <w:r>
              <w:rPr>
                <w:rFonts w:ascii="Times New Roman" w:eastAsia="仿宋" w:hAnsi="Times New Roman" w:cs="Times New Roman"/>
                <w:sz w:val="24"/>
                <w:szCs w:val="24"/>
              </w:rPr>
              <w:t>50</w:t>
            </w:r>
            <w:r>
              <w:rPr>
                <w:rFonts w:ascii="Times New Roman" w:eastAsia="仿宋" w:hAnsi="Times New Roman" w:cs="Times New Roman"/>
                <w:sz w:val="24"/>
                <w:szCs w:val="24"/>
              </w:rPr>
              <w:t>制药企业（美国制药经理人）</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2  </w:t>
            </w:r>
            <w:r>
              <w:rPr>
                <w:rFonts w:ascii="Times New Roman" w:eastAsia="仿宋" w:hAnsi="Times New Roman" w:cs="Times New Roman"/>
                <w:sz w:val="24"/>
                <w:szCs w:val="24"/>
              </w:rPr>
              <w:t>生产企业在国家工业和信息化部医药工业百强榜</w:t>
            </w:r>
          </w:p>
        </w:tc>
      </w:tr>
      <w:tr w:rsidR="00C96FF8" w:rsidTr="00C96FF8">
        <w:trPr>
          <w:trHeight w:val="60"/>
          <w:jc w:val="center"/>
        </w:trPr>
        <w:tc>
          <w:tcPr>
            <w:cnfStyle w:val="001000000000" w:firstRow="0" w:lastRow="0" w:firstColumn="1" w:lastColumn="0" w:oddVBand="0" w:evenVBand="0" w:oddHBand="0" w:evenHBand="0" w:firstRowFirstColumn="0" w:firstRowLastColumn="0" w:lastRowFirstColumn="0" w:lastRowLastColumn="0"/>
            <w:tcW w:w="2704" w:type="dxa"/>
            <w:vMerge/>
          </w:tcPr>
          <w:p w:rsidR="00C96FF8" w:rsidRDefault="00C96FF8">
            <w:pPr>
              <w:rPr>
                <w:rFonts w:ascii="Times New Roman" w:eastAsia="仿宋" w:hAnsi="Times New Roman" w:cs="Times New Roman"/>
                <w:sz w:val="24"/>
                <w:szCs w:val="24"/>
              </w:rPr>
            </w:pPr>
          </w:p>
        </w:tc>
        <w:tc>
          <w:tcPr>
            <w:tcW w:w="6804" w:type="dxa"/>
          </w:tcPr>
          <w:p w:rsidR="00C96FF8" w:rsidRDefault="00DD68D6">
            <w:pP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sz w:val="24"/>
                <w:szCs w:val="24"/>
              </w:rPr>
            </w:pPr>
            <w:r>
              <w:rPr>
                <w:rFonts w:ascii="Times New Roman" w:eastAsia="仿宋" w:hAnsi="Times New Roman" w:cs="Times New Roman"/>
                <w:sz w:val="24"/>
                <w:szCs w:val="24"/>
              </w:rPr>
              <w:t xml:space="preserve">1  </w:t>
            </w:r>
            <w:r>
              <w:rPr>
                <w:rFonts w:ascii="Times New Roman" w:eastAsia="仿宋" w:hAnsi="Times New Roman" w:cs="Times New Roman"/>
                <w:sz w:val="24"/>
                <w:szCs w:val="24"/>
              </w:rPr>
              <w:t>其他企业</w:t>
            </w:r>
          </w:p>
        </w:tc>
      </w:tr>
    </w:tbl>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sz w:val="24"/>
          <w:szCs w:val="24"/>
        </w:rPr>
        <w:t>注：</w:t>
      </w:r>
      <w:r>
        <w:rPr>
          <w:rFonts w:ascii="Times New Roman" w:eastAsia="仿宋" w:hAnsi="Times New Roman" w:cs="Times New Roman"/>
          <w:sz w:val="24"/>
          <w:szCs w:val="24"/>
        </w:rPr>
        <w:t>eGFR</w:t>
      </w:r>
      <w:r>
        <w:rPr>
          <w:rFonts w:ascii="Times New Roman" w:eastAsia="仿宋" w:hAnsi="Times New Roman" w:cs="Times New Roman"/>
          <w:sz w:val="24"/>
          <w:szCs w:val="24"/>
        </w:rPr>
        <w:t>：估算肾小球滤过率；</w:t>
      </w:r>
      <w:r>
        <w:rPr>
          <w:rFonts w:ascii="Times New Roman" w:eastAsia="仿宋" w:hAnsi="Times New Roman" w:cs="Times New Roman"/>
          <w:sz w:val="24"/>
          <w:szCs w:val="24"/>
        </w:rPr>
        <w:t>“</w:t>
      </w:r>
      <w:r>
        <w:rPr>
          <w:rFonts w:ascii="Times New Roman" w:eastAsia="宋体" w:hAnsi="Times New Roman" w:cs="Times New Roman"/>
          <w:sz w:val="24"/>
          <w:szCs w:val="24"/>
        </w:rPr>
        <w:t>△</w:t>
      </w:r>
      <w:r>
        <w:rPr>
          <w:rFonts w:ascii="Times New Roman" w:eastAsia="仿宋" w:hAnsi="Times New Roman" w:cs="Times New Roman"/>
          <w:sz w:val="24"/>
          <w:szCs w:val="24"/>
        </w:rPr>
        <w:t>”</w:t>
      </w:r>
      <w:r>
        <w:rPr>
          <w:rFonts w:ascii="Times New Roman" w:eastAsia="仿宋" w:hAnsi="Times New Roman" w:cs="Times New Roman"/>
          <w:sz w:val="24"/>
          <w:szCs w:val="24"/>
        </w:rPr>
        <w:t>号表示药品应在具备相应处方资质的医师或在专科医师指导下使用，并加强使用监测和评价。</w:t>
      </w: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4 </w:t>
      </w:r>
      <w:r>
        <w:rPr>
          <w:rFonts w:ascii="Times New Roman" w:eastAsia="仿宋" w:hAnsi="Times New Roman" w:cs="Times New Roman"/>
          <w:b/>
          <w:bCs/>
          <w:sz w:val="28"/>
          <w:szCs w:val="28"/>
        </w:rPr>
        <w:t>SGLT-2</w:t>
      </w:r>
      <w:r>
        <w:rPr>
          <w:rFonts w:ascii="Times New Roman" w:eastAsia="仿宋" w:hAnsi="Times New Roman" w:cs="Times New Roman"/>
          <w:b/>
          <w:bCs/>
          <w:sz w:val="28"/>
          <w:szCs w:val="28"/>
        </w:rPr>
        <w:t>抑制剂临床快速综合评价</w:t>
      </w:r>
    </w:p>
    <w:p w:rsidR="00C96FF8" w:rsidRDefault="00DD68D6">
      <w:pPr>
        <w:ind w:firstLineChars="200" w:firstLine="560"/>
        <w:rPr>
          <w:rFonts w:ascii="Times New Roman" w:eastAsia="仿宋" w:hAnsi="Times New Roman" w:cs="Times New Roman"/>
          <w:bCs/>
          <w:sz w:val="28"/>
          <w:szCs w:val="28"/>
        </w:rPr>
      </w:pPr>
      <w:r>
        <w:rPr>
          <w:rFonts w:ascii="Times New Roman" w:eastAsia="仿宋" w:hAnsi="Times New Roman" w:cs="Times New Roman"/>
          <w:bCs/>
          <w:sz w:val="28"/>
          <w:szCs w:val="28"/>
        </w:rPr>
        <w:t>评价范围：</w:t>
      </w:r>
      <w:r>
        <w:rPr>
          <w:rFonts w:ascii="Times New Roman" w:eastAsia="仿宋" w:hAnsi="Times New Roman" w:cs="Times New Roman"/>
          <w:sz w:val="28"/>
          <w:szCs w:val="28"/>
        </w:rPr>
        <w:t>本共识评价的药品是已在国内外广泛上市的</w:t>
      </w:r>
      <w:r>
        <w:rPr>
          <w:rFonts w:ascii="Times New Roman" w:eastAsia="仿宋" w:hAnsi="Times New Roman" w:cs="Times New Roman"/>
          <w:sz w:val="28"/>
          <w:szCs w:val="28"/>
        </w:rPr>
        <w:t>SGLT-2</w:t>
      </w:r>
      <w:r>
        <w:rPr>
          <w:rFonts w:ascii="Times New Roman" w:eastAsia="仿宋" w:hAnsi="Times New Roman" w:cs="Times New Roman"/>
          <w:sz w:val="28"/>
          <w:szCs w:val="28"/>
        </w:rPr>
        <w:t>抑制剂：达格列净、恩格列净、卡格列净和艾托格列净，</w:t>
      </w:r>
      <w:bookmarkStart w:id="1" w:name="_Hlk91514603"/>
      <w:r>
        <w:rPr>
          <w:rFonts w:ascii="Times New Roman" w:eastAsia="仿宋" w:hAnsi="Times New Roman" w:cs="Times New Roman"/>
          <w:sz w:val="28"/>
          <w:szCs w:val="28"/>
        </w:rPr>
        <w:t>本次评价只纳入原研</w:t>
      </w:r>
      <w:r>
        <w:rPr>
          <w:rFonts w:ascii="Times New Roman" w:eastAsia="仿宋" w:hAnsi="Times New Roman" w:cs="Times New Roman"/>
          <w:sz w:val="28"/>
          <w:szCs w:val="28"/>
        </w:rPr>
        <w:t>/</w:t>
      </w:r>
      <w:r>
        <w:rPr>
          <w:rFonts w:ascii="Times New Roman" w:eastAsia="仿宋" w:hAnsi="Times New Roman" w:cs="Times New Roman"/>
          <w:sz w:val="28"/>
          <w:szCs w:val="28"/>
        </w:rPr>
        <w:t>参比制剂作为评价对象。</w:t>
      </w:r>
      <w:bookmarkEnd w:id="1"/>
      <w:r>
        <w:rPr>
          <w:rFonts w:ascii="Times New Roman" w:eastAsia="仿宋" w:hAnsi="Times New Roman" w:cs="Times New Roman"/>
          <w:color w:val="000000" w:themeColor="text1"/>
          <w:sz w:val="28"/>
          <w:szCs w:val="28"/>
          <w:lang w:eastAsia="zh-Hans"/>
        </w:rPr>
        <w:t>具体品种情况见表</w:t>
      </w:r>
      <w:r>
        <w:rPr>
          <w:rFonts w:ascii="Times New Roman" w:eastAsia="仿宋" w:hAnsi="Times New Roman" w:cs="Times New Roman"/>
          <w:sz w:val="28"/>
          <w:szCs w:val="28"/>
        </w:rPr>
        <w:t>2</w:t>
      </w:r>
      <w:r>
        <w:rPr>
          <w:rFonts w:ascii="Times New Roman" w:eastAsia="仿宋" w:hAnsi="Times New Roman" w:cs="Times New Roman"/>
          <w:sz w:val="28"/>
          <w:szCs w:val="28"/>
        </w:rPr>
        <w:t>。</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2 SGLT-2</w:t>
      </w:r>
      <w:r>
        <w:rPr>
          <w:rFonts w:ascii="Times New Roman" w:eastAsia="仿宋" w:hAnsi="Times New Roman" w:cs="Times New Roman"/>
          <w:sz w:val="24"/>
          <w:szCs w:val="28"/>
        </w:rPr>
        <w:t>抑制剂医院现有原研</w:t>
      </w:r>
      <w:r>
        <w:rPr>
          <w:rFonts w:ascii="Times New Roman" w:eastAsia="仿宋" w:hAnsi="Times New Roman" w:cs="Times New Roman"/>
          <w:sz w:val="24"/>
          <w:szCs w:val="28"/>
        </w:rPr>
        <w:t>/</w:t>
      </w:r>
      <w:r>
        <w:rPr>
          <w:rFonts w:ascii="Times New Roman" w:eastAsia="仿宋" w:hAnsi="Times New Roman" w:cs="Times New Roman"/>
          <w:sz w:val="24"/>
          <w:szCs w:val="28"/>
        </w:rPr>
        <w:t>参比制剂品种</w:t>
      </w:r>
    </w:p>
    <w:tbl>
      <w:tblPr>
        <w:tblStyle w:val="a8"/>
        <w:tblW w:w="0" w:type="auto"/>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1559"/>
        <w:gridCol w:w="1559"/>
        <w:gridCol w:w="2835"/>
        <w:gridCol w:w="1843"/>
      </w:tblGrid>
      <w:tr w:rsidR="00C96FF8">
        <w:tc>
          <w:tcPr>
            <w:tcW w:w="1560" w:type="dxa"/>
            <w:tcBorders>
              <w:top w:val="single" w:sz="4" w:space="0" w:color="auto"/>
              <w:bottom w:val="single" w:sz="4" w:space="0" w:color="auto"/>
            </w:tcBorders>
          </w:tcPr>
          <w:p w:rsidR="00C96FF8" w:rsidRDefault="00DD68D6">
            <w:pPr>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中文商品名</w:t>
            </w:r>
          </w:p>
        </w:tc>
        <w:tc>
          <w:tcPr>
            <w:tcW w:w="1559" w:type="dxa"/>
            <w:tcBorders>
              <w:top w:val="single" w:sz="4" w:space="0" w:color="auto"/>
              <w:bottom w:val="single" w:sz="4" w:space="0" w:color="auto"/>
            </w:tcBorders>
          </w:tcPr>
          <w:p w:rsidR="00C96FF8" w:rsidRDefault="00DD68D6">
            <w:pPr>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英文商品名</w:t>
            </w:r>
          </w:p>
        </w:tc>
        <w:tc>
          <w:tcPr>
            <w:tcW w:w="1559" w:type="dxa"/>
            <w:tcBorders>
              <w:top w:val="single" w:sz="4" w:space="0" w:color="auto"/>
              <w:bottom w:val="single" w:sz="4" w:space="0" w:color="auto"/>
            </w:tcBorders>
          </w:tcPr>
          <w:p w:rsidR="00C96FF8" w:rsidRDefault="00DD68D6">
            <w:pPr>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中文通用名</w:t>
            </w:r>
          </w:p>
        </w:tc>
        <w:tc>
          <w:tcPr>
            <w:tcW w:w="2835" w:type="dxa"/>
            <w:tcBorders>
              <w:top w:val="single" w:sz="4" w:space="0" w:color="auto"/>
              <w:bottom w:val="single" w:sz="4" w:space="0" w:color="auto"/>
            </w:tcBorders>
          </w:tcPr>
          <w:p w:rsidR="00C96FF8" w:rsidRDefault="00DD68D6">
            <w:pPr>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英文通用名</w:t>
            </w:r>
          </w:p>
        </w:tc>
        <w:tc>
          <w:tcPr>
            <w:tcW w:w="1843" w:type="dxa"/>
            <w:tcBorders>
              <w:top w:val="single" w:sz="4" w:space="0" w:color="auto"/>
              <w:bottom w:val="single" w:sz="4" w:space="0" w:color="auto"/>
            </w:tcBorders>
          </w:tcPr>
          <w:p w:rsidR="00C96FF8" w:rsidRDefault="00DD68D6">
            <w:pPr>
              <w:jc w:val="center"/>
              <w:rPr>
                <w:rFonts w:ascii="Times New Roman" w:eastAsia="仿宋" w:hAnsi="Times New Roman" w:cs="Times New Roman"/>
                <w:b/>
                <w:bCs/>
                <w:sz w:val="24"/>
                <w:szCs w:val="24"/>
              </w:rPr>
            </w:pPr>
            <w:r>
              <w:rPr>
                <w:rFonts w:ascii="Times New Roman" w:eastAsia="仿宋" w:hAnsi="Times New Roman" w:cs="Times New Roman"/>
                <w:b/>
                <w:bCs/>
                <w:sz w:val="24"/>
                <w:szCs w:val="24"/>
              </w:rPr>
              <w:t>生产厂家</w:t>
            </w:r>
          </w:p>
        </w:tc>
      </w:tr>
      <w:tr w:rsidR="00C96FF8">
        <w:tc>
          <w:tcPr>
            <w:tcW w:w="1560" w:type="dxa"/>
            <w:tcBorders>
              <w:top w:val="single" w:sz="4" w:space="0" w:color="auto"/>
            </w:tcBorders>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安达唐</w:t>
            </w:r>
          </w:p>
        </w:tc>
        <w:tc>
          <w:tcPr>
            <w:tcW w:w="1559" w:type="dxa"/>
            <w:tcBorders>
              <w:top w:val="single" w:sz="4" w:space="0" w:color="auto"/>
            </w:tcBorders>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Farxiga</w:t>
            </w:r>
            <w:r>
              <w:rPr>
                <w:rFonts w:ascii="Times New Roman" w:eastAsia="仿宋" w:hAnsi="Times New Roman" w:cs="Times New Roman"/>
                <w:sz w:val="24"/>
                <w:szCs w:val="28"/>
                <w:vertAlign w:val="superscript"/>
              </w:rPr>
              <w:t>®</w:t>
            </w:r>
          </w:p>
        </w:tc>
        <w:tc>
          <w:tcPr>
            <w:tcW w:w="1559" w:type="dxa"/>
            <w:tcBorders>
              <w:top w:val="single" w:sz="4" w:space="0" w:color="auto"/>
            </w:tcBorders>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达格列净</w:t>
            </w:r>
          </w:p>
        </w:tc>
        <w:tc>
          <w:tcPr>
            <w:tcW w:w="2835" w:type="dxa"/>
            <w:tcBorders>
              <w:top w:val="single" w:sz="4" w:space="0" w:color="auto"/>
            </w:tcBorders>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 xml:space="preserve">Dapagliflozin </w:t>
            </w:r>
            <w:r>
              <w:rPr>
                <w:rFonts w:ascii="Times New Roman" w:eastAsia="仿宋" w:hAnsi="Times New Roman" w:cs="Times New Roman"/>
                <w:sz w:val="24"/>
                <w:szCs w:val="28"/>
              </w:rPr>
              <w:t>Tablets</w:t>
            </w:r>
          </w:p>
        </w:tc>
        <w:tc>
          <w:tcPr>
            <w:tcW w:w="1843" w:type="dxa"/>
            <w:tcBorders>
              <w:top w:val="single" w:sz="4" w:space="0" w:color="auto"/>
            </w:tcBorders>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阿斯利康</w:t>
            </w:r>
          </w:p>
        </w:tc>
      </w:tr>
      <w:tr w:rsidR="00C96FF8">
        <w:tc>
          <w:tcPr>
            <w:tcW w:w="1560"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欧唐静</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Jardiance</w:t>
            </w:r>
            <w:r>
              <w:rPr>
                <w:rFonts w:ascii="Times New Roman" w:eastAsia="仿宋" w:hAnsi="Times New Roman" w:cs="Times New Roman"/>
                <w:sz w:val="24"/>
                <w:szCs w:val="28"/>
                <w:vertAlign w:val="superscript"/>
              </w:rPr>
              <w:t>®</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恩格列净</w:t>
            </w:r>
          </w:p>
        </w:tc>
        <w:tc>
          <w:tcPr>
            <w:tcW w:w="2835"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Empagliflozin Tablets</w:t>
            </w:r>
          </w:p>
        </w:tc>
        <w:tc>
          <w:tcPr>
            <w:tcW w:w="1843"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勃林格殷格翰</w:t>
            </w:r>
          </w:p>
        </w:tc>
      </w:tr>
      <w:tr w:rsidR="00C96FF8">
        <w:tc>
          <w:tcPr>
            <w:tcW w:w="1560"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怡可安</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Invokana</w:t>
            </w:r>
            <w:r>
              <w:rPr>
                <w:rFonts w:ascii="Times New Roman" w:eastAsia="仿宋" w:hAnsi="Times New Roman" w:cs="Times New Roman"/>
                <w:sz w:val="24"/>
                <w:szCs w:val="28"/>
                <w:vertAlign w:val="superscript"/>
              </w:rPr>
              <w:t>®</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卡格列净</w:t>
            </w:r>
          </w:p>
        </w:tc>
        <w:tc>
          <w:tcPr>
            <w:tcW w:w="2835"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Canagliflozin Tablets</w:t>
            </w:r>
          </w:p>
        </w:tc>
        <w:tc>
          <w:tcPr>
            <w:tcW w:w="1843"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默克</w:t>
            </w:r>
          </w:p>
        </w:tc>
      </w:tr>
      <w:tr w:rsidR="00C96FF8">
        <w:tc>
          <w:tcPr>
            <w:tcW w:w="1560"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捷诺妥</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Steglatro</w:t>
            </w:r>
            <w:r>
              <w:rPr>
                <w:rFonts w:ascii="Times New Roman" w:eastAsia="仿宋" w:hAnsi="Times New Roman" w:cs="Times New Roman"/>
                <w:sz w:val="24"/>
                <w:szCs w:val="28"/>
                <w:vertAlign w:val="superscript"/>
              </w:rPr>
              <w:t>®</w:t>
            </w:r>
          </w:p>
        </w:tc>
        <w:tc>
          <w:tcPr>
            <w:tcW w:w="1559"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艾托格列净</w:t>
            </w:r>
          </w:p>
        </w:tc>
        <w:tc>
          <w:tcPr>
            <w:tcW w:w="2835"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Ertugliflozin Tablets</w:t>
            </w:r>
          </w:p>
        </w:tc>
        <w:tc>
          <w:tcPr>
            <w:tcW w:w="1843" w:type="dxa"/>
          </w:tcPr>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默沙东</w:t>
            </w:r>
          </w:p>
        </w:tc>
      </w:tr>
    </w:tbl>
    <w:p w:rsidR="00C96FF8" w:rsidRDefault="00C96FF8">
      <w:pPr>
        <w:jc w:val="center"/>
        <w:rPr>
          <w:rFonts w:ascii="Times New Roman" w:eastAsia="仿宋" w:hAnsi="Times New Roman" w:cs="Times New Roman"/>
          <w:bCs/>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1</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药学特性评分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1.1</w:t>
      </w:r>
      <w:r>
        <w:rPr>
          <w:rFonts w:ascii="Times New Roman" w:eastAsia="仿宋" w:hAnsi="Times New Roman" w:cs="Times New Roman"/>
          <w:sz w:val="28"/>
          <w:szCs w:val="28"/>
        </w:rPr>
        <w:t>适应</w:t>
      </w:r>
      <w:r>
        <w:rPr>
          <w:rFonts w:ascii="Times New Roman" w:eastAsia="仿宋" w:hAnsi="Times New Roman" w:cs="Times New Roman"/>
          <w:sz w:val="28"/>
          <w:szCs w:val="28"/>
        </w:rPr>
        <w:t>证</w:t>
      </w:r>
      <w:r>
        <w:rPr>
          <w:rFonts w:ascii="Times New Roman" w:eastAsia="仿宋" w:hAnsi="Times New Roman" w:cs="Times New Roman"/>
          <w:sz w:val="28"/>
          <w:szCs w:val="28"/>
        </w:rPr>
        <w:t>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达格列净和恩格列净具有</w:t>
      </w:r>
      <w:r>
        <w:rPr>
          <w:rFonts w:ascii="Times New Roman" w:eastAsia="仿宋" w:hAnsi="Times New Roman" w:cs="Times New Roman"/>
          <w:sz w:val="28"/>
          <w:szCs w:val="28"/>
        </w:rPr>
        <w:t>2</w:t>
      </w:r>
      <w:r>
        <w:rPr>
          <w:rFonts w:ascii="Times New Roman" w:eastAsia="仿宋" w:hAnsi="Times New Roman" w:cs="Times New Roman"/>
          <w:sz w:val="28"/>
          <w:szCs w:val="28"/>
        </w:rPr>
        <w:t>型糖尿病和射血分数降低的心力衰竭</w:t>
      </w:r>
      <w:r>
        <w:rPr>
          <w:rFonts w:ascii="Times New Roman" w:eastAsia="仿宋" w:hAnsi="Times New Roman" w:cs="Times New Roman"/>
          <w:sz w:val="28"/>
          <w:szCs w:val="28"/>
        </w:rPr>
        <w:t>2</w:t>
      </w:r>
      <w:r>
        <w:rPr>
          <w:rFonts w:ascii="Times New Roman" w:eastAsia="仿宋" w:hAnsi="Times New Roman" w:cs="Times New Roman"/>
          <w:sz w:val="28"/>
          <w:szCs w:val="28"/>
        </w:rPr>
        <w:t>个适应</w:t>
      </w:r>
      <w:r>
        <w:rPr>
          <w:rFonts w:ascii="Times New Roman" w:eastAsia="仿宋" w:hAnsi="Times New Roman" w:cs="Times New Roman"/>
          <w:sz w:val="28"/>
          <w:szCs w:val="28"/>
        </w:rPr>
        <w:t>证</w:t>
      </w:r>
      <w:r>
        <w:rPr>
          <w:rFonts w:ascii="Times New Roman" w:eastAsia="仿宋" w:hAnsi="Times New Roman" w:cs="Times New Roman"/>
          <w:sz w:val="28"/>
          <w:szCs w:val="28"/>
        </w:rPr>
        <w:t>，适应</w:t>
      </w:r>
      <w:r>
        <w:rPr>
          <w:rFonts w:ascii="Times New Roman" w:eastAsia="仿宋" w:hAnsi="Times New Roman" w:cs="Times New Roman"/>
          <w:sz w:val="28"/>
          <w:szCs w:val="28"/>
        </w:rPr>
        <w:t>证</w:t>
      </w:r>
      <w:r>
        <w:rPr>
          <w:rFonts w:ascii="Times New Roman" w:eastAsia="仿宋" w:hAnsi="Times New Roman" w:cs="Times New Roman"/>
          <w:sz w:val="28"/>
          <w:szCs w:val="28"/>
        </w:rPr>
        <w:t>范围广、为临床首选，得</w:t>
      </w:r>
      <w:r>
        <w:rPr>
          <w:rFonts w:ascii="Times New Roman" w:eastAsia="仿宋" w:hAnsi="Times New Roman" w:cs="Times New Roman"/>
          <w:sz w:val="28"/>
          <w:szCs w:val="28"/>
        </w:rPr>
        <w:t>3</w:t>
      </w:r>
      <w:r>
        <w:rPr>
          <w:rFonts w:ascii="Times New Roman" w:eastAsia="仿宋" w:hAnsi="Times New Roman" w:cs="Times New Roman"/>
          <w:sz w:val="28"/>
          <w:szCs w:val="28"/>
        </w:rPr>
        <w:t>分。卡格列净、艾托格列净具有</w:t>
      </w:r>
      <w:r>
        <w:rPr>
          <w:rFonts w:ascii="Times New Roman" w:eastAsia="仿宋" w:hAnsi="Times New Roman" w:cs="Times New Roman"/>
          <w:sz w:val="28"/>
          <w:szCs w:val="28"/>
        </w:rPr>
        <w:t>2</w:t>
      </w:r>
      <w:r>
        <w:rPr>
          <w:rFonts w:ascii="Times New Roman" w:eastAsia="仿宋" w:hAnsi="Times New Roman" w:cs="Times New Roman"/>
          <w:sz w:val="28"/>
          <w:szCs w:val="28"/>
        </w:rPr>
        <w:t>型糖尿病</w:t>
      </w:r>
      <w:r>
        <w:rPr>
          <w:rFonts w:ascii="Times New Roman" w:eastAsia="仿宋" w:hAnsi="Times New Roman" w:cs="Times New Roman"/>
          <w:sz w:val="28"/>
          <w:szCs w:val="28"/>
        </w:rPr>
        <w:t>1</w:t>
      </w:r>
      <w:r>
        <w:rPr>
          <w:rFonts w:ascii="Times New Roman" w:eastAsia="仿宋" w:hAnsi="Times New Roman" w:cs="Times New Roman"/>
          <w:sz w:val="28"/>
          <w:szCs w:val="28"/>
        </w:rPr>
        <w:t>个适应</w:t>
      </w:r>
      <w:r>
        <w:rPr>
          <w:rFonts w:ascii="Times New Roman" w:eastAsia="仿宋" w:hAnsi="Times New Roman" w:cs="Times New Roman"/>
          <w:sz w:val="28"/>
          <w:szCs w:val="28"/>
        </w:rPr>
        <w:t>证</w:t>
      </w:r>
      <w:r>
        <w:rPr>
          <w:rFonts w:ascii="Times New Roman" w:eastAsia="仿宋" w:hAnsi="Times New Roman" w:cs="Times New Roman"/>
          <w:sz w:val="28"/>
          <w:szCs w:val="28"/>
        </w:rPr>
        <w:t>，为临床次选，得</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1.2</w:t>
      </w:r>
      <w:r>
        <w:rPr>
          <w:rFonts w:ascii="Times New Roman" w:eastAsia="仿宋" w:hAnsi="Times New Roman" w:cs="Times New Roman"/>
          <w:sz w:val="28"/>
          <w:szCs w:val="28"/>
        </w:rPr>
        <w:t>药理作用评分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个药品临床疗效确切，作用机制明确，均得</w:t>
      </w:r>
      <w:r>
        <w:rPr>
          <w:rFonts w:ascii="Times New Roman" w:eastAsia="仿宋" w:hAnsi="Times New Roman" w:cs="Times New Roman"/>
          <w:sz w:val="28"/>
          <w:szCs w:val="28"/>
        </w:rPr>
        <w:t>6</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1.3</w:t>
      </w:r>
      <w:r>
        <w:rPr>
          <w:rFonts w:ascii="Times New Roman" w:eastAsia="仿宋" w:hAnsi="Times New Roman" w:cs="Times New Roman"/>
          <w:sz w:val="28"/>
          <w:szCs w:val="28"/>
        </w:rPr>
        <w:t>体内过程评分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个药品体内过程明确，吸收、分布、代谢、排泄的药动学参数完整，均得</w:t>
      </w:r>
      <w:r>
        <w:rPr>
          <w:rFonts w:ascii="Times New Roman" w:eastAsia="仿宋" w:hAnsi="Times New Roman" w:cs="Times New Roman"/>
          <w:sz w:val="28"/>
          <w:szCs w:val="28"/>
        </w:rPr>
        <w:t>3</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1.4</w:t>
      </w:r>
      <w:r>
        <w:rPr>
          <w:rFonts w:ascii="Times New Roman" w:eastAsia="仿宋" w:hAnsi="Times New Roman" w:cs="Times New Roman"/>
          <w:sz w:val="28"/>
          <w:szCs w:val="28"/>
        </w:rPr>
        <w:t>药剂学与使用方法评分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达格列净和恩格列净主要成分及辅料成分明确，得</w:t>
      </w:r>
      <w:r>
        <w:rPr>
          <w:rFonts w:ascii="Times New Roman" w:eastAsia="仿宋" w:hAnsi="Times New Roman" w:cs="Times New Roman"/>
          <w:sz w:val="28"/>
          <w:szCs w:val="28"/>
        </w:rPr>
        <w:t>1</w:t>
      </w:r>
      <w:r>
        <w:rPr>
          <w:rFonts w:ascii="Times New Roman" w:eastAsia="仿宋" w:hAnsi="Times New Roman" w:cs="Times New Roman"/>
          <w:sz w:val="28"/>
          <w:szCs w:val="28"/>
        </w:rPr>
        <w:t>分；其余</w:t>
      </w:r>
      <w:r>
        <w:rPr>
          <w:rFonts w:ascii="Times New Roman" w:eastAsia="仿宋" w:hAnsi="Times New Roman" w:cs="Times New Roman"/>
          <w:sz w:val="28"/>
          <w:szCs w:val="28"/>
        </w:rPr>
        <w:t>2</w:t>
      </w:r>
      <w:r>
        <w:rPr>
          <w:rFonts w:ascii="Times New Roman" w:eastAsia="仿宋" w:hAnsi="Times New Roman" w:cs="Times New Roman"/>
          <w:sz w:val="28"/>
          <w:szCs w:val="28"/>
        </w:rPr>
        <w:t>个药品缺少辅料成分信息，得</w:t>
      </w:r>
      <w:r>
        <w:rPr>
          <w:rFonts w:ascii="Times New Roman" w:eastAsia="仿宋" w:hAnsi="Times New Roman" w:cs="Times New Roman"/>
          <w:sz w:val="28"/>
          <w:szCs w:val="28"/>
        </w:rPr>
        <w:t>0</w:t>
      </w:r>
      <w:r>
        <w:rPr>
          <w:rFonts w:ascii="Times New Roman" w:eastAsia="仿宋" w:hAnsi="Times New Roman" w:cs="Times New Roman"/>
          <w:sz w:val="28"/>
          <w:szCs w:val="28"/>
        </w:rPr>
        <w:t>分。</w:t>
      </w:r>
      <w:r>
        <w:rPr>
          <w:rFonts w:ascii="Times New Roman" w:eastAsia="仿宋" w:hAnsi="Times New Roman" w:cs="Times New Roman"/>
          <w:sz w:val="28"/>
          <w:szCs w:val="28"/>
        </w:rPr>
        <w:t>4</w:t>
      </w:r>
      <w:r>
        <w:rPr>
          <w:rFonts w:ascii="Times New Roman" w:eastAsia="仿宋" w:hAnsi="Times New Roman" w:cs="Times New Roman"/>
          <w:sz w:val="28"/>
          <w:szCs w:val="28"/>
        </w:rPr>
        <w:t>个药品均为口服片剂、每日</w:t>
      </w:r>
      <w:r>
        <w:rPr>
          <w:rFonts w:ascii="Times New Roman" w:eastAsia="仿宋" w:hAnsi="Times New Roman" w:cs="Times New Roman" w:hint="eastAsia"/>
          <w:sz w:val="28"/>
          <w:szCs w:val="28"/>
        </w:rPr>
        <w:t>1</w:t>
      </w:r>
      <w:r>
        <w:rPr>
          <w:rFonts w:ascii="Times New Roman" w:eastAsia="仿宋" w:hAnsi="Times New Roman" w:cs="Times New Roman"/>
          <w:sz w:val="28"/>
          <w:szCs w:val="28"/>
        </w:rPr>
        <w:t>次、每次</w:t>
      </w:r>
      <w:r>
        <w:rPr>
          <w:rFonts w:ascii="Times New Roman" w:eastAsia="仿宋" w:hAnsi="Times New Roman" w:cs="Times New Roman"/>
          <w:sz w:val="28"/>
          <w:szCs w:val="28"/>
        </w:rPr>
        <w:t>1</w:t>
      </w:r>
      <w:r>
        <w:rPr>
          <w:rFonts w:ascii="Times New Roman" w:eastAsia="仿宋" w:hAnsi="Times New Roman" w:cs="Times New Roman"/>
          <w:sz w:val="28"/>
          <w:szCs w:val="28"/>
        </w:rPr>
        <w:t>片，剂型及给药频次适宜，剂量便于掌握，均得</w:t>
      </w:r>
      <w:r>
        <w:rPr>
          <w:rFonts w:ascii="Times New Roman" w:eastAsia="仿宋" w:hAnsi="Times New Roman" w:cs="Times New Roman"/>
          <w:sz w:val="28"/>
          <w:szCs w:val="28"/>
        </w:rPr>
        <w:t>4</w:t>
      </w:r>
      <w:r>
        <w:rPr>
          <w:rFonts w:ascii="Times New Roman" w:eastAsia="仿宋" w:hAnsi="Times New Roman" w:cs="Times New Roman"/>
          <w:sz w:val="28"/>
          <w:szCs w:val="28"/>
        </w:rPr>
        <w:t>分。达格列净、恩格列净和艾托格列净服用方法均为晨服、不受进食影响，使用方便，得</w:t>
      </w:r>
      <w:r>
        <w:rPr>
          <w:rFonts w:ascii="Times New Roman" w:eastAsia="仿宋" w:hAnsi="Times New Roman" w:cs="Times New Roman"/>
          <w:sz w:val="28"/>
          <w:szCs w:val="28"/>
        </w:rPr>
        <w:t>1</w:t>
      </w:r>
      <w:r>
        <w:rPr>
          <w:rFonts w:ascii="Times New Roman" w:eastAsia="仿宋" w:hAnsi="Times New Roman" w:cs="Times New Roman"/>
          <w:sz w:val="28"/>
          <w:szCs w:val="28"/>
        </w:rPr>
        <w:t>分；卡格列净说明书推荐当天第一</w:t>
      </w:r>
      <w:r>
        <w:rPr>
          <w:rFonts w:ascii="Times New Roman" w:eastAsia="仿宋" w:hAnsi="Times New Roman" w:cs="Times New Roman"/>
          <w:sz w:val="28"/>
          <w:szCs w:val="28"/>
        </w:rPr>
        <w:t>餐前服用，但鉴于卡格列净吸收不受饮食影响，</w:t>
      </w:r>
      <w:r>
        <w:rPr>
          <w:rFonts w:ascii="Times New Roman" w:eastAsia="仿宋" w:hAnsi="Times New Roman" w:cs="Times New Roman"/>
          <w:sz w:val="28"/>
          <w:szCs w:val="28"/>
        </w:rPr>
        <w:t>“</w:t>
      </w:r>
      <w:r>
        <w:rPr>
          <w:rFonts w:ascii="Times New Roman" w:eastAsia="仿宋" w:hAnsi="Times New Roman" w:cs="Times New Roman"/>
          <w:sz w:val="28"/>
          <w:szCs w:val="28"/>
        </w:rPr>
        <w:t>推荐餐前服用</w:t>
      </w:r>
      <w:r>
        <w:rPr>
          <w:rFonts w:ascii="Times New Roman" w:eastAsia="仿宋" w:hAnsi="Times New Roman" w:cs="Times New Roman"/>
          <w:sz w:val="28"/>
          <w:szCs w:val="28"/>
        </w:rPr>
        <w:t>”</w:t>
      </w:r>
      <w:r>
        <w:rPr>
          <w:rFonts w:ascii="Times New Roman" w:eastAsia="仿宋" w:hAnsi="Times New Roman" w:cs="Times New Roman"/>
          <w:sz w:val="28"/>
          <w:szCs w:val="28"/>
        </w:rPr>
        <w:t>是基于抑制肠道葡萄糖转运体</w:t>
      </w:r>
      <w:r>
        <w:rPr>
          <w:rFonts w:ascii="Times New Roman" w:eastAsia="仿宋" w:hAnsi="Times New Roman" w:cs="Times New Roman"/>
          <w:sz w:val="28"/>
          <w:szCs w:val="28"/>
        </w:rPr>
        <w:t>SGLT-1</w:t>
      </w:r>
      <w:r>
        <w:rPr>
          <w:rFonts w:ascii="Times New Roman" w:eastAsia="仿宋" w:hAnsi="Times New Roman" w:cs="Times New Roman"/>
          <w:sz w:val="28"/>
          <w:szCs w:val="28"/>
        </w:rPr>
        <w:t>、稳定血糖的考虑</w:t>
      </w:r>
      <w:r>
        <w:rPr>
          <w:rFonts w:ascii="Times New Roman" w:eastAsia="仿宋" w:hAnsi="Times New Roman" w:cs="Times New Roman"/>
          <w:sz w:val="28"/>
          <w:szCs w:val="28"/>
          <w:vertAlign w:val="superscript"/>
        </w:rPr>
        <w:t>[7]</w:t>
      </w:r>
      <w:r>
        <w:rPr>
          <w:rFonts w:ascii="Times New Roman" w:eastAsia="仿宋" w:hAnsi="Times New Roman" w:cs="Times New Roman"/>
          <w:sz w:val="28"/>
          <w:szCs w:val="28"/>
        </w:rPr>
        <w:t>，故也得</w:t>
      </w:r>
      <w:r>
        <w:rPr>
          <w:rFonts w:ascii="Times New Roman" w:eastAsia="仿宋" w:hAnsi="Times New Roman" w:cs="Times New Roman"/>
          <w:sz w:val="28"/>
          <w:szCs w:val="28"/>
        </w:rPr>
        <w:t>1</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1.5</w:t>
      </w:r>
      <w:r>
        <w:rPr>
          <w:rFonts w:ascii="Times New Roman" w:eastAsia="仿宋" w:hAnsi="Times New Roman" w:cs="Times New Roman"/>
          <w:sz w:val="28"/>
          <w:szCs w:val="28"/>
        </w:rPr>
        <w:t>一致性评价评分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个药品均为原研药品</w:t>
      </w:r>
      <w:r>
        <w:rPr>
          <w:rFonts w:ascii="Times New Roman" w:eastAsia="仿宋" w:hAnsi="Times New Roman" w:cs="Times New Roman"/>
          <w:sz w:val="28"/>
          <w:szCs w:val="28"/>
        </w:rPr>
        <w:t>/</w:t>
      </w:r>
      <w:r>
        <w:rPr>
          <w:rFonts w:ascii="Times New Roman" w:eastAsia="仿宋" w:hAnsi="Times New Roman" w:cs="Times New Roman"/>
          <w:sz w:val="28"/>
          <w:szCs w:val="28"/>
        </w:rPr>
        <w:t>参比制剂得</w:t>
      </w:r>
      <w:r>
        <w:rPr>
          <w:rFonts w:ascii="Times New Roman" w:eastAsia="仿宋" w:hAnsi="Times New Roman" w:cs="Times New Roman"/>
          <w:sz w:val="28"/>
          <w:szCs w:val="28"/>
        </w:rPr>
        <w:t>5</w:t>
      </w:r>
      <w:r>
        <w:rPr>
          <w:rFonts w:ascii="Times New Roman" w:eastAsia="仿宋" w:hAnsi="Times New Roman" w:cs="Times New Roman"/>
          <w:sz w:val="28"/>
          <w:szCs w:val="28"/>
        </w:rPr>
        <w:t>分。具体打分情况见表</w:t>
      </w:r>
      <w:r>
        <w:rPr>
          <w:rFonts w:ascii="Times New Roman" w:eastAsia="仿宋" w:hAnsi="Times New Roman" w:cs="Times New Roman"/>
          <w:sz w:val="28"/>
          <w:szCs w:val="28"/>
        </w:rPr>
        <w:t>3</w:t>
      </w:r>
      <w:r>
        <w:rPr>
          <w:rFonts w:ascii="Times New Roman" w:eastAsia="仿宋" w:hAnsi="Times New Roman" w:cs="Times New Roman"/>
          <w:sz w:val="28"/>
          <w:szCs w:val="28"/>
        </w:rPr>
        <w:t>。</w:t>
      </w:r>
    </w:p>
    <w:p w:rsidR="00C96FF8" w:rsidRDefault="00DD68D6">
      <w:pPr>
        <w:ind w:firstLineChars="200" w:firstLine="480"/>
        <w:jc w:val="center"/>
        <w:rPr>
          <w:rFonts w:ascii="Times New Roman" w:eastAsia="仿宋" w:hAnsi="Times New Roman" w:cs="Times New Roman"/>
          <w:sz w:val="24"/>
          <w:szCs w:val="28"/>
        </w:rPr>
      </w:pPr>
      <w:r>
        <w:rPr>
          <w:rFonts w:ascii="Times New Roman" w:eastAsia="仿宋" w:hAnsi="Times New Roman" w:cs="Times New Roman"/>
          <w:sz w:val="24"/>
          <w:szCs w:val="28"/>
        </w:rPr>
        <w:lastRenderedPageBreak/>
        <w:t>表</w:t>
      </w:r>
      <w:r>
        <w:rPr>
          <w:rFonts w:ascii="Times New Roman" w:eastAsia="仿宋" w:hAnsi="Times New Roman" w:cs="Times New Roman"/>
          <w:sz w:val="24"/>
          <w:szCs w:val="28"/>
        </w:rPr>
        <w:t>3</w:t>
      </w:r>
      <w:r>
        <w:rPr>
          <w:rFonts w:ascii="Times New Roman" w:eastAsia="仿宋" w:hAnsi="Times New Roman" w:cs="Times New Roman" w:hint="eastAsia"/>
          <w:sz w:val="24"/>
          <w:szCs w:val="28"/>
        </w:rPr>
        <w:t xml:space="preserve"> </w:t>
      </w:r>
      <w:r>
        <w:rPr>
          <w:rFonts w:ascii="Times New Roman" w:eastAsia="仿宋" w:hAnsi="Times New Roman" w:cs="Times New Roman"/>
          <w:sz w:val="24"/>
          <w:szCs w:val="24"/>
        </w:rPr>
        <w:t>SGLT-2</w:t>
      </w:r>
      <w:r>
        <w:rPr>
          <w:rFonts w:ascii="Times New Roman" w:eastAsia="仿宋" w:hAnsi="Times New Roman" w:cs="Times New Roman"/>
          <w:sz w:val="24"/>
          <w:szCs w:val="24"/>
        </w:rPr>
        <w:t>抑制剂</w:t>
      </w:r>
      <w:r>
        <w:rPr>
          <w:rFonts w:ascii="Times New Roman" w:eastAsia="仿宋" w:hAnsi="Times New Roman" w:cs="Times New Roman"/>
          <w:sz w:val="24"/>
          <w:szCs w:val="28"/>
        </w:rPr>
        <w:t>药学特性评分</w:t>
      </w:r>
    </w:p>
    <w:tbl>
      <w:tblPr>
        <w:tblStyle w:val="a8"/>
        <w:tblW w:w="8826"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851"/>
        <w:gridCol w:w="52"/>
        <w:gridCol w:w="1933"/>
        <w:gridCol w:w="708"/>
        <w:gridCol w:w="1276"/>
        <w:gridCol w:w="1206"/>
        <w:gridCol w:w="1383"/>
        <w:gridCol w:w="1417"/>
      </w:tblGrid>
      <w:tr w:rsidR="00C96FF8">
        <w:trPr>
          <w:trHeight w:val="437"/>
          <w:jc w:val="center"/>
        </w:trPr>
        <w:tc>
          <w:tcPr>
            <w:tcW w:w="2836" w:type="dxa"/>
            <w:gridSpan w:val="3"/>
          </w:tcPr>
          <w:p w:rsidR="00C96FF8" w:rsidRDefault="00DD68D6">
            <w:pPr>
              <w:rPr>
                <w:rFonts w:ascii="Times New Roman" w:eastAsia="仿宋" w:hAnsi="Times New Roman" w:cs="Times New Roman"/>
                <w:b/>
                <w:bCs/>
                <w:szCs w:val="21"/>
              </w:rPr>
            </w:pPr>
            <w:r>
              <w:rPr>
                <w:rFonts w:ascii="Times New Roman" w:eastAsia="仿宋" w:hAnsi="Times New Roman" w:cs="Times New Roman"/>
                <w:b/>
                <w:bCs/>
                <w:szCs w:val="21"/>
              </w:rPr>
              <w:t>药学特性（</w:t>
            </w:r>
            <w:r>
              <w:rPr>
                <w:rFonts w:ascii="Times New Roman" w:eastAsia="仿宋" w:hAnsi="Times New Roman" w:cs="Times New Roman"/>
                <w:b/>
                <w:bCs/>
                <w:szCs w:val="21"/>
              </w:rPr>
              <w:t>20</w:t>
            </w:r>
            <w:r>
              <w:rPr>
                <w:rFonts w:ascii="Times New Roman" w:eastAsia="仿宋" w:hAnsi="Times New Roman" w:cs="Times New Roman"/>
                <w:b/>
                <w:bCs/>
                <w:szCs w:val="21"/>
              </w:rPr>
              <w:t>分）</w:t>
            </w:r>
          </w:p>
        </w:tc>
        <w:tc>
          <w:tcPr>
            <w:tcW w:w="708" w:type="dxa"/>
          </w:tcPr>
          <w:p w:rsidR="00C96FF8" w:rsidRDefault="00DD68D6">
            <w:pPr>
              <w:jc w:val="center"/>
              <w:rPr>
                <w:rFonts w:ascii="Times New Roman" w:eastAsia="仿宋" w:hAnsi="Times New Roman" w:cs="Times New Roman"/>
                <w:b/>
                <w:bCs/>
                <w:szCs w:val="21"/>
              </w:rPr>
            </w:pPr>
            <w:r>
              <w:rPr>
                <w:rFonts w:ascii="Times New Roman" w:eastAsia="仿宋" w:hAnsi="Times New Roman" w:cs="Times New Roman"/>
                <w:b/>
                <w:bCs/>
                <w:szCs w:val="21"/>
              </w:rPr>
              <w:t>评分标准</w:t>
            </w:r>
          </w:p>
        </w:tc>
        <w:tc>
          <w:tcPr>
            <w:tcW w:w="1276" w:type="dxa"/>
          </w:tcPr>
          <w:p w:rsidR="00C96FF8" w:rsidRDefault="00DD68D6">
            <w:pPr>
              <w:jc w:val="center"/>
              <w:rPr>
                <w:rFonts w:ascii="Times New Roman" w:eastAsia="仿宋" w:hAnsi="Times New Roman" w:cs="Times New Roman"/>
                <w:b/>
                <w:bCs/>
                <w:szCs w:val="21"/>
              </w:rPr>
            </w:pPr>
            <w:r>
              <w:rPr>
                <w:rFonts w:ascii="Times New Roman" w:eastAsia="仿宋" w:hAnsi="Times New Roman" w:cs="Times New Roman"/>
                <w:b/>
                <w:bCs/>
                <w:szCs w:val="21"/>
              </w:rPr>
              <w:t>达格列净</w:t>
            </w:r>
          </w:p>
        </w:tc>
        <w:tc>
          <w:tcPr>
            <w:tcW w:w="1206" w:type="dxa"/>
          </w:tcPr>
          <w:p w:rsidR="00C96FF8" w:rsidRDefault="00DD68D6">
            <w:pPr>
              <w:jc w:val="center"/>
              <w:rPr>
                <w:rFonts w:ascii="Times New Roman" w:eastAsia="仿宋" w:hAnsi="Times New Roman" w:cs="Times New Roman"/>
                <w:b/>
                <w:bCs/>
                <w:szCs w:val="21"/>
              </w:rPr>
            </w:pPr>
            <w:r>
              <w:rPr>
                <w:rFonts w:ascii="Times New Roman" w:eastAsia="仿宋" w:hAnsi="Times New Roman" w:cs="Times New Roman"/>
                <w:b/>
                <w:bCs/>
                <w:szCs w:val="21"/>
              </w:rPr>
              <w:t>恩格列净</w:t>
            </w:r>
          </w:p>
        </w:tc>
        <w:tc>
          <w:tcPr>
            <w:tcW w:w="1383" w:type="dxa"/>
          </w:tcPr>
          <w:p w:rsidR="00C96FF8" w:rsidRDefault="00DD68D6">
            <w:pPr>
              <w:jc w:val="center"/>
              <w:rPr>
                <w:rFonts w:ascii="Times New Roman" w:eastAsia="仿宋" w:hAnsi="Times New Roman" w:cs="Times New Roman"/>
                <w:b/>
                <w:bCs/>
                <w:szCs w:val="21"/>
              </w:rPr>
            </w:pPr>
            <w:r>
              <w:rPr>
                <w:rFonts w:ascii="Times New Roman" w:eastAsia="仿宋" w:hAnsi="Times New Roman" w:cs="Times New Roman"/>
                <w:b/>
                <w:bCs/>
                <w:szCs w:val="21"/>
              </w:rPr>
              <w:t>卡格列净</w:t>
            </w:r>
          </w:p>
        </w:tc>
        <w:tc>
          <w:tcPr>
            <w:tcW w:w="1417" w:type="dxa"/>
          </w:tcPr>
          <w:p w:rsidR="00C96FF8" w:rsidRDefault="00DD68D6">
            <w:pPr>
              <w:jc w:val="center"/>
              <w:rPr>
                <w:rFonts w:ascii="Times New Roman" w:eastAsia="仿宋" w:hAnsi="Times New Roman" w:cs="Times New Roman"/>
                <w:b/>
                <w:bCs/>
                <w:szCs w:val="21"/>
              </w:rPr>
            </w:pPr>
            <w:r>
              <w:rPr>
                <w:rFonts w:ascii="Times New Roman" w:eastAsia="仿宋" w:hAnsi="Times New Roman" w:cs="Times New Roman"/>
                <w:b/>
                <w:bCs/>
                <w:szCs w:val="21"/>
              </w:rPr>
              <w:t>艾托格列净</w:t>
            </w:r>
          </w:p>
        </w:tc>
      </w:tr>
      <w:tr w:rsidR="00C96FF8">
        <w:trPr>
          <w:trHeight w:val="212"/>
          <w:jc w:val="center"/>
        </w:trPr>
        <w:tc>
          <w:tcPr>
            <w:tcW w:w="2836" w:type="dxa"/>
            <w:gridSpan w:val="3"/>
            <w:vMerge w:val="restart"/>
          </w:tcPr>
          <w:p w:rsidR="00C96FF8" w:rsidRDefault="00C96FF8">
            <w:pPr>
              <w:rPr>
                <w:rFonts w:ascii="Times New Roman" w:eastAsia="仿宋" w:hAnsi="Times New Roman" w:cs="Times New Roman"/>
                <w:b/>
                <w:bCs/>
                <w:szCs w:val="21"/>
              </w:rPr>
            </w:pPr>
          </w:p>
        </w:tc>
        <w:tc>
          <w:tcPr>
            <w:tcW w:w="708" w:type="dxa"/>
            <w:vMerge w:val="restart"/>
          </w:tcPr>
          <w:p w:rsidR="00C96FF8" w:rsidRDefault="00C96FF8">
            <w:pPr>
              <w:jc w:val="center"/>
              <w:rPr>
                <w:rFonts w:ascii="Times New Roman" w:eastAsia="仿宋" w:hAnsi="Times New Roman" w:cs="Times New Roman"/>
                <w:szCs w:val="21"/>
              </w:rPr>
            </w:pPr>
          </w:p>
        </w:tc>
        <w:tc>
          <w:tcPr>
            <w:tcW w:w="127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安达唐</w:t>
            </w:r>
          </w:p>
        </w:tc>
        <w:tc>
          <w:tcPr>
            <w:tcW w:w="120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欧唐静</w:t>
            </w:r>
          </w:p>
        </w:tc>
        <w:tc>
          <w:tcPr>
            <w:tcW w:w="1383"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怡可安</w:t>
            </w:r>
          </w:p>
        </w:tc>
        <w:tc>
          <w:tcPr>
            <w:tcW w:w="1417"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捷诺妥</w:t>
            </w:r>
          </w:p>
        </w:tc>
      </w:tr>
      <w:tr w:rsidR="00C96FF8">
        <w:trPr>
          <w:trHeight w:val="401"/>
          <w:jc w:val="center"/>
        </w:trPr>
        <w:tc>
          <w:tcPr>
            <w:tcW w:w="2836" w:type="dxa"/>
            <w:gridSpan w:val="3"/>
            <w:vMerge/>
          </w:tcPr>
          <w:p w:rsidR="00C96FF8" w:rsidRDefault="00C96FF8">
            <w:pPr>
              <w:rPr>
                <w:rFonts w:ascii="Times New Roman" w:eastAsia="仿宋" w:hAnsi="Times New Roman" w:cs="Times New Roman"/>
                <w:b/>
                <w:bCs/>
                <w:szCs w:val="21"/>
              </w:rPr>
            </w:pPr>
          </w:p>
        </w:tc>
        <w:tc>
          <w:tcPr>
            <w:tcW w:w="708" w:type="dxa"/>
            <w:vMerge/>
          </w:tcPr>
          <w:p w:rsidR="00C96FF8" w:rsidRDefault="00C96FF8">
            <w:pPr>
              <w:jc w:val="center"/>
              <w:rPr>
                <w:rFonts w:ascii="Times New Roman" w:eastAsia="仿宋" w:hAnsi="Times New Roman" w:cs="Times New Roman"/>
                <w:szCs w:val="21"/>
              </w:rPr>
            </w:pPr>
          </w:p>
        </w:tc>
        <w:tc>
          <w:tcPr>
            <w:tcW w:w="127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10</w:t>
            </w:r>
            <w:r>
              <w:rPr>
                <w:rFonts w:ascii="Times New Roman" w:eastAsia="仿宋" w:hAnsi="Times New Roman" w:cs="Times New Roman" w:hint="eastAsia"/>
                <w:szCs w:val="21"/>
              </w:rPr>
              <w:t xml:space="preserve"> </w:t>
            </w:r>
            <w:r>
              <w:rPr>
                <w:rFonts w:ascii="Times New Roman" w:eastAsia="仿宋" w:hAnsi="Times New Roman" w:cs="Times New Roman"/>
                <w:szCs w:val="21"/>
              </w:rPr>
              <w:t>mg</w:t>
            </w:r>
          </w:p>
        </w:tc>
        <w:tc>
          <w:tcPr>
            <w:tcW w:w="120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10</w:t>
            </w:r>
            <w:r>
              <w:rPr>
                <w:rFonts w:ascii="Times New Roman" w:eastAsia="仿宋" w:hAnsi="Times New Roman" w:cs="Times New Roman" w:hint="eastAsia"/>
                <w:szCs w:val="21"/>
              </w:rPr>
              <w:t xml:space="preserve"> </w:t>
            </w:r>
            <w:r>
              <w:rPr>
                <w:rFonts w:ascii="Times New Roman" w:eastAsia="仿宋" w:hAnsi="Times New Roman" w:cs="Times New Roman"/>
                <w:szCs w:val="21"/>
              </w:rPr>
              <w:t>mg</w:t>
            </w:r>
          </w:p>
        </w:tc>
        <w:tc>
          <w:tcPr>
            <w:tcW w:w="1383"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100</w:t>
            </w:r>
            <w:r>
              <w:rPr>
                <w:rFonts w:ascii="Times New Roman" w:eastAsia="仿宋" w:hAnsi="Times New Roman" w:cs="Times New Roman" w:hint="eastAsia"/>
                <w:szCs w:val="21"/>
              </w:rPr>
              <w:t xml:space="preserve"> </w:t>
            </w:r>
            <w:r>
              <w:rPr>
                <w:rFonts w:ascii="Times New Roman" w:eastAsia="仿宋" w:hAnsi="Times New Roman" w:cs="Times New Roman"/>
                <w:szCs w:val="21"/>
              </w:rPr>
              <w:t>mg/300</w:t>
            </w:r>
            <w:r>
              <w:rPr>
                <w:rFonts w:ascii="Times New Roman" w:eastAsia="仿宋" w:hAnsi="Times New Roman" w:cs="Times New Roman" w:hint="eastAsia"/>
                <w:szCs w:val="21"/>
              </w:rPr>
              <w:t xml:space="preserve"> </w:t>
            </w:r>
            <w:r>
              <w:rPr>
                <w:rFonts w:ascii="Times New Roman" w:eastAsia="仿宋" w:hAnsi="Times New Roman" w:cs="Times New Roman"/>
                <w:szCs w:val="21"/>
              </w:rPr>
              <w:t>mg</w:t>
            </w:r>
          </w:p>
        </w:tc>
        <w:tc>
          <w:tcPr>
            <w:tcW w:w="1417"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r>
              <w:rPr>
                <w:rFonts w:ascii="Times New Roman" w:eastAsia="仿宋" w:hAnsi="Times New Roman" w:cs="Times New Roman" w:hint="eastAsia"/>
                <w:szCs w:val="21"/>
              </w:rPr>
              <w:t xml:space="preserve"> </w:t>
            </w:r>
            <w:r>
              <w:rPr>
                <w:rFonts w:ascii="Times New Roman" w:eastAsia="仿宋" w:hAnsi="Times New Roman" w:cs="Times New Roman"/>
                <w:szCs w:val="21"/>
              </w:rPr>
              <w:t>mg</w:t>
            </w:r>
          </w:p>
        </w:tc>
      </w:tr>
      <w:tr w:rsidR="00C96FF8">
        <w:trPr>
          <w:trHeight w:val="212"/>
          <w:jc w:val="center"/>
        </w:trPr>
        <w:tc>
          <w:tcPr>
            <w:tcW w:w="851" w:type="dxa"/>
            <w:vMerge w:val="restart"/>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适应证</w:t>
            </w:r>
          </w:p>
        </w:tc>
        <w:tc>
          <w:tcPr>
            <w:tcW w:w="1985" w:type="dxa"/>
            <w:gridSpan w:val="2"/>
            <w:tcBorders>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临床必需，首选</w:t>
            </w:r>
          </w:p>
        </w:tc>
        <w:tc>
          <w:tcPr>
            <w:tcW w:w="708"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7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0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383" w:type="dxa"/>
            <w:tcBorders>
              <w:bottom w:val="nil"/>
            </w:tcBorders>
          </w:tcPr>
          <w:p w:rsidR="00C96FF8" w:rsidRDefault="00C96FF8">
            <w:pPr>
              <w:jc w:val="center"/>
              <w:rPr>
                <w:rFonts w:ascii="Times New Roman" w:eastAsia="仿宋" w:hAnsi="Times New Roman" w:cs="Times New Roman"/>
                <w:szCs w:val="21"/>
              </w:rPr>
            </w:pPr>
          </w:p>
        </w:tc>
        <w:tc>
          <w:tcPr>
            <w:tcW w:w="1417" w:type="dxa"/>
            <w:tcBorders>
              <w:bottom w:val="nil"/>
            </w:tcBorders>
          </w:tcPr>
          <w:p w:rsidR="00C96FF8" w:rsidRDefault="00C96FF8">
            <w:pPr>
              <w:jc w:val="center"/>
              <w:rPr>
                <w:rFonts w:ascii="Times New Roman" w:eastAsia="仿宋" w:hAnsi="Times New Roman" w:cs="Times New Roman"/>
                <w:szCs w:val="21"/>
              </w:rPr>
            </w:pP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临床需要，次选</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276" w:type="dxa"/>
            <w:tcBorders>
              <w:top w:val="nil"/>
              <w:bottom w:val="nil"/>
            </w:tcBorders>
          </w:tcPr>
          <w:p w:rsidR="00C96FF8" w:rsidRDefault="00C96FF8">
            <w:pPr>
              <w:jc w:val="center"/>
              <w:rPr>
                <w:rFonts w:ascii="Times New Roman" w:eastAsia="仿宋" w:hAnsi="Times New Roman" w:cs="Times New Roman"/>
                <w:szCs w:val="21"/>
              </w:rPr>
            </w:pPr>
          </w:p>
        </w:tc>
        <w:tc>
          <w:tcPr>
            <w:tcW w:w="1206" w:type="dxa"/>
            <w:tcBorders>
              <w:top w:val="nil"/>
              <w:bottom w:val="nil"/>
            </w:tcBorders>
          </w:tcPr>
          <w:p w:rsidR="00C96FF8" w:rsidRDefault="00C96FF8">
            <w:pPr>
              <w:jc w:val="center"/>
              <w:rPr>
                <w:rFonts w:ascii="Times New Roman" w:eastAsia="仿宋" w:hAnsi="Times New Roman" w:cs="Times New Roman"/>
                <w:szCs w:val="21"/>
              </w:rPr>
            </w:pPr>
          </w:p>
        </w:tc>
        <w:tc>
          <w:tcPr>
            <w:tcW w:w="1383"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417"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single" w:sz="4" w:space="0" w:color="auto"/>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可选药品较多</w:t>
            </w:r>
          </w:p>
        </w:tc>
        <w:tc>
          <w:tcPr>
            <w:tcW w:w="708"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20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383"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417" w:type="dxa"/>
            <w:tcBorders>
              <w:top w:val="nil"/>
              <w:bottom w:val="single" w:sz="4" w:space="0" w:color="auto"/>
            </w:tcBorders>
          </w:tcPr>
          <w:p w:rsidR="00C96FF8" w:rsidRDefault="00C96FF8">
            <w:pPr>
              <w:jc w:val="center"/>
              <w:rPr>
                <w:rFonts w:ascii="Times New Roman" w:eastAsia="仿宋" w:hAnsi="Times New Roman" w:cs="Times New Roman"/>
                <w:szCs w:val="21"/>
              </w:rPr>
            </w:pPr>
          </w:p>
        </w:tc>
      </w:tr>
      <w:tr w:rsidR="00C96FF8">
        <w:trPr>
          <w:trHeight w:val="51"/>
          <w:jc w:val="center"/>
        </w:trPr>
        <w:tc>
          <w:tcPr>
            <w:tcW w:w="851" w:type="dxa"/>
            <w:vMerge w:val="restart"/>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药理作用</w:t>
            </w:r>
          </w:p>
        </w:tc>
        <w:tc>
          <w:tcPr>
            <w:tcW w:w="1985" w:type="dxa"/>
            <w:gridSpan w:val="2"/>
            <w:tcBorders>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临床疗效确切，作用机制明确</w:t>
            </w:r>
          </w:p>
        </w:tc>
        <w:tc>
          <w:tcPr>
            <w:tcW w:w="708"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7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0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383"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417"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r>
      <w:tr w:rsidR="00C96FF8">
        <w:trPr>
          <w:trHeight w:val="400"/>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临床疗效确切，作用机制尚不十分明确</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276" w:type="dxa"/>
            <w:tcBorders>
              <w:top w:val="nil"/>
              <w:bottom w:val="nil"/>
            </w:tcBorders>
          </w:tcPr>
          <w:p w:rsidR="00C96FF8" w:rsidRDefault="00C96FF8">
            <w:pPr>
              <w:jc w:val="center"/>
              <w:rPr>
                <w:rFonts w:ascii="Times New Roman" w:eastAsia="仿宋" w:hAnsi="Times New Roman" w:cs="Times New Roman"/>
                <w:szCs w:val="21"/>
              </w:rPr>
            </w:pPr>
          </w:p>
        </w:tc>
        <w:tc>
          <w:tcPr>
            <w:tcW w:w="1206" w:type="dxa"/>
            <w:tcBorders>
              <w:top w:val="nil"/>
              <w:bottom w:val="nil"/>
            </w:tcBorders>
          </w:tcPr>
          <w:p w:rsidR="00C96FF8" w:rsidRDefault="00C96FF8">
            <w:pPr>
              <w:jc w:val="center"/>
              <w:rPr>
                <w:rFonts w:ascii="Times New Roman" w:eastAsia="仿宋" w:hAnsi="Times New Roman" w:cs="Times New Roman"/>
                <w:szCs w:val="21"/>
              </w:rPr>
            </w:pPr>
          </w:p>
        </w:tc>
        <w:tc>
          <w:tcPr>
            <w:tcW w:w="1383" w:type="dxa"/>
            <w:tcBorders>
              <w:top w:val="nil"/>
              <w:bottom w:val="nil"/>
            </w:tcBorders>
          </w:tcPr>
          <w:p w:rsidR="00C96FF8" w:rsidRDefault="00C96FF8">
            <w:pPr>
              <w:jc w:val="center"/>
              <w:rPr>
                <w:rFonts w:ascii="Times New Roman" w:eastAsia="仿宋" w:hAnsi="Times New Roman" w:cs="Times New Roman"/>
                <w:szCs w:val="21"/>
              </w:rPr>
            </w:pPr>
          </w:p>
        </w:tc>
        <w:tc>
          <w:tcPr>
            <w:tcW w:w="1417" w:type="dxa"/>
            <w:tcBorders>
              <w:top w:val="nil"/>
              <w:bottom w:val="nil"/>
            </w:tcBorders>
          </w:tcPr>
          <w:p w:rsidR="00C96FF8" w:rsidRDefault="00C96FF8">
            <w:pPr>
              <w:jc w:val="center"/>
              <w:rPr>
                <w:rFonts w:ascii="Times New Roman" w:eastAsia="仿宋" w:hAnsi="Times New Roman" w:cs="Times New Roman"/>
                <w:szCs w:val="21"/>
              </w:rPr>
            </w:pP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single" w:sz="4" w:space="0" w:color="auto"/>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临床疗效一般，作用机制不明确</w:t>
            </w:r>
          </w:p>
        </w:tc>
        <w:tc>
          <w:tcPr>
            <w:tcW w:w="708"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20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383"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417" w:type="dxa"/>
            <w:tcBorders>
              <w:top w:val="nil"/>
              <w:bottom w:val="single" w:sz="4" w:space="0" w:color="auto"/>
            </w:tcBorders>
          </w:tcPr>
          <w:p w:rsidR="00C96FF8" w:rsidRDefault="00C96FF8">
            <w:pPr>
              <w:jc w:val="center"/>
              <w:rPr>
                <w:rFonts w:ascii="Times New Roman" w:eastAsia="仿宋" w:hAnsi="Times New Roman" w:cs="Times New Roman"/>
                <w:szCs w:val="21"/>
              </w:rPr>
            </w:pPr>
          </w:p>
        </w:tc>
      </w:tr>
      <w:tr w:rsidR="00C96FF8">
        <w:trPr>
          <w:trHeight w:val="400"/>
          <w:jc w:val="center"/>
        </w:trPr>
        <w:tc>
          <w:tcPr>
            <w:tcW w:w="851" w:type="dxa"/>
            <w:vMerge w:val="restart"/>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体内过程</w:t>
            </w:r>
          </w:p>
        </w:tc>
        <w:tc>
          <w:tcPr>
            <w:tcW w:w="1985" w:type="dxa"/>
            <w:gridSpan w:val="2"/>
            <w:tcBorders>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体内过程明确，药动学参数完整</w:t>
            </w:r>
          </w:p>
        </w:tc>
        <w:tc>
          <w:tcPr>
            <w:tcW w:w="708"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7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0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383"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417"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r>
      <w:tr w:rsidR="00C96FF8">
        <w:trPr>
          <w:trHeight w:val="51"/>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体内过程基本明确，药动学参数不完整</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276" w:type="dxa"/>
            <w:tcBorders>
              <w:top w:val="nil"/>
              <w:bottom w:val="nil"/>
            </w:tcBorders>
          </w:tcPr>
          <w:p w:rsidR="00C96FF8" w:rsidRDefault="00C96FF8">
            <w:pPr>
              <w:jc w:val="center"/>
              <w:rPr>
                <w:rFonts w:ascii="Times New Roman" w:eastAsia="仿宋" w:hAnsi="Times New Roman" w:cs="Times New Roman"/>
                <w:szCs w:val="21"/>
              </w:rPr>
            </w:pPr>
          </w:p>
        </w:tc>
        <w:tc>
          <w:tcPr>
            <w:tcW w:w="1206" w:type="dxa"/>
            <w:tcBorders>
              <w:top w:val="nil"/>
              <w:bottom w:val="nil"/>
            </w:tcBorders>
          </w:tcPr>
          <w:p w:rsidR="00C96FF8" w:rsidRDefault="00C96FF8">
            <w:pPr>
              <w:jc w:val="center"/>
              <w:rPr>
                <w:rFonts w:ascii="Times New Roman" w:eastAsia="仿宋" w:hAnsi="Times New Roman" w:cs="Times New Roman"/>
                <w:szCs w:val="21"/>
              </w:rPr>
            </w:pPr>
          </w:p>
        </w:tc>
        <w:tc>
          <w:tcPr>
            <w:tcW w:w="1383" w:type="dxa"/>
            <w:tcBorders>
              <w:top w:val="nil"/>
              <w:bottom w:val="nil"/>
            </w:tcBorders>
          </w:tcPr>
          <w:p w:rsidR="00C96FF8" w:rsidRDefault="00C96FF8">
            <w:pPr>
              <w:jc w:val="center"/>
              <w:rPr>
                <w:rFonts w:ascii="Times New Roman" w:eastAsia="仿宋" w:hAnsi="Times New Roman" w:cs="Times New Roman"/>
                <w:szCs w:val="21"/>
              </w:rPr>
            </w:pPr>
          </w:p>
        </w:tc>
        <w:tc>
          <w:tcPr>
            <w:tcW w:w="1417" w:type="dxa"/>
            <w:tcBorders>
              <w:top w:val="nil"/>
              <w:bottom w:val="nil"/>
            </w:tcBorders>
          </w:tcPr>
          <w:p w:rsidR="00C96FF8" w:rsidRDefault="00C96FF8">
            <w:pPr>
              <w:jc w:val="center"/>
              <w:rPr>
                <w:rFonts w:ascii="Times New Roman" w:eastAsia="仿宋" w:hAnsi="Times New Roman" w:cs="Times New Roman"/>
                <w:szCs w:val="21"/>
              </w:rPr>
            </w:pPr>
          </w:p>
        </w:tc>
      </w:tr>
      <w:tr w:rsidR="00C96FF8">
        <w:trPr>
          <w:trHeight w:val="400"/>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single" w:sz="4" w:space="0" w:color="auto"/>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体内过程尚不明确，无药动学相关研究</w:t>
            </w:r>
          </w:p>
        </w:tc>
        <w:tc>
          <w:tcPr>
            <w:tcW w:w="708"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206"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383" w:type="dxa"/>
            <w:tcBorders>
              <w:top w:val="nil"/>
              <w:bottom w:val="single" w:sz="4" w:space="0" w:color="auto"/>
            </w:tcBorders>
          </w:tcPr>
          <w:p w:rsidR="00C96FF8" w:rsidRDefault="00C96FF8">
            <w:pPr>
              <w:jc w:val="center"/>
              <w:rPr>
                <w:rFonts w:ascii="Times New Roman" w:eastAsia="仿宋" w:hAnsi="Times New Roman" w:cs="Times New Roman"/>
                <w:szCs w:val="21"/>
              </w:rPr>
            </w:pPr>
          </w:p>
        </w:tc>
        <w:tc>
          <w:tcPr>
            <w:tcW w:w="1417" w:type="dxa"/>
            <w:tcBorders>
              <w:top w:val="nil"/>
              <w:bottom w:val="single" w:sz="4" w:space="0" w:color="auto"/>
            </w:tcBorders>
          </w:tcPr>
          <w:p w:rsidR="00C96FF8" w:rsidRDefault="00C96FF8">
            <w:pPr>
              <w:jc w:val="center"/>
              <w:rPr>
                <w:rFonts w:ascii="Times New Roman" w:eastAsia="仿宋" w:hAnsi="Times New Roman" w:cs="Times New Roman"/>
                <w:szCs w:val="21"/>
              </w:rPr>
            </w:pPr>
          </w:p>
        </w:tc>
      </w:tr>
      <w:tr w:rsidR="00C96FF8">
        <w:trPr>
          <w:trHeight w:val="212"/>
          <w:jc w:val="center"/>
        </w:trPr>
        <w:tc>
          <w:tcPr>
            <w:tcW w:w="851" w:type="dxa"/>
            <w:vMerge w:val="restart"/>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药剂学和使用方法</w:t>
            </w:r>
          </w:p>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（可多选）</w:t>
            </w:r>
          </w:p>
        </w:tc>
        <w:tc>
          <w:tcPr>
            <w:tcW w:w="1985" w:type="dxa"/>
            <w:gridSpan w:val="2"/>
            <w:tcBorders>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主要成分及辅料明确</w:t>
            </w:r>
          </w:p>
        </w:tc>
        <w:tc>
          <w:tcPr>
            <w:tcW w:w="708"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0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383"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0</w:t>
            </w:r>
          </w:p>
        </w:tc>
        <w:tc>
          <w:tcPr>
            <w:tcW w:w="1417"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0</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剂型适宜</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27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20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383"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c>
          <w:tcPr>
            <w:tcW w:w="1417"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给药剂量便于掌握</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0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383"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417"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给药频次适宜</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06"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383"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417"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single" w:sz="4" w:space="0" w:color="auto"/>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使用方便</w:t>
            </w:r>
          </w:p>
        </w:tc>
        <w:tc>
          <w:tcPr>
            <w:tcW w:w="708"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76"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206"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383"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c>
          <w:tcPr>
            <w:tcW w:w="1417" w:type="dxa"/>
            <w:tcBorders>
              <w:top w:val="nil"/>
              <w:bottom w:val="single" w:sz="4" w:space="0" w:color="auto"/>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w:t>
            </w:r>
          </w:p>
        </w:tc>
      </w:tr>
      <w:tr w:rsidR="00C96FF8">
        <w:trPr>
          <w:trHeight w:val="212"/>
          <w:jc w:val="center"/>
        </w:trPr>
        <w:tc>
          <w:tcPr>
            <w:tcW w:w="851" w:type="dxa"/>
            <w:vMerge w:val="restart"/>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一致性评价</w:t>
            </w:r>
          </w:p>
        </w:tc>
        <w:tc>
          <w:tcPr>
            <w:tcW w:w="1985" w:type="dxa"/>
            <w:gridSpan w:val="2"/>
            <w:tcBorders>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原研药品</w:t>
            </w:r>
            <w:r>
              <w:rPr>
                <w:rFonts w:ascii="Times New Roman" w:eastAsia="仿宋" w:hAnsi="Times New Roman" w:cs="Times New Roman"/>
                <w:bCs/>
                <w:szCs w:val="21"/>
              </w:rPr>
              <w:t>/</w:t>
            </w:r>
            <w:r>
              <w:rPr>
                <w:rFonts w:ascii="Times New Roman" w:eastAsia="仿宋" w:hAnsi="Times New Roman" w:cs="Times New Roman"/>
                <w:bCs/>
                <w:szCs w:val="21"/>
              </w:rPr>
              <w:t>参比药品</w:t>
            </w:r>
          </w:p>
        </w:tc>
        <w:tc>
          <w:tcPr>
            <w:tcW w:w="708"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p>
        </w:tc>
        <w:tc>
          <w:tcPr>
            <w:tcW w:w="127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p>
        </w:tc>
        <w:tc>
          <w:tcPr>
            <w:tcW w:w="1206"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p>
        </w:tc>
        <w:tc>
          <w:tcPr>
            <w:tcW w:w="1383"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p>
        </w:tc>
        <w:tc>
          <w:tcPr>
            <w:tcW w:w="1417" w:type="dxa"/>
            <w:tcBorders>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5</w:t>
            </w:r>
          </w:p>
        </w:tc>
      </w:tr>
      <w:tr w:rsidR="00C96FF8">
        <w:trPr>
          <w:trHeight w:val="212"/>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bottom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通过一致性评价的仿制药品</w:t>
            </w:r>
          </w:p>
        </w:tc>
        <w:tc>
          <w:tcPr>
            <w:tcW w:w="708" w:type="dxa"/>
            <w:tcBorders>
              <w:top w:val="nil"/>
              <w:bottom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3</w:t>
            </w:r>
          </w:p>
        </w:tc>
        <w:tc>
          <w:tcPr>
            <w:tcW w:w="1276" w:type="dxa"/>
            <w:tcBorders>
              <w:top w:val="nil"/>
              <w:bottom w:val="nil"/>
            </w:tcBorders>
          </w:tcPr>
          <w:p w:rsidR="00C96FF8" w:rsidRDefault="00C96FF8">
            <w:pPr>
              <w:jc w:val="center"/>
              <w:rPr>
                <w:rFonts w:ascii="Times New Roman" w:eastAsia="仿宋" w:hAnsi="Times New Roman" w:cs="Times New Roman"/>
                <w:szCs w:val="21"/>
              </w:rPr>
            </w:pPr>
          </w:p>
        </w:tc>
        <w:tc>
          <w:tcPr>
            <w:tcW w:w="1206" w:type="dxa"/>
            <w:tcBorders>
              <w:top w:val="nil"/>
              <w:bottom w:val="nil"/>
            </w:tcBorders>
          </w:tcPr>
          <w:p w:rsidR="00C96FF8" w:rsidRDefault="00C96FF8">
            <w:pPr>
              <w:jc w:val="center"/>
              <w:rPr>
                <w:rFonts w:ascii="Times New Roman" w:eastAsia="仿宋" w:hAnsi="Times New Roman" w:cs="Times New Roman"/>
                <w:szCs w:val="21"/>
              </w:rPr>
            </w:pPr>
          </w:p>
        </w:tc>
        <w:tc>
          <w:tcPr>
            <w:tcW w:w="1383" w:type="dxa"/>
            <w:tcBorders>
              <w:top w:val="nil"/>
              <w:bottom w:val="nil"/>
            </w:tcBorders>
          </w:tcPr>
          <w:p w:rsidR="00C96FF8" w:rsidRDefault="00C96FF8">
            <w:pPr>
              <w:jc w:val="center"/>
              <w:rPr>
                <w:rFonts w:ascii="Times New Roman" w:eastAsia="仿宋" w:hAnsi="Times New Roman" w:cs="Times New Roman"/>
                <w:szCs w:val="21"/>
              </w:rPr>
            </w:pPr>
          </w:p>
        </w:tc>
        <w:tc>
          <w:tcPr>
            <w:tcW w:w="1417" w:type="dxa"/>
            <w:tcBorders>
              <w:top w:val="nil"/>
              <w:bottom w:val="nil"/>
            </w:tcBorders>
          </w:tcPr>
          <w:p w:rsidR="00C96FF8" w:rsidRDefault="00C96FF8">
            <w:pPr>
              <w:jc w:val="center"/>
              <w:rPr>
                <w:rFonts w:ascii="Times New Roman" w:eastAsia="仿宋" w:hAnsi="Times New Roman" w:cs="Times New Roman"/>
                <w:szCs w:val="21"/>
              </w:rPr>
            </w:pPr>
          </w:p>
        </w:tc>
      </w:tr>
      <w:tr w:rsidR="00C96FF8">
        <w:trPr>
          <w:trHeight w:val="400"/>
          <w:jc w:val="center"/>
        </w:trPr>
        <w:tc>
          <w:tcPr>
            <w:tcW w:w="851" w:type="dxa"/>
            <w:vMerge/>
          </w:tcPr>
          <w:p w:rsidR="00C96FF8" w:rsidRDefault="00C96FF8">
            <w:pPr>
              <w:rPr>
                <w:rFonts w:ascii="Times New Roman" w:eastAsia="仿宋" w:hAnsi="Times New Roman" w:cs="Times New Roman"/>
                <w:bCs/>
                <w:szCs w:val="21"/>
              </w:rPr>
            </w:pPr>
          </w:p>
        </w:tc>
        <w:tc>
          <w:tcPr>
            <w:tcW w:w="1985" w:type="dxa"/>
            <w:gridSpan w:val="2"/>
            <w:tcBorders>
              <w:top w:val="nil"/>
            </w:tcBorders>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t>非原研或未通过一</w:t>
            </w:r>
            <w:r>
              <w:rPr>
                <w:rFonts w:ascii="Times New Roman" w:eastAsia="仿宋" w:hAnsi="Times New Roman" w:cs="Times New Roman"/>
                <w:bCs/>
                <w:szCs w:val="21"/>
              </w:rPr>
              <w:lastRenderedPageBreak/>
              <w:t>致性评价药品</w:t>
            </w:r>
          </w:p>
        </w:tc>
        <w:tc>
          <w:tcPr>
            <w:tcW w:w="708" w:type="dxa"/>
            <w:tcBorders>
              <w:top w:val="nil"/>
            </w:tcBorders>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lastRenderedPageBreak/>
              <w:t>1</w:t>
            </w:r>
          </w:p>
        </w:tc>
        <w:tc>
          <w:tcPr>
            <w:tcW w:w="1276" w:type="dxa"/>
            <w:tcBorders>
              <w:top w:val="nil"/>
            </w:tcBorders>
          </w:tcPr>
          <w:p w:rsidR="00C96FF8" w:rsidRDefault="00C96FF8">
            <w:pPr>
              <w:jc w:val="center"/>
              <w:rPr>
                <w:rFonts w:ascii="Times New Roman" w:eastAsia="仿宋" w:hAnsi="Times New Roman" w:cs="Times New Roman"/>
                <w:szCs w:val="21"/>
              </w:rPr>
            </w:pPr>
          </w:p>
        </w:tc>
        <w:tc>
          <w:tcPr>
            <w:tcW w:w="1206" w:type="dxa"/>
            <w:tcBorders>
              <w:top w:val="nil"/>
            </w:tcBorders>
          </w:tcPr>
          <w:p w:rsidR="00C96FF8" w:rsidRDefault="00C96FF8">
            <w:pPr>
              <w:jc w:val="center"/>
              <w:rPr>
                <w:rFonts w:ascii="Times New Roman" w:eastAsia="仿宋" w:hAnsi="Times New Roman" w:cs="Times New Roman"/>
                <w:szCs w:val="21"/>
              </w:rPr>
            </w:pPr>
          </w:p>
        </w:tc>
        <w:tc>
          <w:tcPr>
            <w:tcW w:w="1383" w:type="dxa"/>
            <w:tcBorders>
              <w:top w:val="nil"/>
            </w:tcBorders>
          </w:tcPr>
          <w:p w:rsidR="00C96FF8" w:rsidRDefault="00C96FF8">
            <w:pPr>
              <w:jc w:val="center"/>
              <w:rPr>
                <w:rFonts w:ascii="Times New Roman" w:eastAsia="仿宋" w:hAnsi="Times New Roman" w:cs="Times New Roman"/>
                <w:szCs w:val="21"/>
              </w:rPr>
            </w:pPr>
          </w:p>
        </w:tc>
        <w:tc>
          <w:tcPr>
            <w:tcW w:w="1417" w:type="dxa"/>
            <w:tcBorders>
              <w:top w:val="nil"/>
            </w:tcBorders>
          </w:tcPr>
          <w:p w:rsidR="00C96FF8" w:rsidRDefault="00C96FF8">
            <w:pPr>
              <w:jc w:val="center"/>
              <w:rPr>
                <w:rFonts w:ascii="Times New Roman" w:eastAsia="仿宋" w:hAnsi="Times New Roman" w:cs="Times New Roman"/>
                <w:szCs w:val="21"/>
              </w:rPr>
            </w:pPr>
          </w:p>
        </w:tc>
      </w:tr>
      <w:tr w:rsidR="00C96FF8">
        <w:trPr>
          <w:trHeight w:val="447"/>
          <w:jc w:val="center"/>
        </w:trPr>
        <w:tc>
          <w:tcPr>
            <w:tcW w:w="903" w:type="dxa"/>
            <w:gridSpan w:val="2"/>
          </w:tcPr>
          <w:p w:rsidR="00C96FF8" w:rsidRDefault="00DD68D6">
            <w:pPr>
              <w:rPr>
                <w:rFonts w:ascii="Times New Roman" w:eastAsia="仿宋" w:hAnsi="Times New Roman" w:cs="Times New Roman"/>
                <w:bCs/>
                <w:szCs w:val="21"/>
              </w:rPr>
            </w:pPr>
            <w:r>
              <w:rPr>
                <w:rFonts w:ascii="Times New Roman" w:eastAsia="仿宋" w:hAnsi="Times New Roman" w:cs="Times New Roman"/>
                <w:bCs/>
                <w:szCs w:val="21"/>
              </w:rPr>
              <w:lastRenderedPageBreak/>
              <w:t>药学特性评分</w:t>
            </w:r>
          </w:p>
        </w:tc>
        <w:tc>
          <w:tcPr>
            <w:tcW w:w="1933" w:type="dxa"/>
          </w:tcPr>
          <w:p w:rsidR="00C96FF8" w:rsidRDefault="00C96FF8">
            <w:pPr>
              <w:rPr>
                <w:rFonts w:ascii="Times New Roman" w:eastAsia="仿宋" w:hAnsi="Times New Roman" w:cs="Times New Roman"/>
                <w:bCs/>
                <w:szCs w:val="21"/>
              </w:rPr>
            </w:pPr>
          </w:p>
        </w:tc>
        <w:tc>
          <w:tcPr>
            <w:tcW w:w="708" w:type="dxa"/>
          </w:tcPr>
          <w:p w:rsidR="00C96FF8" w:rsidRDefault="00C96FF8">
            <w:pPr>
              <w:jc w:val="center"/>
              <w:rPr>
                <w:rFonts w:ascii="Times New Roman" w:eastAsia="仿宋" w:hAnsi="Times New Roman" w:cs="Times New Roman"/>
                <w:szCs w:val="21"/>
              </w:rPr>
            </w:pPr>
          </w:p>
        </w:tc>
        <w:tc>
          <w:tcPr>
            <w:tcW w:w="127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20</w:t>
            </w:r>
          </w:p>
        </w:tc>
        <w:tc>
          <w:tcPr>
            <w:tcW w:w="1206"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20</w:t>
            </w:r>
          </w:p>
        </w:tc>
        <w:tc>
          <w:tcPr>
            <w:tcW w:w="1383"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18</w:t>
            </w:r>
          </w:p>
        </w:tc>
        <w:tc>
          <w:tcPr>
            <w:tcW w:w="1417" w:type="dxa"/>
          </w:tcPr>
          <w:p w:rsidR="00C96FF8" w:rsidRDefault="00DD68D6">
            <w:pPr>
              <w:jc w:val="center"/>
              <w:rPr>
                <w:rFonts w:ascii="Times New Roman" w:eastAsia="仿宋" w:hAnsi="Times New Roman" w:cs="Times New Roman"/>
                <w:szCs w:val="21"/>
              </w:rPr>
            </w:pPr>
            <w:r>
              <w:rPr>
                <w:rFonts w:ascii="Times New Roman" w:eastAsia="仿宋" w:hAnsi="Times New Roman" w:cs="Times New Roman"/>
                <w:szCs w:val="21"/>
              </w:rPr>
              <w:t>18</w:t>
            </w:r>
          </w:p>
        </w:tc>
      </w:tr>
    </w:tbl>
    <w:p w:rsidR="00C96FF8" w:rsidRDefault="00C96FF8">
      <w:pPr>
        <w:ind w:firstLineChars="200" w:firstLine="562"/>
        <w:rPr>
          <w:rFonts w:ascii="Times New Roman" w:eastAsia="仿宋" w:hAnsi="Times New Roman" w:cs="Times New Roman"/>
          <w:b/>
          <w:bCs/>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2</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有效性评分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2.1</w:t>
      </w:r>
      <w:r>
        <w:rPr>
          <w:rFonts w:ascii="Times New Roman" w:eastAsia="仿宋" w:hAnsi="Times New Roman" w:cs="Times New Roman"/>
          <w:sz w:val="28"/>
          <w:szCs w:val="28"/>
        </w:rPr>
        <w:t>证据等级</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国家基层糖尿病防治管理办公室发布的《国家基层糖尿病防治管理手册（</w:t>
      </w:r>
      <w:r>
        <w:rPr>
          <w:rFonts w:ascii="Times New Roman" w:eastAsia="仿宋" w:hAnsi="Times New Roman" w:cs="Times New Roman"/>
          <w:sz w:val="28"/>
          <w:szCs w:val="28"/>
        </w:rPr>
        <w:t>2022</w:t>
      </w:r>
      <w:r>
        <w:rPr>
          <w:rFonts w:ascii="Times New Roman" w:eastAsia="仿宋" w:hAnsi="Times New Roman" w:cs="Times New Roman"/>
          <w:sz w:val="28"/>
          <w:szCs w:val="28"/>
        </w:rPr>
        <w:t>年版）》</w:t>
      </w:r>
      <w:r>
        <w:rPr>
          <w:rFonts w:ascii="Times New Roman" w:eastAsia="仿宋" w:hAnsi="Times New Roman" w:cs="Times New Roman"/>
          <w:sz w:val="28"/>
          <w:szCs w:val="28"/>
          <w:vertAlign w:val="superscript"/>
        </w:rPr>
        <w:t>[8]</w:t>
      </w:r>
      <w:r>
        <w:rPr>
          <w:rFonts w:ascii="Times New Roman" w:eastAsia="仿宋" w:hAnsi="Times New Roman" w:cs="Times New Roman"/>
          <w:sz w:val="28"/>
          <w:szCs w:val="28"/>
        </w:rPr>
        <w:t>中推荐的</w:t>
      </w:r>
      <w:r>
        <w:rPr>
          <w:rFonts w:ascii="Times New Roman" w:eastAsia="仿宋" w:hAnsi="Times New Roman" w:cs="Times New Roman"/>
          <w:sz w:val="28"/>
          <w:szCs w:val="28"/>
        </w:rPr>
        <w:t>SGLT-2</w:t>
      </w:r>
      <w:r>
        <w:rPr>
          <w:rFonts w:ascii="Times New Roman" w:eastAsia="仿宋" w:hAnsi="Times New Roman" w:cs="Times New Roman"/>
          <w:sz w:val="28"/>
          <w:szCs w:val="28"/>
        </w:rPr>
        <w:t>抑制剂为：达格列净、恩格列净、卡格列净及艾托格列净。《中国</w:t>
      </w:r>
      <w:r>
        <w:rPr>
          <w:rFonts w:ascii="Times New Roman" w:eastAsia="仿宋" w:hAnsi="Times New Roman" w:cs="Times New Roman"/>
          <w:sz w:val="28"/>
          <w:szCs w:val="28"/>
        </w:rPr>
        <w:t>2</w:t>
      </w:r>
      <w:r>
        <w:rPr>
          <w:rFonts w:ascii="Times New Roman" w:eastAsia="仿宋" w:hAnsi="Times New Roman" w:cs="Times New Roman"/>
          <w:sz w:val="28"/>
          <w:szCs w:val="28"/>
        </w:rPr>
        <w:t>型糖尿病防治指南（</w:t>
      </w:r>
      <w:r>
        <w:rPr>
          <w:rFonts w:ascii="Times New Roman" w:eastAsia="仿宋" w:hAnsi="Times New Roman" w:cs="Times New Roman"/>
          <w:sz w:val="28"/>
          <w:szCs w:val="28"/>
        </w:rPr>
        <w:t>2020</w:t>
      </w:r>
      <w:r>
        <w:rPr>
          <w:rFonts w:ascii="Times New Roman" w:eastAsia="仿宋" w:hAnsi="Times New Roman" w:cs="Times New Roman"/>
          <w:sz w:val="28"/>
          <w:szCs w:val="28"/>
        </w:rPr>
        <w:t>年版）》</w:t>
      </w:r>
      <w:r>
        <w:rPr>
          <w:rFonts w:ascii="Times New Roman" w:eastAsia="仿宋" w:hAnsi="Times New Roman" w:cs="Times New Roman"/>
          <w:sz w:val="28"/>
          <w:szCs w:val="28"/>
          <w:vertAlign w:val="superscript"/>
        </w:rPr>
        <w:t>[9]</w:t>
      </w:r>
      <w:r>
        <w:rPr>
          <w:rFonts w:ascii="Times New Roman" w:eastAsia="仿宋" w:hAnsi="Times New Roman" w:cs="Times New Roman"/>
          <w:sz w:val="28"/>
          <w:szCs w:val="28"/>
        </w:rPr>
        <w:t>及美国糖尿病学会《糖尿病医学诊疗标准指南（</w:t>
      </w:r>
      <w:r>
        <w:rPr>
          <w:rFonts w:ascii="Times New Roman" w:eastAsia="仿宋" w:hAnsi="Times New Roman" w:cs="Times New Roman"/>
          <w:sz w:val="28"/>
          <w:szCs w:val="28"/>
        </w:rPr>
        <w:t>2022</w:t>
      </w:r>
      <w:r>
        <w:rPr>
          <w:rFonts w:ascii="Times New Roman" w:eastAsia="仿宋" w:hAnsi="Times New Roman" w:cs="Times New Roman"/>
          <w:sz w:val="28"/>
          <w:szCs w:val="28"/>
        </w:rPr>
        <w:t>年版）》</w:t>
      </w:r>
      <w:r>
        <w:rPr>
          <w:rFonts w:ascii="Times New Roman" w:eastAsia="仿宋" w:hAnsi="Times New Roman" w:cs="Times New Roman"/>
          <w:sz w:val="28"/>
          <w:szCs w:val="28"/>
          <w:vertAlign w:val="superscript"/>
        </w:rPr>
        <w:t>[10]</w:t>
      </w:r>
      <w:r>
        <w:rPr>
          <w:rFonts w:ascii="Times New Roman" w:eastAsia="仿宋" w:hAnsi="Times New Roman" w:cs="Times New Roman"/>
          <w:sz w:val="28"/>
          <w:szCs w:val="28"/>
        </w:rPr>
        <w:t>对</w:t>
      </w:r>
      <w:r>
        <w:rPr>
          <w:rFonts w:ascii="Times New Roman" w:eastAsia="仿宋" w:hAnsi="Times New Roman" w:cs="Times New Roman"/>
          <w:sz w:val="28"/>
          <w:szCs w:val="28"/>
        </w:rPr>
        <w:t>4</w:t>
      </w:r>
      <w:r>
        <w:rPr>
          <w:rFonts w:ascii="Times New Roman" w:eastAsia="仿宋" w:hAnsi="Times New Roman" w:cs="Times New Roman"/>
          <w:sz w:val="28"/>
          <w:szCs w:val="28"/>
        </w:rPr>
        <w:t>个药品均为</w:t>
      </w:r>
      <w:r>
        <w:rPr>
          <w:rFonts w:ascii="Times New Roman" w:eastAsia="仿宋" w:hAnsi="Times New Roman" w:cs="Times New Roman"/>
          <w:sz w:val="28"/>
          <w:szCs w:val="28"/>
        </w:rPr>
        <w:t>I</w:t>
      </w:r>
      <w:r>
        <w:rPr>
          <w:rFonts w:ascii="Times New Roman" w:eastAsia="仿宋" w:hAnsi="Times New Roman" w:cs="Times New Roman"/>
          <w:sz w:val="28"/>
          <w:szCs w:val="28"/>
        </w:rPr>
        <w:t>级推荐、</w:t>
      </w:r>
      <w:r>
        <w:rPr>
          <w:rFonts w:ascii="Times New Roman" w:eastAsia="仿宋" w:hAnsi="Times New Roman" w:cs="Times New Roman"/>
          <w:sz w:val="28"/>
          <w:szCs w:val="28"/>
        </w:rPr>
        <w:t>A</w:t>
      </w:r>
      <w:r>
        <w:rPr>
          <w:rFonts w:ascii="Times New Roman" w:eastAsia="仿宋" w:hAnsi="Times New Roman" w:cs="Times New Roman"/>
          <w:sz w:val="28"/>
          <w:szCs w:val="28"/>
        </w:rPr>
        <w:t>级证据，因此</w:t>
      </w:r>
      <w:r>
        <w:rPr>
          <w:rFonts w:ascii="Times New Roman" w:eastAsia="仿宋" w:hAnsi="Times New Roman" w:cs="Times New Roman"/>
          <w:sz w:val="28"/>
          <w:szCs w:val="28"/>
        </w:rPr>
        <w:t>4</w:t>
      </w:r>
      <w:r>
        <w:rPr>
          <w:rFonts w:ascii="Times New Roman" w:eastAsia="仿宋" w:hAnsi="Times New Roman" w:cs="Times New Roman"/>
          <w:sz w:val="28"/>
          <w:szCs w:val="28"/>
        </w:rPr>
        <w:t>个药品均得</w:t>
      </w:r>
      <w:r>
        <w:rPr>
          <w:rFonts w:ascii="Times New Roman" w:eastAsia="仿宋" w:hAnsi="Times New Roman" w:cs="Times New Roman"/>
          <w:sz w:val="28"/>
          <w:szCs w:val="28"/>
        </w:rPr>
        <w:t>17</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2.2</w:t>
      </w:r>
      <w:r>
        <w:rPr>
          <w:rFonts w:ascii="Times New Roman" w:eastAsia="仿宋" w:hAnsi="Times New Roman" w:cs="Times New Roman"/>
          <w:sz w:val="28"/>
          <w:szCs w:val="28"/>
        </w:rPr>
        <w:t>心肾获益证据</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近年来，</w:t>
      </w:r>
      <w:r>
        <w:rPr>
          <w:rFonts w:ascii="Times New Roman" w:eastAsia="仿宋" w:hAnsi="Times New Roman" w:cs="Times New Roman"/>
          <w:sz w:val="28"/>
          <w:szCs w:val="28"/>
        </w:rPr>
        <w:t>SGLT2</w:t>
      </w:r>
      <w:r>
        <w:rPr>
          <w:rFonts w:ascii="Times New Roman" w:eastAsia="仿宋" w:hAnsi="Times New Roman" w:cs="Times New Roman"/>
          <w:sz w:val="28"/>
          <w:szCs w:val="28"/>
        </w:rPr>
        <w:t>抑制剂开展了一系列大型</w:t>
      </w:r>
      <w:r>
        <w:rPr>
          <w:rFonts w:ascii="Times New Roman" w:eastAsia="仿宋" w:hAnsi="Times New Roman" w:cs="Times New Roman"/>
          <w:sz w:val="28"/>
          <w:szCs w:val="28"/>
        </w:rPr>
        <w:t>CVOT</w:t>
      </w:r>
      <w:r>
        <w:rPr>
          <w:rFonts w:ascii="Times New Roman" w:eastAsia="仿宋" w:hAnsi="Times New Roman" w:cs="Times New Roman"/>
          <w:sz w:val="28"/>
          <w:szCs w:val="28"/>
        </w:rPr>
        <w:t>及</w:t>
      </w:r>
      <w:r>
        <w:rPr>
          <w:rFonts w:ascii="Times New Roman" w:eastAsia="仿宋" w:hAnsi="Times New Roman" w:cs="Times New Roman"/>
          <w:sz w:val="28"/>
          <w:szCs w:val="28"/>
        </w:rPr>
        <w:t>ROT</w:t>
      </w:r>
      <w:r>
        <w:rPr>
          <w:rFonts w:ascii="Times New Roman" w:eastAsia="仿宋" w:hAnsi="Times New Roman" w:cs="Times New Roman"/>
          <w:sz w:val="28"/>
          <w:szCs w:val="28"/>
        </w:rPr>
        <w:t>的研究，其中主要获益证据包括：（</w:t>
      </w:r>
      <w:r>
        <w:rPr>
          <w:rFonts w:ascii="Times New Roman" w:eastAsia="仿宋" w:hAnsi="Times New Roman" w:cs="Times New Roman"/>
          <w:sz w:val="28"/>
          <w:szCs w:val="28"/>
        </w:rPr>
        <w:t>1</w:t>
      </w:r>
      <w:r>
        <w:rPr>
          <w:rFonts w:ascii="Times New Roman" w:eastAsia="仿宋" w:hAnsi="Times New Roman" w:cs="Times New Roman"/>
          <w:sz w:val="28"/>
          <w:szCs w:val="28"/>
        </w:rPr>
        <w:t>）主要心血管不良事件（</w:t>
      </w:r>
      <w:r>
        <w:rPr>
          <w:rFonts w:ascii="Times New Roman" w:eastAsia="仿宋" w:hAnsi="Times New Roman" w:cs="Times New Roman"/>
          <w:sz w:val="28"/>
          <w:szCs w:val="28"/>
        </w:rPr>
        <w:t>MACE</w:t>
      </w:r>
      <w:r>
        <w:rPr>
          <w:rFonts w:ascii="Times New Roman" w:eastAsia="仿宋" w:hAnsi="Times New Roman" w:cs="Times New Roman"/>
          <w:sz w:val="28"/>
          <w:szCs w:val="28"/>
        </w:rPr>
        <w:t>）终点：恩格列净和卡格列净使</w:t>
      </w:r>
      <w:r>
        <w:rPr>
          <w:rFonts w:ascii="Times New Roman" w:eastAsia="仿宋" w:hAnsi="Times New Roman" w:cs="Times New Roman"/>
          <w:sz w:val="28"/>
          <w:szCs w:val="28"/>
        </w:rPr>
        <w:t>MACE</w:t>
      </w:r>
      <w:r>
        <w:rPr>
          <w:rFonts w:ascii="Times New Roman" w:eastAsia="仿宋" w:hAnsi="Times New Roman" w:cs="Times New Roman"/>
          <w:sz w:val="28"/>
          <w:szCs w:val="28"/>
        </w:rPr>
        <w:t>（心血管死亡、非致死性心肌梗死、非致死性卒中）风险降低</w:t>
      </w:r>
      <w:r>
        <w:rPr>
          <w:rFonts w:ascii="Times New Roman" w:eastAsia="仿宋" w:hAnsi="Times New Roman" w:cs="Times New Roman"/>
          <w:sz w:val="28"/>
          <w:szCs w:val="28"/>
        </w:rPr>
        <w:t>14%</w:t>
      </w:r>
      <w:r>
        <w:rPr>
          <w:rFonts w:ascii="Times New Roman" w:eastAsia="仿宋" w:hAnsi="Times New Roman" w:cs="Times New Roman"/>
          <w:sz w:val="28"/>
          <w:szCs w:val="28"/>
          <w:vertAlign w:val="superscript"/>
        </w:rPr>
        <w:t>[11</w:t>
      </w:r>
      <w:r>
        <w:rPr>
          <w:rFonts w:ascii="Times New Roman" w:eastAsia="仿宋" w:hAnsi="Times New Roman" w:cs="Times New Roman" w:hint="eastAsia"/>
          <w:sz w:val="28"/>
          <w:szCs w:val="28"/>
          <w:vertAlign w:val="superscript"/>
        </w:rPr>
        <w:t>-</w:t>
      </w:r>
      <w:r>
        <w:rPr>
          <w:rFonts w:ascii="Times New Roman" w:eastAsia="仿宋" w:hAnsi="Times New Roman" w:cs="Times New Roman"/>
          <w:sz w:val="28"/>
          <w:szCs w:val="28"/>
          <w:vertAlign w:val="superscript"/>
        </w:rPr>
        <w:t>12]</w:t>
      </w:r>
      <w:r>
        <w:rPr>
          <w:rFonts w:ascii="Times New Roman" w:eastAsia="仿宋" w:hAnsi="Times New Roman" w:cs="Times New Roman"/>
          <w:sz w:val="28"/>
          <w:szCs w:val="28"/>
        </w:rPr>
        <w:t>。（</w:t>
      </w:r>
      <w:r>
        <w:rPr>
          <w:rFonts w:ascii="Times New Roman" w:eastAsia="仿宋" w:hAnsi="Times New Roman" w:cs="Times New Roman"/>
          <w:sz w:val="28"/>
          <w:szCs w:val="28"/>
        </w:rPr>
        <w:t>2</w:t>
      </w:r>
      <w:r>
        <w:rPr>
          <w:rFonts w:ascii="Times New Roman" w:eastAsia="仿宋" w:hAnsi="Times New Roman" w:cs="Times New Roman"/>
          <w:sz w:val="28"/>
          <w:szCs w:val="28"/>
        </w:rPr>
        <w:t>）心力衰竭住院终点：恩格列净、卡格列净、达格列净和艾托格列净均有效降低</w:t>
      </w:r>
      <w:r>
        <w:rPr>
          <w:rFonts w:ascii="Times New Roman" w:eastAsia="仿宋" w:hAnsi="Times New Roman" w:cs="Times New Roman"/>
          <w:sz w:val="28"/>
          <w:szCs w:val="28"/>
        </w:rPr>
        <w:t>T2DM</w:t>
      </w:r>
      <w:r>
        <w:rPr>
          <w:rFonts w:ascii="Times New Roman" w:eastAsia="仿宋" w:hAnsi="Times New Roman" w:cs="Times New Roman"/>
          <w:sz w:val="28"/>
          <w:szCs w:val="28"/>
        </w:rPr>
        <w:t>患者的心力衰竭住院风险</w:t>
      </w:r>
      <w:r>
        <w:rPr>
          <w:rFonts w:ascii="Times New Roman" w:eastAsia="仿宋" w:hAnsi="Times New Roman" w:cs="Times New Roman"/>
          <w:sz w:val="28"/>
          <w:szCs w:val="28"/>
          <w:vertAlign w:val="superscript"/>
        </w:rPr>
        <w:t>[11-14]</w:t>
      </w:r>
      <w:r>
        <w:rPr>
          <w:rFonts w:ascii="Times New Roman" w:eastAsia="仿宋" w:hAnsi="Times New Roman" w:cs="Times New Roman"/>
          <w:sz w:val="28"/>
          <w:szCs w:val="28"/>
        </w:rPr>
        <w:t>。（</w:t>
      </w:r>
      <w:r>
        <w:rPr>
          <w:rFonts w:ascii="Times New Roman" w:eastAsia="仿宋" w:hAnsi="Times New Roman" w:cs="Times New Roman"/>
          <w:sz w:val="28"/>
          <w:szCs w:val="28"/>
        </w:rPr>
        <w:t>3</w:t>
      </w:r>
      <w:r>
        <w:rPr>
          <w:rFonts w:ascii="Times New Roman" w:eastAsia="仿宋" w:hAnsi="Times New Roman" w:cs="Times New Roman"/>
          <w:sz w:val="28"/>
          <w:szCs w:val="28"/>
        </w:rPr>
        <w:t>）肾</w:t>
      </w:r>
      <w:r>
        <w:rPr>
          <w:rFonts w:ascii="Times New Roman" w:eastAsia="仿宋" w:hAnsi="Times New Roman" w:cs="Times New Roman"/>
          <w:sz w:val="28"/>
          <w:szCs w:val="28"/>
        </w:rPr>
        <w:t>脏结局终点：卡格列净降低肾脏主要终点（终末期肾病、血清肌酐倍增、肾脏或心血管死亡）风险达</w:t>
      </w:r>
      <w:r>
        <w:rPr>
          <w:rFonts w:ascii="Times New Roman" w:eastAsia="仿宋" w:hAnsi="Times New Roman" w:cs="Times New Roman"/>
          <w:sz w:val="28"/>
          <w:szCs w:val="28"/>
        </w:rPr>
        <w:t>30%</w:t>
      </w:r>
      <w:r>
        <w:rPr>
          <w:rFonts w:ascii="Times New Roman" w:eastAsia="仿宋" w:hAnsi="Times New Roman" w:cs="Times New Roman"/>
          <w:sz w:val="28"/>
          <w:szCs w:val="28"/>
          <w:vertAlign w:val="superscript"/>
        </w:rPr>
        <w:t>[15]</w:t>
      </w:r>
      <w:r>
        <w:rPr>
          <w:rFonts w:ascii="Times New Roman" w:eastAsia="仿宋" w:hAnsi="Times New Roman" w:cs="Times New Roman"/>
          <w:sz w:val="28"/>
          <w:szCs w:val="28"/>
        </w:rPr>
        <w:t>；达格列净使主要终点（</w:t>
      </w:r>
      <w:r>
        <w:rPr>
          <w:rFonts w:ascii="Times New Roman" w:eastAsia="仿宋" w:hAnsi="Times New Roman" w:cs="Times New Roman"/>
          <w:sz w:val="28"/>
          <w:szCs w:val="28"/>
        </w:rPr>
        <w:t>eGFR</w:t>
      </w:r>
      <w:r>
        <w:rPr>
          <w:rFonts w:ascii="Times New Roman" w:eastAsia="仿宋" w:hAnsi="Times New Roman" w:cs="Times New Roman"/>
          <w:sz w:val="28"/>
          <w:szCs w:val="28"/>
        </w:rPr>
        <w:t>下降</w:t>
      </w:r>
      <w:r>
        <w:rPr>
          <w:rFonts w:ascii="Times New Roman" w:eastAsia="仿宋" w:hAnsi="Times New Roman" w:cs="Times New Roman"/>
          <w:sz w:val="28"/>
          <w:szCs w:val="28"/>
        </w:rPr>
        <w:t>≥50%</w:t>
      </w:r>
      <w:r>
        <w:rPr>
          <w:rFonts w:ascii="Times New Roman" w:eastAsia="仿宋" w:hAnsi="Times New Roman" w:cs="Times New Roman"/>
          <w:sz w:val="28"/>
          <w:szCs w:val="28"/>
        </w:rPr>
        <w:t>、终末期肾病或因肾衰竭死亡）风险降低</w:t>
      </w:r>
      <w:r>
        <w:rPr>
          <w:rFonts w:ascii="Times New Roman" w:eastAsia="仿宋" w:hAnsi="Times New Roman" w:cs="Times New Roman"/>
          <w:sz w:val="28"/>
          <w:szCs w:val="28"/>
        </w:rPr>
        <w:t>39%</w:t>
      </w:r>
      <w:r>
        <w:rPr>
          <w:rFonts w:ascii="Times New Roman" w:eastAsia="仿宋" w:hAnsi="Times New Roman" w:cs="Times New Roman"/>
          <w:sz w:val="28"/>
          <w:szCs w:val="28"/>
          <w:vertAlign w:val="superscript"/>
        </w:rPr>
        <w:t>[16]</w:t>
      </w:r>
      <w:r>
        <w:rPr>
          <w:rFonts w:ascii="Times New Roman" w:eastAsia="仿宋" w:hAnsi="Times New Roman" w:cs="Times New Roman"/>
          <w:sz w:val="28"/>
          <w:szCs w:val="28"/>
        </w:rPr>
        <w:t>。综上，卡格列净得</w:t>
      </w:r>
      <w:r>
        <w:rPr>
          <w:rFonts w:ascii="Times New Roman" w:eastAsia="仿宋" w:hAnsi="Times New Roman" w:cs="Times New Roman"/>
          <w:sz w:val="28"/>
          <w:szCs w:val="28"/>
        </w:rPr>
        <w:t>3</w:t>
      </w:r>
      <w:r>
        <w:rPr>
          <w:rFonts w:ascii="Times New Roman" w:eastAsia="仿宋" w:hAnsi="Times New Roman" w:cs="Times New Roman"/>
          <w:sz w:val="28"/>
          <w:szCs w:val="28"/>
        </w:rPr>
        <w:t>分，达格列净、恩格列净得</w:t>
      </w:r>
      <w:r>
        <w:rPr>
          <w:rFonts w:ascii="Times New Roman" w:eastAsia="仿宋" w:hAnsi="Times New Roman" w:cs="Times New Roman"/>
          <w:sz w:val="28"/>
          <w:szCs w:val="28"/>
        </w:rPr>
        <w:t>2</w:t>
      </w:r>
      <w:r>
        <w:rPr>
          <w:rFonts w:ascii="Times New Roman" w:eastAsia="仿宋" w:hAnsi="Times New Roman" w:cs="Times New Roman"/>
          <w:sz w:val="28"/>
          <w:szCs w:val="28"/>
        </w:rPr>
        <w:t>分，艾托格列净得</w:t>
      </w:r>
      <w:r>
        <w:rPr>
          <w:rFonts w:ascii="Times New Roman" w:eastAsia="仿宋" w:hAnsi="Times New Roman" w:cs="Times New Roman"/>
          <w:sz w:val="28"/>
          <w:szCs w:val="28"/>
        </w:rPr>
        <w:t>1</w:t>
      </w:r>
      <w:r>
        <w:rPr>
          <w:rFonts w:ascii="Times New Roman" w:eastAsia="仿宋" w:hAnsi="Times New Roman" w:cs="Times New Roman"/>
          <w:sz w:val="28"/>
          <w:szCs w:val="28"/>
        </w:rPr>
        <w:t>分。具体打分情况见表</w:t>
      </w:r>
      <w:r>
        <w:rPr>
          <w:rFonts w:ascii="Times New Roman" w:eastAsia="仿宋" w:hAnsi="Times New Roman" w:cs="Times New Roman"/>
          <w:sz w:val="28"/>
          <w:szCs w:val="28"/>
        </w:rPr>
        <w:t>4</w:t>
      </w:r>
      <w:r>
        <w:rPr>
          <w:rFonts w:ascii="Times New Roman" w:eastAsia="仿宋" w:hAnsi="Times New Roman" w:cs="Times New Roman"/>
          <w:sz w:val="28"/>
          <w:szCs w:val="28"/>
        </w:rPr>
        <w:t>。</w:t>
      </w:r>
    </w:p>
    <w:p w:rsidR="00C96FF8" w:rsidRDefault="00DD68D6">
      <w:pPr>
        <w:ind w:firstLineChars="200" w:firstLine="480"/>
        <w:jc w:val="center"/>
        <w:rPr>
          <w:rFonts w:ascii="Times New Roman" w:eastAsia="仿宋" w:hAnsi="Times New Roman" w:cs="Times New Roman"/>
          <w:sz w:val="24"/>
          <w:szCs w:val="24"/>
        </w:rPr>
      </w:pPr>
      <w:r>
        <w:rPr>
          <w:rFonts w:ascii="Times New Roman" w:eastAsia="仿宋" w:hAnsi="Times New Roman" w:cs="Times New Roman"/>
          <w:sz w:val="24"/>
          <w:szCs w:val="24"/>
        </w:rPr>
        <w:t>表</w:t>
      </w:r>
      <w:r>
        <w:rPr>
          <w:rFonts w:ascii="Times New Roman" w:eastAsia="仿宋" w:hAnsi="Times New Roman" w:cs="Times New Roman"/>
          <w:sz w:val="24"/>
          <w:szCs w:val="24"/>
        </w:rPr>
        <w:t>4 SGLT-2</w:t>
      </w:r>
      <w:r>
        <w:rPr>
          <w:rFonts w:ascii="Times New Roman" w:eastAsia="仿宋" w:hAnsi="Times New Roman" w:cs="Times New Roman"/>
          <w:sz w:val="24"/>
          <w:szCs w:val="24"/>
        </w:rPr>
        <w:t>抑制剂有效性评分</w:t>
      </w:r>
    </w:p>
    <w:tbl>
      <w:tblPr>
        <w:tblW w:w="9782"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1703"/>
        <w:gridCol w:w="2410"/>
        <w:gridCol w:w="1202"/>
        <w:gridCol w:w="1134"/>
        <w:gridCol w:w="993"/>
        <w:gridCol w:w="1134"/>
        <w:gridCol w:w="1206"/>
      </w:tblGrid>
      <w:tr w:rsidR="00C96FF8">
        <w:trPr>
          <w:trHeight w:val="591"/>
          <w:jc w:val="center"/>
        </w:trPr>
        <w:tc>
          <w:tcPr>
            <w:tcW w:w="4113" w:type="dxa"/>
            <w:gridSpan w:val="2"/>
            <w:tcBorders>
              <w:top w:val="single" w:sz="4" w:space="0" w:color="auto"/>
              <w:bottom w:val="single" w:sz="4" w:space="0" w:color="auto"/>
            </w:tcBorders>
            <w:shd w:val="clear" w:color="auto" w:fill="FFFFFF" w:themeFill="background1"/>
            <w:tcMar>
              <w:top w:w="10" w:type="dxa"/>
              <w:left w:w="10" w:type="dxa"/>
              <w:bottom w:w="0" w:type="dxa"/>
              <w:right w:w="10" w:type="dxa"/>
            </w:tcMar>
            <w:vAlign w:val="bottom"/>
          </w:tcPr>
          <w:p w:rsidR="00C96FF8" w:rsidRDefault="00DD68D6">
            <w:pPr>
              <w:jc w:val="left"/>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有效性（</w:t>
            </w:r>
            <w:r>
              <w:rPr>
                <w:rFonts w:ascii="Times New Roman" w:eastAsia="仿宋" w:hAnsi="Times New Roman" w:cs="Times New Roman"/>
                <w:b/>
                <w:bCs/>
                <w:color w:val="000000"/>
                <w:kern w:val="24"/>
                <w:sz w:val="24"/>
                <w:szCs w:val="24"/>
              </w:rPr>
              <w:t>20</w:t>
            </w:r>
            <w:r>
              <w:rPr>
                <w:rFonts w:ascii="Times New Roman" w:eastAsia="仿宋" w:hAnsi="Times New Roman" w:cs="Times New Roman"/>
                <w:b/>
                <w:bCs/>
                <w:color w:val="000000"/>
                <w:kern w:val="24"/>
                <w:sz w:val="24"/>
                <w:szCs w:val="24"/>
              </w:rPr>
              <w:t>分）</w:t>
            </w:r>
          </w:p>
        </w:tc>
        <w:tc>
          <w:tcPr>
            <w:tcW w:w="1202"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b/>
                <w:bCs/>
                <w:kern w:val="0"/>
                <w:sz w:val="24"/>
                <w:szCs w:val="24"/>
              </w:rPr>
            </w:pPr>
            <w:r>
              <w:rPr>
                <w:rFonts w:ascii="Times New Roman" w:eastAsia="仿宋" w:hAnsi="Times New Roman" w:cs="Times New Roman"/>
                <w:b/>
                <w:bCs/>
                <w:color w:val="000000"/>
                <w:kern w:val="24"/>
                <w:sz w:val="24"/>
                <w:szCs w:val="24"/>
              </w:rPr>
              <w:t>评分标准</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b/>
                <w:bCs/>
                <w:kern w:val="0"/>
                <w:sz w:val="24"/>
                <w:szCs w:val="24"/>
              </w:rPr>
            </w:pPr>
            <w:r>
              <w:rPr>
                <w:rFonts w:ascii="Times New Roman" w:eastAsia="仿宋" w:hAnsi="Times New Roman" w:cs="Times New Roman"/>
                <w:b/>
                <w:bCs/>
                <w:szCs w:val="21"/>
              </w:rPr>
              <w:t>达格列净</w:t>
            </w:r>
          </w:p>
        </w:tc>
        <w:tc>
          <w:tcPr>
            <w:tcW w:w="993"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b/>
                <w:bCs/>
                <w:kern w:val="0"/>
                <w:sz w:val="24"/>
                <w:szCs w:val="24"/>
              </w:rPr>
            </w:pPr>
            <w:r>
              <w:rPr>
                <w:rFonts w:ascii="Times New Roman" w:eastAsia="仿宋" w:hAnsi="Times New Roman" w:cs="Times New Roman"/>
                <w:b/>
                <w:bCs/>
                <w:szCs w:val="21"/>
              </w:rPr>
              <w:t>恩格列净</w:t>
            </w:r>
          </w:p>
        </w:tc>
        <w:tc>
          <w:tcPr>
            <w:tcW w:w="1134"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b/>
                <w:bCs/>
                <w:kern w:val="0"/>
                <w:sz w:val="24"/>
                <w:szCs w:val="24"/>
              </w:rPr>
            </w:pPr>
            <w:r>
              <w:rPr>
                <w:rFonts w:ascii="Times New Roman" w:eastAsia="仿宋" w:hAnsi="Times New Roman" w:cs="Times New Roman"/>
                <w:b/>
                <w:bCs/>
                <w:szCs w:val="21"/>
              </w:rPr>
              <w:t>卡格列净</w:t>
            </w:r>
          </w:p>
        </w:tc>
        <w:tc>
          <w:tcPr>
            <w:tcW w:w="1206" w:type="dxa"/>
            <w:tcBorders>
              <w:top w:val="single" w:sz="4" w:space="0" w:color="auto"/>
              <w:bottom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b/>
                <w:bCs/>
                <w:kern w:val="0"/>
                <w:sz w:val="24"/>
                <w:szCs w:val="24"/>
              </w:rPr>
            </w:pPr>
            <w:r>
              <w:rPr>
                <w:rFonts w:ascii="Times New Roman" w:eastAsia="仿宋" w:hAnsi="Times New Roman" w:cs="Times New Roman"/>
                <w:b/>
                <w:bCs/>
                <w:szCs w:val="21"/>
              </w:rPr>
              <w:t>艾托格列净</w:t>
            </w:r>
          </w:p>
        </w:tc>
      </w:tr>
      <w:tr w:rsidR="00C96FF8">
        <w:trPr>
          <w:trHeight w:val="563"/>
          <w:jc w:val="center"/>
        </w:trPr>
        <w:tc>
          <w:tcPr>
            <w:tcW w:w="1703" w:type="dxa"/>
            <w:tcBorders>
              <w:top w:val="single" w:sz="4" w:space="0" w:color="auto"/>
            </w:tcBorders>
            <w:shd w:val="clear" w:color="auto" w:fill="FFFFFF" w:themeFill="background1"/>
            <w:tcMar>
              <w:top w:w="10" w:type="dxa"/>
              <w:left w:w="10" w:type="dxa"/>
              <w:bottom w:w="0" w:type="dxa"/>
              <w:right w:w="10" w:type="dxa"/>
            </w:tcMar>
          </w:tcPr>
          <w:p w:rsidR="00C96FF8" w:rsidRDefault="00DD68D6">
            <w:pPr>
              <w:jc w:val="left"/>
              <w:textAlignment w:val="bottom"/>
              <w:rPr>
                <w:rFonts w:ascii="Times New Roman" w:eastAsia="仿宋" w:hAnsi="Times New Roman" w:cs="Times New Roman"/>
                <w:bCs/>
                <w:kern w:val="0"/>
                <w:sz w:val="24"/>
                <w:szCs w:val="24"/>
              </w:rPr>
            </w:pPr>
            <w:r>
              <w:rPr>
                <w:rFonts w:ascii="Times New Roman" w:eastAsia="仿宋" w:hAnsi="Times New Roman" w:cs="Times New Roman"/>
                <w:kern w:val="0"/>
                <w:sz w:val="24"/>
                <w:szCs w:val="24"/>
              </w:rPr>
              <w:t>权威资料推荐</w:t>
            </w:r>
          </w:p>
        </w:tc>
        <w:tc>
          <w:tcPr>
            <w:tcW w:w="2410" w:type="dxa"/>
            <w:tcBorders>
              <w:top w:val="single" w:sz="4" w:space="0" w:color="auto"/>
            </w:tcBorders>
            <w:shd w:val="clear" w:color="auto" w:fill="FFFFFF" w:themeFill="background1"/>
          </w:tcPr>
          <w:p w:rsidR="00C96FF8" w:rsidRDefault="00DD68D6">
            <w:pPr>
              <w:jc w:val="left"/>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kern w:val="24"/>
                <w:sz w:val="24"/>
                <w:szCs w:val="24"/>
              </w:rPr>
              <w:t>诊疗规范推荐</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国家卫生行政部门）</w:t>
            </w:r>
          </w:p>
        </w:tc>
        <w:tc>
          <w:tcPr>
            <w:tcW w:w="1202" w:type="dxa"/>
            <w:tcBorders>
              <w:top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17</w:t>
            </w:r>
          </w:p>
        </w:tc>
        <w:tc>
          <w:tcPr>
            <w:tcW w:w="1134" w:type="dxa"/>
            <w:tcBorders>
              <w:top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17</w:t>
            </w:r>
          </w:p>
        </w:tc>
        <w:tc>
          <w:tcPr>
            <w:tcW w:w="993" w:type="dxa"/>
            <w:tcBorders>
              <w:top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17</w:t>
            </w:r>
          </w:p>
        </w:tc>
        <w:tc>
          <w:tcPr>
            <w:tcW w:w="1134" w:type="dxa"/>
            <w:tcBorders>
              <w:top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17</w:t>
            </w:r>
          </w:p>
        </w:tc>
        <w:tc>
          <w:tcPr>
            <w:tcW w:w="1206" w:type="dxa"/>
            <w:tcBorders>
              <w:top w:val="single" w:sz="4" w:space="0" w:color="auto"/>
            </w:tcBorders>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17</w:t>
            </w:r>
          </w:p>
        </w:tc>
      </w:tr>
      <w:tr w:rsidR="00C96FF8">
        <w:trPr>
          <w:trHeight w:val="563"/>
          <w:jc w:val="center"/>
        </w:trPr>
        <w:tc>
          <w:tcPr>
            <w:tcW w:w="1703" w:type="dxa"/>
            <w:shd w:val="clear" w:color="auto" w:fill="FFFFFF" w:themeFill="background1"/>
            <w:tcMar>
              <w:top w:w="10" w:type="dxa"/>
              <w:left w:w="10" w:type="dxa"/>
              <w:bottom w:w="0" w:type="dxa"/>
              <w:right w:w="10" w:type="dxa"/>
            </w:tcMar>
          </w:tcPr>
          <w:p w:rsidR="00C96FF8" w:rsidRDefault="00C96FF8">
            <w:pPr>
              <w:jc w:val="left"/>
              <w:textAlignment w:val="bottom"/>
              <w:rPr>
                <w:rFonts w:ascii="Times New Roman" w:eastAsia="仿宋" w:hAnsi="Times New Roman" w:cs="Times New Roman"/>
                <w:bCs/>
                <w:kern w:val="0"/>
                <w:sz w:val="24"/>
                <w:szCs w:val="24"/>
              </w:rPr>
            </w:pPr>
          </w:p>
        </w:tc>
        <w:tc>
          <w:tcPr>
            <w:tcW w:w="2410" w:type="dxa"/>
            <w:shd w:val="clear" w:color="auto" w:fill="FFFFFF" w:themeFill="background1"/>
          </w:tcPr>
          <w:p w:rsidR="00C96FF8" w:rsidRDefault="00DD68D6">
            <w:pPr>
              <w:jc w:val="left"/>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kern w:val="24"/>
                <w:sz w:val="24"/>
                <w:szCs w:val="24"/>
              </w:rPr>
              <w:t>指南Ｉ级推荐（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15</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14</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13</w:t>
            </w: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12</w:t>
            </w:r>
            <w:r>
              <w:rPr>
                <w:rFonts w:ascii="Times New Roman" w:eastAsia="仿宋" w:hAnsi="Times New Roman" w:cs="Times New Roman"/>
                <w:kern w:val="24"/>
                <w:sz w:val="24"/>
                <w:szCs w:val="24"/>
              </w:rPr>
              <w:t>）</w:t>
            </w:r>
          </w:p>
        </w:tc>
        <w:tc>
          <w:tcPr>
            <w:tcW w:w="1202"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15</w:t>
            </w: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993"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206"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703" w:type="dxa"/>
            <w:shd w:val="clear" w:color="auto" w:fill="FFFFFF" w:themeFill="background1"/>
            <w:tcMar>
              <w:top w:w="10" w:type="dxa"/>
              <w:left w:w="10" w:type="dxa"/>
              <w:bottom w:w="0" w:type="dxa"/>
              <w:right w:w="10" w:type="dxa"/>
            </w:tcMar>
          </w:tcPr>
          <w:p w:rsidR="00C96FF8" w:rsidRDefault="00C96FF8">
            <w:pPr>
              <w:jc w:val="left"/>
              <w:textAlignment w:val="bottom"/>
              <w:rPr>
                <w:rFonts w:ascii="Times New Roman" w:eastAsia="仿宋" w:hAnsi="Times New Roman" w:cs="Times New Roman"/>
                <w:bCs/>
                <w:kern w:val="0"/>
                <w:sz w:val="24"/>
                <w:szCs w:val="24"/>
              </w:rPr>
            </w:pPr>
          </w:p>
        </w:tc>
        <w:tc>
          <w:tcPr>
            <w:tcW w:w="2410" w:type="dxa"/>
            <w:shd w:val="clear" w:color="auto" w:fill="FFFFFF" w:themeFill="background1"/>
          </w:tcPr>
          <w:p w:rsidR="00C96FF8" w:rsidRDefault="00DD68D6">
            <w:pPr>
              <w:jc w:val="left"/>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kern w:val="24"/>
                <w:sz w:val="24"/>
                <w:szCs w:val="24"/>
              </w:rPr>
              <w:t>指南</w:t>
            </w:r>
            <w:r>
              <w:rPr>
                <w:rFonts w:ascii="Times New Roman" w:eastAsia="仿宋" w:hAnsi="Times New Roman" w:cs="Times New Roman"/>
                <w:kern w:val="24"/>
                <w:sz w:val="24"/>
                <w:szCs w:val="24"/>
              </w:rPr>
              <w:t>Ⅱ</w:t>
            </w:r>
            <w:r>
              <w:rPr>
                <w:rFonts w:ascii="Times New Roman" w:eastAsia="仿宋" w:hAnsi="Times New Roman" w:cs="Times New Roman"/>
                <w:kern w:val="24"/>
                <w:sz w:val="24"/>
                <w:szCs w:val="24"/>
              </w:rPr>
              <w:t>级及以下推荐（</w:t>
            </w:r>
            <w:r>
              <w:rPr>
                <w:rFonts w:ascii="Times New Roman" w:eastAsia="仿宋" w:hAnsi="Times New Roman" w:cs="Times New Roman"/>
                <w:kern w:val="24"/>
                <w:sz w:val="24"/>
                <w:szCs w:val="24"/>
              </w:rPr>
              <w:t>A</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11</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B</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10</w:t>
            </w:r>
            <w:r>
              <w:rPr>
                <w:rFonts w:ascii="Times New Roman" w:eastAsia="仿宋" w:hAnsi="Times New Roman" w:cs="Times New Roman"/>
                <w:kern w:val="24"/>
                <w:sz w:val="24"/>
                <w:szCs w:val="24"/>
              </w:rPr>
              <w:t>，</w:t>
            </w:r>
            <w:r>
              <w:rPr>
                <w:rFonts w:ascii="Times New Roman" w:eastAsia="仿宋" w:hAnsi="Times New Roman" w:cs="Times New Roman"/>
                <w:kern w:val="24"/>
                <w:sz w:val="24"/>
                <w:szCs w:val="24"/>
              </w:rPr>
              <w:t>C</w:t>
            </w:r>
            <w:r>
              <w:rPr>
                <w:rFonts w:ascii="Times New Roman" w:eastAsia="仿宋" w:hAnsi="Times New Roman" w:cs="Times New Roman"/>
                <w:kern w:val="24"/>
                <w:sz w:val="24"/>
                <w:szCs w:val="24"/>
              </w:rPr>
              <w:t>级证据</w:t>
            </w:r>
            <w:r>
              <w:rPr>
                <w:rFonts w:ascii="Times New Roman" w:eastAsia="仿宋" w:hAnsi="Times New Roman" w:cs="Times New Roman"/>
                <w:kern w:val="24"/>
                <w:sz w:val="24"/>
                <w:szCs w:val="24"/>
              </w:rPr>
              <w:t>9</w:t>
            </w:r>
            <w:r>
              <w:rPr>
                <w:rFonts w:ascii="Times New Roman" w:eastAsia="仿宋" w:hAnsi="Times New Roman" w:cs="Times New Roman"/>
                <w:kern w:val="24"/>
                <w:sz w:val="24"/>
                <w:szCs w:val="24"/>
              </w:rPr>
              <w:t>，其他</w:t>
            </w:r>
            <w:r>
              <w:rPr>
                <w:rFonts w:ascii="Times New Roman" w:eastAsia="仿宋" w:hAnsi="Times New Roman" w:cs="Times New Roman"/>
                <w:kern w:val="24"/>
                <w:sz w:val="24"/>
                <w:szCs w:val="24"/>
              </w:rPr>
              <w:t>8</w:t>
            </w:r>
            <w:r>
              <w:rPr>
                <w:rFonts w:ascii="Times New Roman" w:eastAsia="仿宋" w:hAnsi="Times New Roman" w:cs="Times New Roman"/>
                <w:kern w:val="24"/>
                <w:sz w:val="24"/>
                <w:szCs w:val="24"/>
              </w:rPr>
              <w:t>）</w:t>
            </w:r>
          </w:p>
        </w:tc>
        <w:tc>
          <w:tcPr>
            <w:tcW w:w="1202"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11</w:t>
            </w: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993"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206"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703" w:type="dxa"/>
            <w:shd w:val="clear" w:color="auto" w:fill="FFFFFF" w:themeFill="background1"/>
            <w:tcMar>
              <w:top w:w="10" w:type="dxa"/>
              <w:left w:w="10" w:type="dxa"/>
              <w:bottom w:w="0" w:type="dxa"/>
              <w:right w:w="10" w:type="dxa"/>
            </w:tcMar>
          </w:tcPr>
          <w:p w:rsidR="00C96FF8" w:rsidRDefault="00C96FF8">
            <w:pPr>
              <w:jc w:val="left"/>
              <w:textAlignment w:val="bottom"/>
              <w:rPr>
                <w:rFonts w:ascii="Times New Roman" w:eastAsia="仿宋" w:hAnsi="Times New Roman" w:cs="Times New Roman"/>
                <w:bCs/>
                <w:kern w:val="0"/>
                <w:sz w:val="24"/>
                <w:szCs w:val="24"/>
              </w:rPr>
            </w:pPr>
          </w:p>
        </w:tc>
        <w:tc>
          <w:tcPr>
            <w:tcW w:w="2410" w:type="dxa"/>
            <w:shd w:val="clear" w:color="auto" w:fill="FFFFFF" w:themeFill="background1"/>
          </w:tcPr>
          <w:p w:rsidR="00C96FF8" w:rsidRDefault="00DD68D6">
            <w:pPr>
              <w:jc w:val="left"/>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kern w:val="24"/>
                <w:sz w:val="24"/>
                <w:szCs w:val="24"/>
              </w:rPr>
              <w:t>专家共识推荐</w:t>
            </w:r>
          </w:p>
        </w:tc>
        <w:tc>
          <w:tcPr>
            <w:tcW w:w="1202"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7</w:t>
            </w: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993"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206"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703" w:type="dxa"/>
            <w:shd w:val="clear" w:color="auto" w:fill="FFFFFF" w:themeFill="background1"/>
            <w:tcMar>
              <w:top w:w="10" w:type="dxa"/>
              <w:left w:w="10" w:type="dxa"/>
              <w:bottom w:w="0" w:type="dxa"/>
              <w:right w:w="10" w:type="dxa"/>
            </w:tcMar>
          </w:tcPr>
          <w:p w:rsidR="00C96FF8" w:rsidRDefault="00C96FF8">
            <w:pPr>
              <w:jc w:val="left"/>
              <w:textAlignment w:val="bottom"/>
              <w:rPr>
                <w:rFonts w:ascii="Times New Roman" w:eastAsia="仿宋" w:hAnsi="Times New Roman" w:cs="Times New Roman"/>
                <w:bCs/>
                <w:color w:val="000000"/>
                <w:kern w:val="24"/>
                <w:sz w:val="24"/>
                <w:szCs w:val="24"/>
              </w:rPr>
            </w:pPr>
          </w:p>
        </w:tc>
        <w:tc>
          <w:tcPr>
            <w:tcW w:w="2410" w:type="dxa"/>
            <w:shd w:val="clear" w:color="auto" w:fill="FFFFFF" w:themeFill="background1"/>
          </w:tcPr>
          <w:p w:rsidR="00C96FF8" w:rsidRDefault="00DD68D6">
            <w:pPr>
              <w:jc w:val="left"/>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kern w:val="24"/>
                <w:sz w:val="24"/>
                <w:szCs w:val="24"/>
              </w:rPr>
              <w:t>以上均无推荐</w:t>
            </w:r>
          </w:p>
        </w:tc>
        <w:tc>
          <w:tcPr>
            <w:tcW w:w="1202"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color w:val="000000"/>
                <w:kern w:val="24"/>
                <w:sz w:val="24"/>
                <w:szCs w:val="24"/>
              </w:rPr>
              <w:t>3</w:t>
            </w: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993"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206"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703" w:type="dxa"/>
            <w:shd w:val="clear" w:color="auto" w:fill="FFFFFF" w:themeFill="background1"/>
            <w:tcMar>
              <w:top w:w="10" w:type="dxa"/>
              <w:left w:w="10" w:type="dxa"/>
              <w:bottom w:w="0" w:type="dxa"/>
              <w:right w:w="10" w:type="dxa"/>
            </w:tcMar>
          </w:tcPr>
          <w:p w:rsidR="00C96FF8" w:rsidRDefault="00DD68D6">
            <w:pPr>
              <w:jc w:val="left"/>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kern w:val="0"/>
                <w:sz w:val="24"/>
                <w:szCs w:val="24"/>
              </w:rPr>
              <w:t>心肾获益证据</w:t>
            </w:r>
          </w:p>
        </w:tc>
        <w:tc>
          <w:tcPr>
            <w:tcW w:w="2410" w:type="dxa"/>
            <w:shd w:val="clear" w:color="auto" w:fill="FFFFFF" w:themeFill="background1"/>
          </w:tcPr>
          <w:p w:rsidR="00C96FF8" w:rsidRDefault="00C96FF8">
            <w:pPr>
              <w:jc w:val="left"/>
              <w:textAlignment w:val="bottom"/>
              <w:rPr>
                <w:rFonts w:ascii="Times New Roman" w:eastAsia="仿宋" w:hAnsi="Times New Roman" w:cs="Times New Roman"/>
                <w:kern w:val="24"/>
                <w:sz w:val="24"/>
                <w:szCs w:val="24"/>
              </w:rPr>
            </w:pPr>
          </w:p>
        </w:tc>
        <w:tc>
          <w:tcPr>
            <w:tcW w:w="1202"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color w:val="000000"/>
                <w:kern w:val="24"/>
                <w:sz w:val="24"/>
                <w:szCs w:val="24"/>
              </w:rPr>
            </w:pPr>
            <w:r>
              <w:rPr>
                <w:rFonts w:ascii="Times New Roman" w:eastAsia="仿宋" w:hAnsi="Times New Roman" w:cs="Times New Roman"/>
                <w:color w:val="000000"/>
                <w:kern w:val="24"/>
                <w:sz w:val="24"/>
                <w:szCs w:val="24"/>
              </w:rPr>
              <w:t>3</w:t>
            </w:r>
          </w:p>
        </w:tc>
        <w:tc>
          <w:tcPr>
            <w:tcW w:w="1134" w:type="dxa"/>
            <w:shd w:val="clear" w:color="auto" w:fill="FFFFFF" w:themeFill="background1"/>
            <w:tcMar>
              <w:top w:w="10" w:type="dxa"/>
              <w:left w:w="10" w:type="dxa"/>
              <w:bottom w:w="0" w:type="dxa"/>
              <w:right w:w="10"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w:t>
            </w:r>
          </w:p>
        </w:tc>
        <w:tc>
          <w:tcPr>
            <w:tcW w:w="993" w:type="dxa"/>
            <w:shd w:val="clear" w:color="auto" w:fill="FFFFFF" w:themeFill="background1"/>
            <w:tcMar>
              <w:top w:w="10" w:type="dxa"/>
              <w:left w:w="10" w:type="dxa"/>
              <w:bottom w:w="0" w:type="dxa"/>
              <w:right w:w="10"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w:t>
            </w:r>
          </w:p>
        </w:tc>
        <w:tc>
          <w:tcPr>
            <w:tcW w:w="1134" w:type="dxa"/>
            <w:shd w:val="clear" w:color="auto" w:fill="FFFFFF" w:themeFill="background1"/>
            <w:tcMar>
              <w:top w:w="10" w:type="dxa"/>
              <w:left w:w="10" w:type="dxa"/>
              <w:bottom w:w="0" w:type="dxa"/>
              <w:right w:w="10"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1206" w:type="dxa"/>
            <w:shd w:val="clear" w:color="auto" w:fill="FFFFFF" w:themeFill="background1"/>
            <w:tcMar>
              <w:top w:w="10" w:type="dxa"/>
              <w:left w:w="10" w:type="dxa"/>
              <w:bottom w:w="0" w:type="dxa"/>
              <w:right w:w="10"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r>
      <w:tr w:rsidR="00C96FF8">
        <w:trPr>
          <w:trHeight w:val="387"/>
          <w:jc w:val="center"/>
        </w:trPr>
        <w:tc>
          <w:tcPr>
            <w:tcW w:w="1703" w:type="dxa"/>
            <w:shd w:val="clear" w:color="auto" w:fill="FFFFFF" w:themeFill="background1"/>
            <w:tcMar>
              <w:top w:w="10" w:type="dxa"/>
              <w:left w:w="10" w:type="dxa"/>
              <w:bottom w:w="0" w:type="dxa"/>
              <w:right w:w="10" w:type="dxa"/>
            </w:tcMar>
            <w:vAlign w:val="bottom"/>
          </w:tcPr>
          <w:p w:rsidR="00C96FF8" w:rsidRDefault="00DD68D6">
            <w:pPr>
              <w:jc w:val="left"/>
              <w:rPr>
                <w:rFonts w:ascii="Times New Roman" w:eastAsia="仿宋" w:hAnsi="Times New Roman" w:cs="Times New Roman"/>
                <w:bCs/>
                <w:kern w:val="0"/>
                <w:sz w:val="24"/>
                <w:szCs w:val="24"/>
              </w:rPr>
            </w:pPr>
            <w:r>
              <w:rPr>
                <w:rFonts w:ascii="Times New Roman" w:eastAsia="仿宋" w:hAnsi="Times New Roman" w:cs="Times New Roman"/>
                <w:bCs/>
                <w:color w:val="000000"/>
                <w:kern w:val="24"/>
                <w:sz w:val="24"/>
                <w:szCs w:val="24"/>
              </w:rPr>
              <w:t>有效性评分</w:t>
            </w:r>
          </w:p>
        </w:tc>
        <w:tc>
          <w:tcPr>
            <w:tcW w:w="2410" w:type="dxa"/>
            <w:shd w:val="clear" w:color="auto" w:fill="FFFFFF" w:themeFill="background1"/>
          </w:tcPr>
          <w:p w:rsidR="00C96FF8" w:rsidRDefault="00C96FF8">
            <w:pPr>
              <w:jc w:val="center"/>
              <w:rPr>
                <w:rFonts w:ascii="Times New Roman" w:eastAsia="仿宋" w:hAnsi="Times New Roman" w:cs="Times New Roman"/>
                <w:kern w:val="0"/>
                <w:sz w:val="24"/>
                <w:szCs w:val="24"/>
              </w:rPr>
            </w:pPr>
          </w:p>
        </w:tc>
        <w:tc>
          <w:tcPr>
            <w:tcW w:w="1202" w:type="dxa"/>
            <w:shd w:val="clear" w:color="auto" w:fill="FFFFFF" w:themeFill="background1"/>
            <w:tcMar>
              <w:top w:w="10" w:type="dxa"/>
              <w:left w:w="10" w:type="dxa"/>
              <w:bottom w:w="0" w:type="dxa"/>
              <w:right w:w="10" w:type="dxa"/>
            </w:tcMar>
            <w:vAlign w:val="center"/>
          </w:tcPr>
          <w:p w:rsidR="00C96FF8" w:rsidRDefault="00C96FF8">
            <w:pPr>
              <w:jc w:val="center"/>
              <w:rPr>
                <w:rFonts w:ascii="Times New Roman" w:eastAsia="仿宋" w:hAnsi="Times New Roman" w:cs="Times New Roman"/>
                <w:kern w:val="0"/>
                <w:sz w:val="24"/>
                <w:szCs w:val="24"/>
              </w:rPr>
            </w:pPr>
          </w:p>
        </w:tc>
        <w:tc>
          <w:tcPr>
            <w:tcW w:w="1134"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19</w:t>
            </w:r>
          </w:p>
        </w:tc>
        <w:tc>
          <w:tcPr>
            <w:tcW w:w="993"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19</w:t>
            </w:r>
          </w:p>
        </w:tc>
        <w:tc>
          <w:tcPr>
            <w:tcW w:w="1134"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20</w:t>
            </w:r>
          </w:p>
        </w:tc>
        <w:tc>
          <w:tcPr>
            <w:tcW w:w="1206" w:type="dxa"/>
            <w:shd w:val="clear" w:color="auto" w:fill="FFFFFF" w:themeFill="background1"/>
            <w:tcMar>
              <w:top w:w="10" w:type="dxa"/>
              <w:left w:w="10" w:type="dxa"/>
              <w:bottom w:w="0" w:type="dxa"/>
              <w:right w:w="10"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color w:val="000000"/>
                <w:kern w:val="24"/>
                <w:sz w:val="24"/>
                <w:szCs w:val="24"/>
              </w:rPr>
              <w:t>18</w:t>
            </w:r>
          </w:p>
        </w:tc>
      </w:tr>
    </w:tbl>
    <w:p w:rsidR="00C96FF8" w:rsidRDefault="00C96FF8">
      <w:pPr>
        <w:ind w:firstLineChars="200" w:firstLine="560"/>
        <w:rPr>
          <w:rFonts w:ascii="Times New Roman" w:eastAsia="仿宋" w:hAnsi="Times New Roman" w:cs="Times New Roman"/>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lastRenderedPageBreak/>
        <w:t>4.</w:t>
      </w:r>
      <w:r>
        <w:rPr>
          <w:rFonts w:ascii="Times New Roman" w:eastAsia="仿宋" w:hAnsi="Times New Roman" w:cs="Times New Roman"/>
          <w:b/>
          <w:bCs/>
          <w:sz w:val="28"/>
          <w:szCs w:val="28"/>
        </w:rPr>
        <w:t>3</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安全性评分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3.1</w:t>
      </w:r>
      <w:r>
        <w:rPr>
          <w:rFonts w:ascii="Times New Roman" w:eastAsia="仿宋" w:hAnsi="Times New Roman" w:cs="Times New Roman"/>
          <w:sz w:val="28"/>
          <w:szCs w:val="28"/>
        </w:rPr>
        <w:t>不良反应分级或</w:t>
      </w:r>
      <w:r>
        <w:rPr>
          <w:rFonts w:ascii="Times New Roman" w:eastAsia="仿宋" w:hAnsi="Times New Roman" w:cs="Times New Roman"/>
          <w:sz w:val="28"/>
          <w:szCs w:val="28"/>
        </w:rPr>
        <w:t>CTCAE</w:t>
      </w:r>
      <w:r>
        <w:rPr>
          <w:rFonts w:ascii="Times New Roman" w:eastAsia="仿宋" w:hAnsi="Times New Roman" w:cs="Times New Roman"/>
          <w:sz w:val="28"/>
          <w:szCs w:val="28"/>
        </w:rPr>
        <w:t>分级评分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此类药品严重不良反应可表现为酮症酸中毒、生殖器真菌感染、会阴坏死性筋膜炎、下肢截肢等，其中酮症酸中毒是一种症状严重可危及生命的糖尿病急性并发症，属于不良反应事件评价标准（</w:t>
      </w:r>
      <w:r>
        <w:rPr>
          <w:rFonts w:ascii="Times New Roman" w:eastAsia="仿宋" w:hAnsi="Times New Roman" w:cs="Times New Roman"/>
          <w:sz w:val="28"/>
          <w:szCs w:val="28"/>
        </w:rPr>
        <w:t>CTCAE</w:t>
      </w:r>
      <w:r>
        <w:rPr>
          <w:rFonts w:ascii="Times New Roman" w:eastAsia="仿宋" w:hAnsi="Times New Roman" w:cs="Times New Roman"/>
          <w:sz w:val="28"/>
          <w:szCs w:val="28"/>
        </w:rPr>
        <w:t>）</w:t>
      </w:r>
      <w:r>
        <w:rPr>
          <w:rFonts w:ascii="Times New Roman" w:eastAsia="仿宋" w:hAnsi="Times New Roman" w:cs="Times New Roman"/>
          <w:sz w:val="28"/>
          <w:szCs w:val="28"/>
        </w:rPr>
        <w:t>4</w:t>
      </w:r>
      <w:r>
        <w:rPr>
          <w:rFonts w:ascii="Times New Roman" w:eastAsia="仿宋" w:hAnsi="Times New Roman" w:cs="Times New Roman"/>
          <w:sz w:val="28"/>
          <w:szCs w:val="28"/>
        </w:rPr>
        <w:t>级，需要临床干预。</w:t>
      </w:r>
      <w:r>
        <w:rPr>
          <w:rFonts w:ascii="Times New Roman" w:eastAsia="仿宋" w:hAnsi="Times New Roman" w:cs="Times New Roman"/>
          <w:sz w:val="28"/>
          <w:szCs w:val="28"/>
        </w:rPr>
        <w:t>4</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抑制剂均有导致酮症酸中毒的报道，发生率均为</w:t>
      </w:r>
      <w:bookmarkStart w:id="2" w:name="bkReivew3023800"/>
      <w:r>
        <w:rPr>
          <w:rFonts w:ascii="Times New Roman" w:eastAsia="仿宋" w:hAnsi="Times New Roman" w:cs="Times New Roman"/>
          <w:sz w:val="28"/>
          <w:szCs w:val="28"/>
        </w:rPr>
        <w:t>0.1</w:t>
      </w:r>
      <w:r>
        <w:rPr>
          <w:rFonts w:ascii="Times New Roman" w:eastAsia="仿宋" w:hAnsi="Times New Roman" w:cs="Times New Roman"/>
          <w:sz w:val="28"/>
          <w:szCs w:val="28"/>
        </w:rPr>
        <w:t>%~</w:t>
      </w:r>
      <w:r>
        <w:rPr>
          <w:rFonts w:ascii="Times New Roman" w:eastAsia="仿宋" w:hAnsi="Times New Roman" w:cs="Times New Roman"/>
          <w:sz w:val="28"/>
          <w:szCs w:val="28"/>
        </w:rPr>
        <w:t>1.0%</w:t>
      </w:r>
      <w:bookmarkEnd w:id="2"/>
      <w:r>
        <w:rPr>
          <w:rFonts w:ascii="Times New Roman" w:eastAsia="仿宋" w:hAnsi="Times New Roman" w:cs="Times New Roman"/>
          <w:sz w:val="28"/>
          <w:szCs w:val="28"/>
          <w:vertAlign w:val="superscript"/>
        </w:rPr>
        <w:t>[11,13</w:t>
      </w:r>
      <w:r>
        <w:rPr>
          <w:rFonts w:ascii="Times New Roman" w:eastAsia="仿宋" w:hAnsi="Times New Roman" w:cs="Times New Roman" w:hint="eastAsia"/>
          <w:sz w:val="28"/>
          <w:szCs w:val="28"/>
          <w:vertAlign w:val="superscript"/>
        </w:rPr>
        <w:t>-</w:t>
      </w:r>
      <w:r>
        <w:rPr>
          <w:rFonts w:ascii="Times New Roman" w:eastAsia="仿宋" w:hAnsi="Times New Roman" w:cs="Times New Roman"/>
          <w:sz w:val="28"/>
          <w:szCs w:val="28"/>
          <w:vertAlign w:val="superscript"/>
        </w:rPr>
        <w:t>14,17]</w:t>
      </w:r>
      <w:r>
        <w:rPr>
          <w:rFonts w:ascii="Times New Roman" w:eastAsia="仿宋" w:hAnsi="Times New Roman" w:cs="Times New Roman"/>
          <w:sz w:val="28"/>
          <w:szCs w:val="28"/>
        </w:rPr>
        <w:t>，均得</w:t>
      </w:r>
      <w:r>
        <w:rPr>
          <w:rFonts w:ascii="Times New Roman" w:eastAsia="仿宋" w:hAnsi="Times New Roman" w:cs="Times New Roman"/>
          <w:sz w:val="28"/>
          <w:szCs w:val="28"/>
        </w:rPr>
        <w:t>3</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3.2</w:t>
      </w:r>
      <w:r>
        <w:rPr>
          <w:rFonts w:ascii="Times New Roman" w:eastAsia="仿宋" w:hAnsi="Times New Roman" w:cs="Times New Roman"/>
          <w:sz w:val="28"/>
          <w:szCs w:val="28"/>
        </w:rPr>
        <w:t>特殊人群评分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个药品均无儿童、妊娠、哺乳期用药的有效性、安全性研究，不可使用，均得</w:t>
      </w:r>
      <w:r>
        <w:rPr>
          <w:rFonts w:ascii="Times New Roman" w:eastAsia="仿宋" w:hAnsi="Times New Roman" w:cs="Times New Roman"/>
          <w:sz w:val="28"/>
          <w:szCs w:val="28"/>
        </w:rPr>
        <w:t>0</w:t>
      </w:r>
      <w:r>
        <w:rPr>
          <w:rFonts w:ascii="Times New Roman" w:eastAsia="仿宋" w:hAnsi="Times New Roman" w:cs="Times New Roman"/>
          <w:sz w:val="28"/>
          <w:szCs w:val="28"/>
        </w:rPr>
        <w:t>分。</w:t>
      </w:r>
      <w:r>
        <w:rPr>
          <w:rFonts w:ascii="Times New Roman" w:eastAsia="仿宋" w:hAnsi="Times New Roman" w:cs="Times New Roman"/>
          <w:sz w:val="28"/>
          <w:szCs w:val="28"/>
        </w:rPr>
        <w:t>4</w:t>
      </w:r>
      <w:r>
        <w:rPr>
          <w:rFonts w:ascii="Times New Roman" w:eastAsia="仿宋" w:hAnsi="Times New Roman" w:cs="Times New Roman"/>
          <w:sz w:val="28"/>
          <w:szCs w:val="28"/>
        </w:rPr>
        <w:t>个药品均在轻、中度肝功能损伤患者中无需调整剂量，重度肝功能损伤患者不推荐使用，均得</w:t>
      </w:r>
      <w:r>
        <w:rPr>
          <w:rFonts w:ascii="Times New Roman" w:eastAsia="仿宋" w:hAnsi="Times New Roman" w:cs="Times New Roman"/>
          <w:sz w:val="28"/>
          <w:szCs w:val="28"/>
        </w:rPr>
        <w:t>0.8</w:t>
      </w:r>
      <w:r>
        <w:rPr>
          <w:rFonts w:ascii="Times New Roman" w:eastAsia="仿宋" w:hAnsi="Times New Roman" w:cs="Times New Roman"/>
          <w:sz w:val="28"/>
          <w:szCs w:val="28"/>
        </w:rPr>
        <w:t>分。达格列净、恩格列净、卡格列净、艾托格列净均在</w:t>
      </w:r>
      <w:r>
        <w:rPr>
          <w:rFonts w:ascii="Times New Roman" w:eastAsia="仿宋" w:hAnsi="Times New Roman" w:cs="Times New Roman"/>
          <w:sz w:val="28"/>
          <w:szCs w:val="28"/>
        </w:rPr>
        <w:t>eGFR</w:t>
      </w:r>
      <w:r>
        <w:rPr>
          <w:rFonts w:ascii="Times New Roman" w:eastAsia="仿宋" w:hAnsi="Times New Roman" w:cs="Times New Roman"/>
          <w:sz w:val="28"/>
          <w:szCs w:val="28"/>
        </w:rPr>
        <w:t>＜</w:t>
      </w:r>
      <w:r>
        <w:rPr>
          <w:rFonts w:ascii="Times New Roman" w:eastAsia="仿宋" w:hAnsi="Times New Roman" w:cs="Times New Roman"/>
          <w:sz w:val="28"/>
          <w:szCs w:val="28"/>
        </w:rPr>
        <w:t>45 mL/min/1.73m</w:t>
      </w:r>
      <w:r>
        <w:rPr>
          <w:rFonts w:ascii="Times New Roman" w:eastAsia="仿宋" w:hAnsi="Times New Roman" w:cs="Times New Roman"/>
          <w:sz w:val="28"/>
          <w:szCs w:val="28"/>
          <w:vertAlign w:val="superscript"/>
        </w:rPr>
        <w:t>2</w:t>
      </w:r>
      <w:r>
        <w:rPr>
          <w:rFonts w:ascii="Times New Roman" w:eastAsia="仿宋" w:hAnsi="Times New Roman" w:cs="Times New Roman"/>
          <w:sz w:val="28"/>
          <w:szCs w:val="28"/>
        </w:rPr>
        <w:t>的糖尿病患者中不推荐使用，</w:t>
      </w:r>
      <w:r>
        <w:rPr>
          <w:rFonts w:ascii="Times New Roman" w:eastAsia="仿宋" w:hAnsi="Times New Roman" w:cs="Times New Roman"/>
          <w:sz w:val="28"/>
          <w:szCs w:val="28"/>
        </w:rPr>
        <w:t>eGFR</w:t>
      </w:r>
      <w:r>
        <w:rPr>
          <w:rFonts w:ascii="Times New Roman" w:eastAsia="仿宋" w:hAnsi="Times New Roman" w:cs="Times New Roman"/>
          <w:sz w:val="28"/>
          <w:szCs w:val="28"/>
        </w:rPr>
        <w:t>＜</w:t>
      </w:r>
      <w:r>
        <w:rPr>
          <w:rFonts w:ascii="Times New Roman" w:eastAsia="仿宋" w:hAnsi="Times New Roman" w:cs="Times New Roman"/>
          <w:sz w:val="28"/>
          <w:szCs w:val="28"/>
        </w:rPr>
        <w:t>30 mL/min/1.73m</w:t>
      </w:r>
      <w:r>
        <w:rPr>
          <w:rFonts w:ascii="Times New Roman" w:eastAsia="仿宋" w:hAnsi="Times New Roman" w:cs="Times New Roman"/>
          <w:sz w:val="28"/>
          <w:szCs w:val="28"/>
          <w:vertAlign w:val="superscript"/>
        </w:rPr>
        <w:t>2</w:t>
      </w:r>
      <w:r>
        <w:rPr>
          <w:rFonts w:ascii="Times New Roman" w:eastAsia="仿宋" w:hAnsi="Times New Roman" w:cs="Times New Roman"/>
          <w:sz w:val="28"/>
          <w:szCs w:val="28"/>
        </w:rPr>
        <w:t>禁用，均得</w:t>
      </w:r>
      <w:r>
        <w:rPr>
          <w:rFonts w:ascii="Times New Roman" w:eastAsia="仿宋" w:hAnsi="Times New Roman" w:cs="Times New Roman"/>
          <w:sz w:val="28"/>
          <w:szCs w:val="28"/>
        </w:rPr>
        <w:t>0.8</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3.3</w:t>
      </w:r>
      <w:r>
        <w:rPr>
          <w:rFonts w:ascii="Times New Roman" w:eastAsia="仿宋" w:hAnsi="Times New Roman" w:cs="Times New Roman"/>
          <w:sz w:val="28"/>
          <w:szCs w:val="28"/>
        </w:rPr>
        <w:t>药物相互作用所致不良反应评分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参考药品说明书。卡格列净与</w:t>
      </w:r>
      <w:r>
        <w:rPr>
          <w:rFonts w:ascii="Times New Roman" w:eastAsia="仿宋" w:hAnsi="Times New Roman" w:cs="Times New Roman"/>
          <w:sz w:val="28"/>
          <w:szCs w:val="28"/>
        </w:rPr>
        <w:t>UDP-</w:t>
      </w:r>
      <w:r>
        <w:rPr>
          <w:rFonts w:ascii="Times New Roman" w:eastAsia="仿宋" w:hAnsi="Times New Roman" w:cs="Times New Roman"/>
          <w:sz w:val="28"/>
          <w:szCs w:val="28"/>
        </w:rPr>
        <w:t>葡萄糖醛酸转移酶（</w:t>
      </w:r>
      <w:r>
        <w:rPr>
          <w:rFonts w:ascii="Times New Roman" w:eastAsia="仿宋" w:hAnsi="Times New Roman" w:cs="Times New Roman"/>
          <w:sz w:val="28"/>
          <w:szCs w:val="28"/>
        </w:rPr>
        <w:t>UGT</w:t>
      </w:r>
      <w:r>
        <w:rPr>
          <w:rFonts w:ascii="Times New Roman" w:eastAsia="仿宋" w:hAnsi="Times New Roman" w:cs="Times New Roman"/>
          <w:sz w:val="28"/>
          <w:szCs w:val="28"/>
        </w:rPr>
        <w:t>）诱导剂（如利福平、苯妥英、苯巴比妥和利托那韦）存在药物相互作用、</w:t>
      </w:r>
      <w:r>
        <w:rPr>
          <w:rFonts w:ascii="Times New Roman" w:eastAsia="仿宋" w:hAnsi="Times New Roman" w:cs="Times New Roman"/>
          <w:sz w:val="28"/>
          <w:szCs w:val="28"/>
        </w:rPr>
        <w:t>需要调整剂量，得</w:t>
      </w:r>
      <w:r>
        <w:rPr>
          <w:rFonts w:ascii="Times New Roman" w:eastAsia="仿宋" w:hAnsi="Times New Roman" w:cs="Times New Roman"/>
          <w:sz w:val="28"/>
          <w:szCs w:val="28"/>
        </w:rPr>
        <w:t>2</w:t>
      </w:r>
      <w:r>
        <w:rPr>
          <w:rFonts w:ascii="Times New Roman" w:eastAsia="仿宋" w:hAnsi="Times New Roman" w:cs="Times New Roman"/>
          <w:sz w:val="28"/>
          <w:szCs w:val="28"/>
        </w:rPr>
        <w:t>分；其余</w:t>
      </w:r>
      <w:r>
        <w:rPr>
          <w:rFonts w:ascii="Times New Roman" w:eastAsia="仿宋" w:hAnsi="Times New Roman" w:cs="Times New Roman"/>
          <w:sz w:val="28"/>
          <w:szCs w:val="28"/>
        </w:rPr>
        <w:t>3</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抑制剂均无临床意义的相互作用，均得</w:t>
      </w:r>
      <w:r>
        <w:rPr>
          <w:rFonts w:ascii="Times New Roman" w:eastAsia="仿宋" w:hAnsi="Times New Roman" w:cs="Times New Roman"/>
          <w:sz w:val="28"/>
          <w:szCs w:val="28"/>
        </w:rPr>
        <w:t>3</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3.4</w:t>
      </w:r>
      <w:r>
        <w:rPr>
          <w:rFonts w:ascii="Times New Roman" w:eastAsia="仿宋" w:hAnsi="Times New Roman" w:cs="Times New Roman"/>
          <w:sz w:val="28"/>
          <w:szCs w:val="28"/>
        </w:rPr>
        <w:t>其他评分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个药品的不良反应均</w:t>
      </w:r>
      <w:bookmarkStart w:id="3" w:name="bkReivew3033025"/>
      <w:r>
        <w:rPr>
          <w:rFonts w:ascii="Times New Roman" w:eastAsia="仿宋" w:hAnsi="Times New Roman" w:cs="Times New Roman"/>
          <w:sz w:val="28"/>
          <w:szCs w:val="28"/>
        </w:rPr>
        <w:t>部</w:t>
      </w:r>
      <w:bookmarkEnd w:id="3"/>
      <w:r>
        <w:rPr>
          <w:rFonts w:ascii="Times New Roman" w:eastAsia="仿宋" w:hAnsi="Times New Roman" w:cs="Times New Roman"/>
          <w:sz w:val="28"/>
          <w:szCs w:val="28"/>
        </w:rPr>
        <w:t>分可逆，得</w:t>
      </w:r>
      <w:r>
        <w:rPr>
          <w:rFonts w:ascii="Times New Roman" w:eastAsia="仿宋" w:hAnsi="Times New Roman" w:cs="Times New Roman"/>
          <w:sz w:val="28"/>
          <w:szCs w:val="28"/>
        </w:rPr>
        <w:t>0.5</w:t>
      </w:r>
      <w:r>
        <w:rPr>
          <w:rFonts w:ascii="Times New Roman" w:eastAsia="仿宋" w:hAnsi="Times New Roman" w:cs="Times New Roman"/>
          <w:sz w:val="28"/>
          <w:szCs w:val="28"/>
        </w:rPr>
        <w:t>分。临床上虽无</w:t>
      </w:r>
      <w:r>
        <w:rPr>
          <w:rFonts w:ascii="Times New Roman" w:eastAsia="仿宋" w:hAnsi="Times New Roman" w:cs="Times New Roman"/>
          <w:sz w:val="28"/>
          <w:szCs w:val="28"/>
        </w:rPr>
        <w:t>SGLT-2</w:t>
      </w:r>
      <w:r>
        <w:rPr>
          <w:rFonts w:ascii="Times New Roman" w:eastAsia="仿宋" w:hAnsi="Times New Roman" w:cs="Times New Roman"/>
          <w:sz w:val="28"/>
          <w:szCs w:val="28"/>
        </w:rPr>
        <w:t>抑制剂致畸、致癌等相关报道，但药品说明书中的动物实验数据显示大剂量使用时有致畸、致癌的可能，故均得</w:t>
      </w:r>
      <w:r>
        <w:rPr>
          <w:rFonts w:ascii="Times New Roman" w:eastAsia="仿宋" w:hAnsi="Times New Roman" w:cs="Times New Roman"/>
          <w:sz w:val="28"/>
          <w:szCs w:val="28"/>
        </w:rPr>
        <w:t>0.5</w:t>
      </w:r>
      <w:r>
        <w:rPr>
          <w:rFonts w:ascii="Times New Roman" w:eastAsia="仿宋" w:hAnsi="Times New Roman" w:cs="Times New Roman"/>
          <w:sz w:val="28"/>
          <w:szCs w:val="28"/>
        </w:rPr>
        <w:t>分。参考国家药监局不良反应中心向外发布的药物警戒信息中达格列净、恩格列净和卡格列净均有</w:t>
      </w:r>
      <w:r>
        <w:rPr>
          <w:rFonts w:ascii="Times New Roman" w:eastAsia="仿宋" w:hAnsi="Times New Roman" w:cs="Times New Roman"/>
          <w:sz w:val="28"/>
          <w:szCs w:val="28"/>
        </w:rPr>
        <w:t>7</w:t>
      </w:r>
      <w:r>
        <w:rPr>
          <w:rFonts w:ascii="Times New Roman" w:eastAsia="仿宋" w:hAnsi="Times New Roman" w:cs="Times New Roman"/>
          <w:sz w:val="28"/>
          <w:szCs w:val="28"/>
        </w:rPr>
        <w:t>条黑框警示，艾托格列净有</w:t>
      </w:r>
      <w:r>
        <w:rPr>
          <w:rFonts w:ascii="Times New Roman" w:eastAsia="仿宋" w:hAnsi="Times New Roman" w:cs="Times New Roman"/>
          <w:sz w:val="28"/>
          <w:szCs w:val="28"/>
        </w:rPr>
        <w:t>3</w:t>
      </w:r>
      <w:r>
        <w:rPr>
          <w:rFonts w:ascii="Times New Roman" w:eastAsia="仿宋" w:hAnsi="Times New Roman" w:cs="Times New Roman"/>
          <w:sz w:val="28"/>
          <w:szCs w:val="28"/>
        </w:rPr>
        <w:t>条黑框警示，均得</w:t>
      </w:r>
      <w:r>
        <w:rPr>
          <w:rFonts w:ascii="Times New Roman" w:eastAsia="仿宋" w:hAnsi="Times New Roman" w:cs="Times New Roman"/>
          <w:sz w:val="28"/>
          <w:szCs w:val="28"/>
        </w:rPr>
        <w:t>0</w:t>
      </w:r>
      <w:r>
        <w:rPr>
          <w:rFonts w:ascii="Times New Roman" w:eastAsia="仿宋" w:hAnsi="Times New Roman" w:cs="Times New Roman"/>
          <w:sz w:val="28"/>
          <w:szCs w:val="28"/>
        </w:rPr>
        <w:t>分</w:t>
      </w:r>
      <w:r>
        <w:rPr>
          <w:rFonts w:ascii="Times New Roman" w:eastAsia="仿宋" w:hAnsi="Times New Roman" w:cs="Times New Roman"/>
          <w:sz w:val="28"/>
          <w:szCs w:val="28"/>
          <w:vertAlign w:val="superscript"/>
        </w:rPr>
        <w:t>[18-23]</w:t>
      </w:r>
      <w:r>
        <w:rPr>
          <w:rFonts w:ascii="Times New Roman" w:eastAsia="仿宋" w:hAnsi="Times New Roman" w:cs="Times New Roman"/>
          <w:sz w:val="28"/>
          <w:szCs w:val="28"/>
        </w:rPr>
        <w:t>。具体打分情况见表</w:t>
      </w:r>
      <w:r>
        <w:rPr>
          <w:rFonts w:ascii="Times New Roman" w:eastAsia="仿宋" w:hAnsi="Times New Roman" w:cs="Times New Roman"/>
          <w:sz w:val="28"/>
          <w:szCs w:val="28"/>
        </w:rPr>
        <w:t>5</w:t>
      </w:r>
      <w:r>
        <w:rPr>
          <w:rFonts w:ascii="Times New Roman" w:eastAsia="仿宋" w:hAnsi="Times New Roman" w:cs="Times New Roman"/>
          <w:sz w:val="28"/>
          <w:szCs w:val="28"/>
        </w:rPr>
        <w:t>。</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5 SGLT-2</w:t>
      </w:r>
      <w:r>
        <w:rPr>
          <w:rFonts w:ascii="Times New Roman" w:eastAsia="仿宋" w:hAnsi="Times New Roman" w:cs="Times New Roman"/>
          <w:sz w:val="24"/>
          <w:szCs w:val="28"/>
        </w:rPr>
        <w:t>抑制剂安全性评分</w:t>
      </w:r>
    </w:p>
    <w:tbl>
      <w:tblPr>
        <w:tblW w:w="8647" w:type="dxa"/>
        <w:jc w:val="center"/>
        <w:tblBorders>
          <w:top w:val="single" w:sz="4" w:space="0" w:color="auto"/>
          <w:bottom w:val="single" w:sz="4" w:space="0" w:color="auto"/>
        </w:tblBorders>
        <w:shd w:val="clear" w:color="auto" w:fill="FFFFFF" w:themeFill="background1"/>
        <w:tblLayout w:type="fixed"/>
        <w:tblCellMar>
          <w:left w:w="0" w:type="dxa"/>
          <w:right w:w="0" w:type="dxa"/>
        </w:tblCellMar>
        <w:tblLook w:val="04A0" w:firstRow="1" w:lastRow="0" w:firstColumn="1" w:lastColumn="0" w:noHBand="0" w:noVBand="1"/>
      </w:tblPr>
      <w:tblGrid>
        <w:gridCol w:w="1134"/>
        <w:gridCol w:w="4111"/>
        <w:gridCol w:w="542"/>
        <w:gridCol w:w="735"/>
        <w:gridCol w:w="807"/>
        <w:gridCol w:w="569"/>
        <w:gridCol w:w="749"/>
      </w:tblGrid>
      <w:tr w:rsidR="00C96FF8">
        <w:trPr>
          <w:trHeight w:val="573"/>
          <w:jc w:val="center"/>
        </w:trPr>
        <w:tc>
          <w:tcPr>
            <w:tcW w:w="5245"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b/>
                <w:bCs/>
                <w:color w:val="000000"/>
                <w:kern w:val="24"/>
                <w:sz w:val="24"/>
                <w:szCs w:val="24"/>
              </w:rPr>
            </w:pPr>
            <w:r>
              <w:rPr>
                <w:rFonts w:ascii="Times New Roman" w:eastAsia="仿宋" w:hAnsi="Times New Roman" w:cs="Times New Roman"/>
                <w:b/>
                <w:bCs/>
                <w:color w:val="000000"/>
                <w:kern w:val="24"/>
                <w:sz w:val="24"/>
                <w:szCs w:val="24"/>
              </w:rPr>
              <w:t>安全性</w:t>
            </w:r>
          </w:p>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bCs/>
                <w:color w:val="000000"/>
                <w:kern w:val="24"/>
                <w:sz w:val="24"/>
                <w:szCs w:val="24"/>
              </w:rPr>
              <w:t>（</w:t>
            </w:r>
            <w:r>
              <w:rPr>
                <w:rFonts w:ascii="Times New Roman" w:eastAsia="仿宋" w:hAnsi="Times New Roman" w:cs="Times New Roman"/>
                <w:b/>
                <w:bCs/>
                <w:color w:val="000000"/>
                <w:kern w:val="24"/>
                <w:sz w:val="24"/>
                <w:szCs w:val="24"/>
              </w:rPr>
              <w:t>20</w:t>
            </w:r>
            <w:r>
              <w:rPr>
                <w:rFonts w:ascii="Times New Roman" w:eastAsia="仿宋" w:hAnsi="Times New Roman" w:cs="Times New Roman"/>
                <w:b/>
                <w:bCs/>
                <w:color w:val="000000"/>
                <w:kern w:val="24"/>
                <w:sz w:val="24"/>
                <w:szCs w:val="24"/>
              </w:rPr>
              <w:t>分）</w:t>
            </w: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color w:val="000000"/>
                <w:kern w:val="24"/>
                <w:sz w:val="24"/>
                <w:szCs w:val="24"/>
              </w:rPr>
              <w:t>评分标准</w:t>
            </w:r>
          </w:p>
        </w:tc>
        <w:tc>
          <w:tcPr>
            <w:tcW w:w="735"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达格列净</w:t>
            </w:r>
          </w:p>
        </w:tc>
        <w:tc>
          <w:tcPr>
            <w:tcW w:w="807"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恩格列净</w:t>
            </w:r>
          </w:p>
        </w:tc>
        <w:tc>
          <w:tcPr>
            <w:tcW w:w="569"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卡格列净</w:t>
            </w:r>
          </w:p>
        </w:tc>
        <w:tc>
          <w:tcPr>
            <w:tcW w:w="749" w:type="dxa"/>
            <w:tcBorders>
              <w:top w:val="single" w:sz="4" w:space="0" w:color="auto"/>
              <w:bottom w:val="single" w:sz="4" w:space="0" w:color="auto"/>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
                <w:bCs/>
                <w:szCs w:val="21"/>
              </w:rPr>
              <w:t>艾托格列净</w:t>
            </w:r>
          </w:p>
        </w:tc>
      </w:tr>
      <w:tr w:rsidR="00C96FF8">
        <w:trPr>
          <w:trHeight w:val="292"/>
          <w:jc w:val="center"/>
        </w:trPr>
        <w:tc>
          <w:tcPr>
            <w:tcW w:w="1134" w:type="dxa"/>
            <w:vMerge w:val="restart"/>
            <w:tcBorders>
              <w:top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不良反应分级或</w:t>
            </w:r>
            <w:r>
              <w:rPr>
                <w:rFonts w:ascii="Times New Roman" w:eastAsia="仿宋" w:hAnsi="Times New Roman" w:cs="Times New Roman"/>
                <w:bCs/>
                <w:color w:val="000000"/>
                <w:kern w:val="24"/>
                <w:sz w:val="24"/>
                <w:szCs w:val="24"/>
              </w:rPr>
              <w:t>CTCAE</w:t>
            </w:r>
            <w:r>
              <w:rPr>
                <w:rFonts w:ascii="Times New Roman" w:eastAsia="仿宋" w:hAnsi="Times New Roman" w:cs="Times New Roman"/>
                <w:bCs/>
                <w:color w:val="000000"/>
                <w:kern w:val="24"/>
                <w:sz w:val="24"/>
                <w:szCs w:val="24"/>
              </w:rPr>
              <w:t>分级</w:t>
            </w:r>
          </w:p>
        </w:tc>
        <w:tc>
          <w:tcPr>
            <w:tcW w:w="4111"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DD68D6">
            <w:pPr>
              <w:ind w:leftChars="-4" w:left="-8" w:firstLineChars="4" w:firstLine="10"/>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症状轻微，无需治疗或</w:t>
            </w:r>
            <w:r>
              <w:rPr>
                <w:rFonts w:ascii="Times New Roman" w:eastAsia="仿宋" w:hAnsi="Times New Roman" w:cs="Times New Roman"/>
                <w:bCs/>
                <w:color w:val="000000"/>
                <w:kern w:val="24"/>
                <w:sz w:val="24"/>
                <w:szCs w:val="24"/>
              </w:rPr>
              <w:t>CTC1</w:t>
            </w:r>
            <w:r>
              <w:rPr>
                <w:rFonts w:ascii="Times New Roman" w:eastAsia="仿宋" w:hAnsi="Times New Roman" w:cs="Times New Roman"/>
                <w:bCs/>
                <w:color w:val="000000"/>
                <w:kern w:val="24"/>
                <w:sz w:val="24"/>
                <w:szCs w:val="24"/>
              </w:rPr>
              <w:t>级</w:t>
            </w:r>
          </w:p>
        </w:tc>
        <w:tc>
          <w:tcPr>
            <w:tcW w:w="542"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7</w:t>
            </w:r>
          </w:p>
        </w:tc>
        <w:tc>
          <w:tcPr>
            <w:tcW w:w="735"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tcBorders>
              <w:top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症状较轻，需要干预或</w:t>
            </w:r>
            <w:r>
              <w:rPr>
                <w:rFonts w:ascii="Times New Roman" w:eastAsia="仿宋" w:hAnsi="Times New Roman" w:cs="Times New Roman"/>
                <w:bCs/>
                <w:color w:val="000000"/>
                <w:kern w:val="24"/>
                <w:sz w:val="24"/>
                <w:szCs w:val="24"/>
              </w:rPr>
              <w:t>CTC2</w:t>
            </w:r>
            <w:r>
              <w:rPr>
                <w:rFonts w:ascii="Times New Roman" w:eastAsia="仿宋" w:hAnsi="Times New Roman" w:cs="Times New Roman"/>
                <w:bCs/>
                <w:color w:val="000000"/>
                <w:kern w:val="24"/>
                <w:sz w:val="24"/>
                <w:szCs w:val="24"/>
              </w:rPr>
              <w:t>级</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6</w:t>
            </w:r>
          </w:p>
        </w:tc>
        <w:tc>
          <w:tcPr>
            <w:tcW w:w="735" w:type="dxa"/>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r>
      <w:tr w:rsidR="00C96FF8">
        <w:trPr>
          <w:trHeight w:val="292"/>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症状明显，需要干预或</w:t>
            </w:r>
            <w:r>
              <w:rPr>
                <w:rFonts w:ascii="Times New Roman" w:eastAsia="仿宋" w:hAnsi="Times New Roman" w:cs="Times New Roman"/>
                <w:bCs/>
                <w:color w:val="000000"/>
                <w:kern w:val="24"/>
                <w:sz w:val="24"/>
                <w:szCs w:val="24"/>
              </w:rPr>
              <w:t>CTC3</w:t>
            </w:r>
            <w:r>
              <w:rPr>
                <w:rFonts w:ascii="Times New Roman" w:eastAsia="仿宋" w:hAnsi="Times New Roman" w:cs="Times New Roman"/>
                <w:bCs/>
                <w:color w:val="000000"/>
                <w:kern w:val="24"/>
                <w:sz w:val="24"/>
                <w:szCs w:val="24"/>
              </w:rPr>
              <w:t>级</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5</w:t>
            </w:r>
          </w:p>
        </w:tc>
        <w:tc>
          <w:tcPr>
            <w:tcW w:w="735"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71"/>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0.1%</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4</w:t>
            </w:r>
          </w:p>
        </w:tc>
        <w:tc>
          <w:tcPr>
            <w:tcW w:w="735"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71"/>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0.1%</w:t>
            </w:r>
            <w:r>
              <w:rPr>
                <w:rFonts w:ascii="Times New Roman" w:eastAsia="仿宋" w:hAnsi="Times New Roman" w:cs="Times New Roman" w:hint="eastAsia"/>
                <w:bCs/>
                <w:color w:val="000000"/>
                <w:spacing w:val="-30"/>
                <w:kern w:val="24"/>
                <w:sz w:val="24"/>
                <w:szCs w:val="24"/>
              </w:rPr>
              <w:t>~</w:t>
            </w:r>
            <w:r>
              <w:rPr>
                <w:rFonts w:ascii="Times New Roman" w:eastAsia="仿宋" w:hAnsi="Times New Roman" w:cs="Times New Roman"/>
                <w:bCs/>
                <w:color w:val="000000"/>
                <w:spacing w:val="-30"/>
                <w:kern w:val="24"/>
                <w:sz w:val="24"/>
                <w:szCs w:val="24"/>
              </w:rPr>
              <w:t>1%</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3</w:t>
            </w:r>
          </w:p>
        </w:tc>
        <w:tc>
          <w:tcPr>
            <w:tcW w:w="735" w:type="dxa"/>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807" w:type="dxa"/>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569" w:type="dxa"/>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749" w:type="dxa"/>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r>
      <w:tr w:rsidR="00C96FF8">
        <w:trPr>
          <w:trHeight w:val="71"/>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1%</w:t>
            </w:r>
            <w:r>
              <w:rPr>
                <w:rFonts w:ascii="Times New Roman" w:eastAsia="仿宋" w:hAnsi="Times New Roman" w:cs="Times New Roman" w:hint="eastAsia"/>
                <w:bCs/>
                <w:color w:val="000000"/>
                <w:spacing w:val="-30"/>
                <w:kern w:val="24"/>
                <w:sz w:val="24"/>
                <w:szCs w:val="24"/>
              </w:rPr>
              <w:t>~</w:t>
            </w:r>
            <w:r>
              <w:rPr>
                <w:rFonts w:ascii="Times New Roman" w:eastAsia="仿宋" w:hAnsi="Times New Roman" w:cs="Times New Roman"/>
                <w:bCs/>
                <w:color w:val="000000"/>
                <w:spacing w:val="-30"/>
                <w:kern w:val="24"/>
                <w:sz w:val="24"/>
                <w:szCs w:val="24"/>
              </w:rPr>
              <w:t>10%</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2</w:t>
            </w:r>
          </w:p>
        </w:tc>
        <w:tc>
          <w:tcPr>
            <w:tcW w:w="735"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71"/>
          <w:jc w:val="center"/>
        </w:trPr>
        <w:tc>
          <w:tcPr>
            <w:tcW w:w="1134" w:type="dxa"/>
            <w:vMerge/>
            <w:tcBorders>
              <w:bottom w:val="single" w:sz="4" w:space="0" w:color="auto"/>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spacing w:val="-30"/>
                <w:kern w:val="24"/>
                <w:sz w:val="24"/>
                <w:szCs w:val="24"/>
              </w:rPr>
              <w:t>症状严重，危及生命或</w:t>
            </w:r>
            <w:r>
              <w:rPr>
                <w:rFonts w:ascii="Times New Roman" w:eastAsia="仿宋" w:hAnsi="Times New Roman" w:cs="Times New Roman"/>
                <w:bCs/>
                <w:color w:val="000000"/>
                <w:spacing w:val="-30"/>
                <w:kern w:val="24"/>
                <w:sz w:val="24"/>
                <w:szCs w:val="24"/>
              </w:rPr>
              <w:t>CTC4-5</w:t>
            </w:r>
            <w:r>
              <w:rPr>
                <w:rFonts w:ascii="Times New Roman" w:eastAsia="仿宋" w:hAnsi="Times New Roman" w:cs="Times New Roman"/>
                <w:bCs/>
                <w:color w:val="000000"/>
                <w:spacing w:val="-30"/>
                <w:kern w:val="24"/>
                <w:sz w:val="24"/>
                <w:szCs w:val="24"/>
              </w:rPr>
              <w:t>级，发生率＞</w:t>
            </w:r>
            <w:r>
              <w:rPr>
                <w:rFonts w:ascii="Times New Roman" w:eastAsia="仿宋" w:hAnsi="Times New Roman" w:cs="Times New Roman"/>
                <w:bCs/>
                <w:color w:val="000000"/>
                <w:spacing w:val="-30"/>
                <w:kern w:val="24"/>
                <w:sz w:val="24"/>
                <w:szCs w:val="24"/>
              </w:rPr>
              <w:t>10%</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bCs/>
                <w:color w:val="000000"/>
                <w:kern w:val="24"/>
                <w:sz w:val="24"/>
                <w:szCs w:val="24"/>
              </w:rPr>
              <w:t>特殊人群</w:t>
            </w:r>
          </w:p>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儿童可用</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2</w:t>
            </w:r>
          </w:p>
        </w:tc>
        <w:tc>
          <w:tcPr>
            <w:tcW w:w="735"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r>
      <w:tr w:rsidR="00C96FF8">
        <w:trPr>
          <w:trHeight w:val="71"/>
          <w:jc w:val="center"/>
        </w:trPr>
        <w:tc>
          <w:tcPr>
            <w:tcW w:w="1134" w:type="dxa"/>
            <w:vMerge/>
            <w:tcBorders>
              <w:top w:val="nil"/>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老人可用</w:t>
            </w:r>
          </w:p>
        </w:tc>
        <w:tc>
          <w:tcPr>
            <w:tcW w:w="542"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c>
          <w:tcPr>
            <w:tcW w:w="807"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c>
          <w:tcPr>
            <w:tcW w:w="569"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c>
          <w:tcPr>
            <w:tcW w:w="749"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1</w:t>
            </w:r>
          </w:p>
        </w:tc>
      </w:tr>
      <w:tr w:rsidR="00C96FF8">
        <w:trPr>
          <w:trHeight w:val="292"/>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孕妇可用</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r>
      <w:tr w:rsidR="00C96FF8">
        <w:trPr>
          <w:trHeight w:val="292"/>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哺乳期妇女可用</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r>
      <w:tr w:rsidR="00C96FF8">
        <w:trPr>
          <w:trHeight w:val="292"/>
          <w:jc w:val="center"/>
        </w:trPr>
        <w:tc>
          <w:tcPr>
            <w:tcW w:w="1134" w:type="dxa"/>
            <w:vMerge/>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肝功能异常可用</w:t>
            </w:r>
          </w:p>
        </w:tc>
        <w:tc>
          <w:tcPr>
            <w:tcW w:w="542"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807"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56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749" w:type="dxa"/>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r>
      <w:tr w:rsidR="00C96FF8">
        <w:trPr>
          <w:trHeight w:val="353"/>
          <w:jc w:val="center"/>
        </w:trPr>
        <w:tc>
          <w:tcPr>
            <w:tcW w:w="1134" w:type="dxa"/>
            <w:vMerge/>
            <w:tcBorders>
              <w:bottom w:val="single" w:sz="4" w:space="0" w:color="auto"/>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肾功能异常可用</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0.8</w:t>
            </w:r>
          </w:p>
        </w:tc>
      </w:tr>
      <w:tr w:rsidR="00C96FF8">
        <w:trPr>
          <w:trHeight w:val="61"/>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药物相互作用所致不良反应</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轻中度：一般无需调整用药剂量</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3</w:t>
            </w:r>
          </w:p>
        </w:tc>
        <w:tc>
          <w:tcPr>
            <w:tcW w:w="735"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807"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c>
          <w:tcPr>
            <w:tcW w:w="569"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49"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3</w:t>
            </w:r>
          </w:p>
        </w:tc>
      </w:tr>
      <w:tr w:rsidR="00C96FF8">
        <w:trPr>
          <w:trHeight w:val="71"/>
          <w:jc w:val="center"/>
        </w:trPr>
        <w:tc>
          <w:tcPr>
            <w:tcW w:w="1134" w:type="dxa"/>
            <w:vMerge/>
            <w:tcBorders>
              <w:top w:val="nil"/>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重度：需要调整剂量</w:t>
            </w:r>
          </w:p>
        </w:tc>
        <w:tc>
          <w:tcPr>
            <w:tcW w:w="542"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2</w:t>
            </w:r>
          </w:p>
        </w:tc>
        <w:tc>
          <w:tcPr>
            <w:tcW w:w="735" w:type="dxa"/>
            <w:tcBorders>
              <w:top w:val="nil"/>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807" w:type="dxa"/>
            <w:tcBorders>
              <w:top w:val="nil"/>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569"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kern w:val="0"/>
                <w:sz w:val="24"/>
                <w:szCs w:val="24"/>
              </w:rPr>
              <w:t>2</w:t>
            </w:r>
          </w:p>
        </w:tc>
        <w:tc>
          <w:tcPr>
            <w:tcW w:w="749" w:type="dxa"/>
            <w:tcBorders>
              <w:top w:val="nil"/>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r>
      <w:tr w:rsidR="00C96FF8">
        <w:trPr>
          <w:trHeight w:val="292"/>
          <w:jc w:val="center"/>
        </w:trPr>
        <w:tc>
          <w:tcPr>
            <w:tcW w:w="1134" w:type="dxa"/>
            <w:vMerge/>
            <w:tcBorders>
              <w:bottom w:val="single" w:sz="4" w:space="0" w:color="auto"/>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禁忌：禁止在同一时段使用</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textAlignment w:val="bottom"/>
              <w:rPr>
                <w:rFonts w:ascii="Times New Roman" w:eastAsia="仿宋" w:hAnsi="Times New Roman" w:cs="Times New Roman"/>
                <w:kern w:val="0"/>
                <w:sz w:val="24"/>
                <w:szCs w:val="24"/>
              </w:rPr>
            </w:pPr>
          </w:p>
        </w:tc>
      </w:tr>
      <w:tr w:rsidR="00C96FF8">
        <w:trPr>
          <w:trHeight w:val="292"/>
          <w:jc w:val="center"/>
        </w:trPr>
        <w:tc>
          <w:tcPr>
            <w:tcW w:w="1134" w:type="dxa"/>
            <w:vMerge w:val="restart"/>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bCs/>
                <w:color w:val="000000"/>
                <w:kern w:val="24"/>
                <w:sz w:val="24"/>
                <w:szCs w:val="24"/>
              </w:rPr>
            </w:pPr>
            <w:r>
              <w:rPr>
                <w:rFonts w:ascii="Times New Roman" w:eastAsia="仿宋" w:hAnsi="Times New Roman" w:cs="Times New Roman"/>
                <w:bCs/>
                <w:color w:val="000000"/>
                <w:kern w:val="24"/>
                <w:sz w:val="24"/>
                <w:szCs w:val="24"/>
              </w:rPr>
              <w:t>其他</w:t>
            </w:r>
          </w:p>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（可多选）</w:t>
            </w:r>
          </w:p>
        </w:tc>
        <w:tc>
          <w:tcPr>
            <w:tcW w:w="4111"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不良反应均为可逆性</w:t>
            </w:r>
          </w:p>
        </w:tc>
        <w:tc>
          <w:tcPr>
            <w:tcW w:w="542" w:type="dxa"/>
            <w:tcBorders>
              <w:top w:val="single" w:sz="4" w:space="0" w:color="auto"/>
              <w:bottom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top w:val="single" w:sz="4" w:space="0" w:color="auto"/>
              <w:bottom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807" w:type="dxa"/>
            <w:tcBorders>
              <w:top w:val="single" w:sz="4" w:space="0" w:color="auto"/>
              <w:bottom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569" w:type="dxa"/>
            <w:tcBorders>
              <w:top w:val="single" w:sz="4" w:space="0" w:color="auto"/>
              <w:bottom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749" w:type="dxa"/>
            <w:tcBorders>
              <w:top w:val="single" w:sz="4" w:space="0" w:color="auto"/>
              <w:bottom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r>
      <w:tr w:rsidR="00C96FF8">
        <w:trPr>
          <w:trHeight w:val="292"/>
          <w:jc w:val="center"/>
        </w:trPr>
        <w:tc>
          <w:tcPr>
            <w:tcW w:w="1134" w:type="dxa"/>
            <w:vMerge/>
            <w:tcBorders>
              <w:top w:val="nil"/>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无致畸、致癌</w:t>
            </w:r>
          </w:p>
        </w:tc>
        <w:tc>
          <w:tcPr>
            <w:tcW w:w="542" w:type="dxa"/>
            <w:tcBorders>
              <w:top w:val="nil"/>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top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807" w:type="dxa"/>
            <w:tcBorders>
              <w:top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569" w:type="dxa"/>
            <w:tcBorders>
              <w:top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c>
          <w:tcPr>
            <w:tcW w:w="749" w:type="dxa"/>
            <w:tcBorders>
              <w:top w:val="nil"/>
            </w:tcBorders>
            <w:shd w:val="clear" w:color="auto" w:fill="FFFFFF" w:themeFill="background1"/>
            <w:tcMar>
              <w:top w:w="9" w:type="dxa"/>
              <w:left w:w="9" w:type="dxa"/>
              <w:bottom w:w="0" w:type="dxa"/>
              <w:right w:w="9" w:type="dxa"/>
            </w:tcMa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0.5</w:t>
            </w:r>
          </w:p>
        </w:tc>
      </w:tr>
      <w:tr w:rsidR="00C96FF8">
        <w:trPr>
          <w:trHeight w:val="292"/>
          <w:jc w:val="center"/>
        </w:trPr>
        <w:tc>
          <w:tcPr>
            <w:tcW w:w="1134" w:type="dxa"/>
            <w:vMerge/>
            <w:tcBorders>
              <w:bottom w:val="single" w:sz="4" w:space="0" w:color="auto"/>
            </w:tcBorders>
            <w:shd w:val="clear" w:color="auto" w:fill="FFFFFF" w:themeFill="background1"/>
            <w:vAlign w:val="center"/>
          </w:tcPr>
          <w:p w:rsidR="00C96FF8" w:rsidRDefault="00C96FF8">
            <w:pPr>
              <w:jc w:val="center"/>
              <w:rPr>
                <w:rFonts w:ascii="Times New Roman" w:eastAsia="仿宋" w:hAnsi="Times New Roman" w:cs="Times New Roman"/>
                <w:kern w:val="0"/>
                <w:sz w:val="24"/>
                <w:szCs w:val="24"/>
              </w:rPr>
            </w:pPr>
          </w:p>
        </w:tc>
        <w:tc>
          <w:tcPr>
            <w:tcW w:w="4111"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无特别用药警示</w:t>
            </w:r>
          </w:p>
        </w:tc>
        <w:tc>
          <w:tcPr>
            <w:tcW w:w="542"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1</w:t>
            </w:r>
          </w:p>
        </w:tc>
        <w:tc>
          <w:tcPr>
            <w:tcW w:w="735"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807"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56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c>
          <w:tcPr>
            <w:tcW w:w="749" w:type="dxa"/>
            <w:tcBorders>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0</w:t>
            </w:r>
          </w:p>
        </w:tc>
      </w:tr>
      <w:tr w:rsidR="00C96FF8">
        <w:trPr>
          <w:trHeight w:val="292"/>
          <w:jc w:val="center"/>
        </w:trPr>
        <w:tc>
          <w:tcPr>
            <w:tcW w:w="5245" w:type="dxa"/>
            <w:gridSpan w:val="2"/>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bCs/>
                <w:color w:val="000000"/>
                <w:kern w:val="24"/>
                <w:sz w:val="24"/>
                <w:szCs w:val="24"/>
              </w:rPr>
              <w:t>安全性评分</w:t>
            </w:r>
          </w:p>
        </w:tc>
        <w:tc>
          <w:tcPr>
            <w:tcW w:w="542"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C96FF8">
            <w:pPr>
              <w:jc w:val="center"/>
              <w:rPr>
                <w:rFonts w:ascii="Times New Roman" w:eastAsia="仿宋" w:hAnsi="Times New Roman" w:cs="Times New Roman"/>
                <w:kern w:val="0"/>
                <w:sz w:val="24"/>
                <w:szCs w:val="24"/>
              </w:rPr>
            </w:pPr>
          </w:p>
        </w:tc>
        <w:tc>
          <w:tcPr>
            <w:tcW w:w="735"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c>
          <w:tcPr>
            <w:tcW w:w="807"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c>
          <w:tcPr>
            <w:tcW w:w="56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8.6</w:t>
            </w:r>
          </w:p>
        </w:tc>
        <w:tc>
          <w:tcPr>
            <w:tcW w:w="749" w:type="dxa"/>
            <w:tcBorders>
              <w:top w:val="single" w:sz="4" w:space="0" w:color="auto"/>
              <w:bottom w:val="single" w:sz="4" w:space="0" w:color="auto"/>
            </w:tcBorders>
            <w:shd w:val="clear" w:color="auto" w:fill="FFFFFF" w:themeFill="background1"/>
            <w:tcMar>
              <w:top w:w="9" w:type="dxa"/>
              <w:left w:w="9" w:type="dxa"/>
              <w:bottom w:w="0" w:type="dxa"/>
              <w:right w:w="9" w:type="dxa"/>
            </w:tcMar>
            <w:vAlign w:val="center"/>
          </w:tcPr>
          <w:p w:rsidR="00C96FF8" w:rsidRDefault="00DD68D6">
            <w:pPr>
              <w:jc w:val="center"/>
              <w:textAlignment w:val="bottom"/>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r>
    </w:tbl>
    <w:p w:rsidR="00C96FF8" w:rsidRDefault="00C96FF8">
      <w:pPr>
        <w:ind w:firstLineChars="200" w:firstLine="560"/>
        <w:rPr>
          <w:rFonts w:ascii="Times New Roman" w:eastAsia="仿宋" w:hAnsi="Times New Roman" w:cs="Times New Roman"/>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4.</w:t>
      </w:r>
      <w:r>
        <w:rPr>
          <w:rFonts w:ascii="Times New Roman" w:eastAsia="仿宋" w:hAnsi="Times New Roman" w:cs="Times New Roman"/>
          <w:b/>
          <w:bCs/>
          <w:sz w:val="28"/>
          <w:szCs w:val="28"/>
        </w:rPr>
        <w:t>4</w:t>
      </w:r>
      <w:r>
        <w:rPr>
          <w:rFonts w:ascii="Times New Roman" w:eastAsia="仿宋" w:hAnsi="Times New Roman" w:cs="Times New Roman" w:hint="eastAsia"/>
          <w:b/>
          <w:bCs/>
          <w:sz w:val="28"/>
          <w:szCs w:val="28"/>
        </w:rPr>
        <w:t xml:space="preserve"> </w:t>
      </w:r>
      <w:r>
        <w:rPr>
          <w:rFonts w:ascii="Times New Roman" w:eastAsia="仿宋" w:hAnsi="Times New Roman" w:cs="Times New Roman"/>
          <w:b/>
          <w:bCs/>
          <w:sz w:val="28"/>
          <w:szCs w:val="28"/>
        </w:rPr>
        <w:t>经济性评分</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所评价药品日均治疗费用（百分位）：价格均以原研药评价，根据广州药品集团采购平台（</w:t>
      </w:r>
      <w:r>
        <w:rPr>
          <w:rFonts w:ascii="Times New Roman" w:eastAsia="仿宋" w:hAnsi="Times New Roman" w:cs="Times New Roman"/>
          <w:sz w:val="28"/>
          <w:szCs w:val="28"/>
        </w:rPr>
        <w:t>GPO</w:t>
      </w:r>
      <w:r>
        <w:rPr>
          <w:rFonts w:ascii="Times New Roman" w:eastAsia="仿宋" w:hAnsi="Times New Roman" w:cs="Times New Roman"/>
          <w:sz w:val="28"/>
          <w:szCs w:val="28"/>
        </w:rPr>
        <w:t>）挂网价格计入，取值保留小数点后两位，达格列净为</w:t>
      </w:r>
      <w:r>
        <w:rPr>
          <w:rFonts w:ascii="Times New Roman" w:eastAsia="仿宋" w:hAnsi="Times New Roman" w:cs="Times New Roman"/>
          <w:sz w:val="28"/>
          <w:szCs w:val="28"/>
        </w:rPr>
        <w:t>4.36</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日，恩格列净为</w:t>
      </w:r>
      <w:r>
        <w:rPr>
          <w:rFonts w:ascii="Times New Roman" w:eastAsia="仿宋" w:hAnsi="Times New Roman" w:cs="Times New Roman"/>
          <w:sz w:val="28"/>
          <w:szCs w:val="28"/>
        </w:rPr>
        <w:t>4.24</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日，卡格列净为</w:t>
      </w:r>
      <w:r>
        <w:rPr>
          <w:rFonts w:ascii="Times New Roman" w:eastAsia="仿宋" w:hAnsi="Times New Roman" w:cs="Times New Roman"/>
          <w:sz w:val="28"/>
          <w:szCs w:val="28"/>
        </w:rPr>
        <w:t>4.08</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日，艾托格列净为</w:t>
      </w:r>
      <w:r>
        <w:rPr>
          <w:rFonts w:ascii="Times New Roman" w:eastAsia="仿宋" w:hAnsi="Times New Roman" w:cs="Times New Roman"/>
          <w:sz w:val="28"/>
          <w:szCs w:val="28"/>
        </w:rPr>
        <w:t>3.46</w:t>
      </w:r>
      <w:r>
        <w:rPr>
          <w:rFonts w:ascii="Times New Roman" w:eastAsia="仿宋" w:hAnsi="Times New Roman" w:cs="Times New Roman"/>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日。价格由低到高排列，取百分位数，艾托格列净为</w:t>
      </w:r>
      <w:r>
        <w:rPr>
          <w:rFonts w:ascii="Times New Roman" w:eastAsia="仿宋" w:hAnsi="Times New Roman" w:cs="Times New Roman"/>
          <w:sz w:val="28"/>
          <w:szCs w:val="28"/>
        </w:rPr>
        <w:t>P60%</w:t>
      </w:r>
      <w:r>
        <w:rPr>
          <w:rFonts w:ascii="Times New Roman" w:eastAsia="仿宋" w:hAnsi="Times New Roman" w:cs="Times New Roman" w:hint="eastAsia"/>
          <w:sz w:val="28"/>
          <w:szCs w:val="28"/>
        </w:rPr>
        <w:t>~</w:t>
      </w:r>
      <w:r>
        <w:rPr>
          <w:rFonts w:ascii="Times New Roman" w:eastAsia="仿宋" w:hAnsi="Times New Roman" w:cs="Times New Roman"/>
          <w:sz w:val="28"/>
          <w:szCs w:val="28"/>
        </w:rPr>
        <w:t>80%</w:t>
      </w:r>
      <w:r>
        <w:rPr>
          <w:rFonts w:ascii="Times New Roman" w:eastAsia="仿宋" w:hAnsi="Times New Roman" w:cs="Times New Roman"/>
          <w:sz w:val="28"/>
          <w:szCs w:val="28"/>
        </w:rPr>
        <w:t>区间，得</w:t>
      </w:r>
      <w:r>
        <w:rPr>
          <w:rFonts w:ascii="Times New Roman" w:eastAsia="仿宋" w:hAnsi="Times New Roman" w:cs="Times New Roman"/>
          <w:sz w:val="28"/>
          <w:szCs w:val="28"/>
        </w:rPr>
        <w:t>14</w:t>
      </w:r>
      <w:r>
        <w:rPr>
          <w:rFonts w:ascii="Times New Roman" w:eastAsia="仿宋" w:hAnsi="Times New Roman" w:cs="Times New Roman"/>
          <w:sz w:val="28"/>
          <w:szCs w:val="28"/>
        </w:rPr>
        <w:t>分；达格列净、恩格列净、卡格列净为</w:t>
      </w:r>
      <w:r>
        <w:rPr>
          <w:rFonts w:ascii="Times New Roman" w:eastAsia="仿宋" w:hAnsi="Times New Roman" w:cs="Times New Roman"/>
          <w:sz w:val="28"/>
          <w:szCs w:val="28"/>
        </w:rPr>
        <w:t>P80%</w:t>
      </w:r>
      <w:r>
        <w:rPr>
          <w:rFonts w:ascii="Times New Roman" w:eastAsia="仿宋" w:hAnsi="Times New Roman" w:cs="Times New Roman" w:hint="eastAsia"/>
          <w:sz w:val="28"/>
          <w:szCs w:val="28"/>
        </w:rPr>
        <w:t>~</w:t>
      </w:r>
      <w:r>
        <w:rPr>
          <w:rFonts w:ascii="Times New Roman" w:eastAsia="仿宋" w:hAnsi="Times New Roman" w:cs="Times New Roman"/>
          <w:sz w:val="28"/>
          <w:szCs w:val="28"/>
        </w:rPr>
        <w:t>100%</w:t>
      </w:r>
      <w:r>
        <w:rPr>
          <w:rFonts w:ascii="Times New Roman" w:eastAsia="仿宋" w:hAnsi="Times New Roman" w:cs="Times New Roman"/>
          <w:sz w:val="28"/>
          <w:szCs w:val="28"/>
        </w:rPr>
        <w:t>区间，得</w:t>
      </w:r>
      <w:r>
        <w:rPr>
          <w:rFonts w:ascii="Times New Roman" w:eastAsia="仿宋" w:hAnsi="Times New Roman" w:cs="Times New Roman"/>
          <w:sz w:val="28"/>
          <w:szCs w:val="28"/>
        </w:rPr>
        <w:t>12</w:t>
      </w:r>
      <w:r>
        <w:rPr>
          <w:rFonts w:ascii="Times New Roman" w:eastAsia="仿宋" w:hAnsi="Times New Roman" w:cs="Times New Roman"/>
          <w:sz w:val="28"/>
          <w:szCs w:val="28"/>
        </w:rPr>
        <w:t>分。经济性评分具体打分情况见表</w:t>
      </w:r>
      <w:r>
        <w:rPr>
          <w:rFonts w:ascii="Times New Roman" w:eastAsia="仿宋" w:hAnsi="Times New Roman" w:cs="Times New Roman"/>
          <w:sz w:val="28"/>
          <w:szCs w:val="28"/>
        </w:rPr>
        <w:t>6</w:t>
      </w:r>
      <w:r>
        <w:rPr>
          <w:rFonts w:ascii="Times New Roman" w:eastAsia="仿宋" w:hAnsi="Times New Roman" w:cs="Times New Roman"/>
          <w:sz w:val="28"/>
          <w:szCs w:val="28"/>
        </w:rPr>
        <w:t>。</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 xml:space="preserve">6 </w:t>
      </w:r>
      <w:r>
        <w:rPr>
          <w:rFonts w:ascii="Times New Roman" w:eastAsia="仿宋" w:hAnsi="Times New Roman" w:cs="Times New Roman"/>
          <w:sz w:val="24"/>
          <w:szCs w:val="24"/>
        </w:rPr>
        <w:t>SGLT-2</w:t>
      </w:r>
      <w:r>
        <w:rPr>
          <w:rFonts w:ascii="Times New Roman" w:eastAsia="仿宋" w:hAnsi="Times New Roman" w:cs="Times New Roman"/>
          <w:sz w:val="24"/>
          <w:szCs w:val="24"/>
        </w:rPr>
        <w:t>抑制剂</w:t>
      </w:r>
      <w:r>
        <w:rPr>
          <w:rFonts w:ascii="Times New Roman" w:eastAsia="仿宋" w:hAnsi="Times New Roman" w:cs="Times New Roman"/>
          <w:sz w:val="24"/>
          <w:szCs w:val="28"/>
        </w:rPr>
        <w:t>经济性评分</w:t>
      </w:r>
    </w:p>
    <w:tbl>
      <w:tblPr>
        <w:tblW w:w="8505" w:type="dxa"/>
        <w:tblLook w:val="04A0" w:firstRow="1" w:lastRow="0" w:firstColumn="1" w:lastColumn="0" w:noHBand="0" w:noVBand="1"/>
      </w:tblPr>
      <w:tblGrid>
        <w:gridCol w:w="1701"/>
        <w:gridCol w:w="1843"/>
        <w:gridCol w:w="1276"/>
        <w:gridCol w:w="992"/>
        <w:gridCol w:w="992"/>
        <w:gridCol w:w="709"/>
        <w:gridCol w:w="992"/>
      </w:tblGrid>
      <w:tr w:rsidR="00C96FF8">
        <w:trPr>
          <w:trHeight w:val="610"/>
        </w:trPr>
        <w:tc>
          <w:tcPr>
            <w:tcW w:w="3544" w:type="dxa"/>
            <w:gridSpan w:val="2"/>
            <w:tcBorders>
              <w:top w:val="single" w:sz="8" w:space="0" w:color="7F7F7F"/>
              <w:left w:val="nil"/>
              <w:bottom w:val="single" w:sz="8" w:space="0" w:color="7F7F7F"/>
              <w:right w:val="nil"/>
            </w:tcBorders>
            <w:shd w:val="clear" w:color="auto" w:fill="auto"/>
            <w:vAlign w:val="center"/>
          </w:tcPr>
          <w:p w:rsidR="00C96FF8" w:rsidRDefault="00DD68D6">
            <w:pPr>
              <w:jc w:val="left"/>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经济性（</w:t>
            </w:r>
            <w:r>
              <w:rPr>
                <w:rFonts w:ascii="Times New Roman" w:eastAsia="仿宋" w:hAnsi="Times New Roman" w:cs="Times New Roman"/>
                <w:b/>
                <w:bCs/>
                <w:color w:val="000000"/>
                <w:kern w:val="0"/>
                <w:sz w:val="24"/>
                <w:szCs w:val="24"/>
              </w:rPr>
              <w:t>20</w:t>
            </w:r>
            <w:r>
              <w:rPr>
                <w:rFonts w:ascii="Times New Roman" w:eastAsia="仿宋" w:hAnsi="Times New Roman" w:cs="Times New Roman"/>
                <w:b/>
                <w:bCs/>
                <w:color w:val="000000"/>
                <w:kern w:val="0"/>
                <w:sz w:val="24"/>
                <w:szCs w:val="24"/>
              </w:rPr>
              <w:t>分）</w:t>
            </w:r>
          </w:p>
        </w:tc>
        <w:tc>
          <w:tcPr>
            <w:tcW w:w="1276" w:type="dxa"/>
            <w:tcBorders>
              <w:top w:val="single" w:sz="8" w:space="0" w:color="7F7F7F"/>
              <w:left w:val="nil"/>
              <w:bottom w:val="single" w:sz="8" w:space="0" w:color="7F7F7F"/>
              <w:right w:val="nil"/>
            </w:tcBorders>
            <w:shd w:val="clear" w:color="auto" w:fill="auto"/>
            <w:vAlign w:val="center"/>
          </w:tcPr>
          <w:p w:rsidR="00C96FF8" w:rsidRDefault="00DD68D6">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color w:val="000000"/>
                <w:kern w:val="0"/>
                <w:sz w:val="24"/>
                <w:szCs w:val="24"/>
              </w:rPr>
              <w:t>评分标准</w:t>
            </w:r>
          </w:p>
        </w:tc>
        <w:tc>
          <w:tcPr>
            <w:tcW w:w="992" w:type="dxa"/>
            <w:tcBorders>
              <w:top w:val="single" w:sz="8" w:space="0" w:color="7F7F7F"/>
              <w:left w:val="nil"/>
              <w:bottom w:val="single" w:sz="8" w:space="0" w:color="7F7F7F"/>
              <w:right w:val="nil"/>
            </w:tcBorders>
            <w:shd w:val="clear" w:color="auto" w:fill="auto"/>
          </w:tcPr>
          <w:p w:rsidR="00C96FF8" w:rsidRDefault="00DD68D6">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szCs w:val="21"/>
              </w:rPr>
              <w:t>达格列净</w:t>
            </w:r>
          </w:p>
        </w:tc>
        <w:tc>
          <w:tcPr>
            <w:tcW w:w="992" w:type="dxa"/>
            <w:tcBorders>
              <w:top w:val="single" w:sz="8" w:space="0" w:color="7F7F7F"/>
              <w:left w:val="nil"/>
              <w:bottom w:val="single" w:sz="8" w:space="0" w:color="7F7F7F"/>
              <w:right w:val="nil"/>
            </w:tcBorders>
            <w:shd w:val="clear" w:color="auto" w:fill="auto"/>
          </w:tcPr>
          <w:p w:rsidR="00C96FF8" w:rsidRDefault="00DD68D6">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szCs w:val="21"/>
              </w:rPr>
              <w:t>恩格列净</w:t>
            </w:r>
          </w:p>
        </w:tc>
        <w:tc>
          <w:tcPr>
            <w:tcW w:w="709" w:type="dxa"/>
            <w:tcBorders>
              <w:top w:val="single" w:sz="8" w:space="0" w:color="7F7F7F"/>
              <w:left w:val="nil"/>
              <w:bottom w:val="single" w:sz="8" w:space="0" w:color="7F7F7F"/>
              <w:right w:val="nil"/>
            </w:tcBorders>
            <w:shd w:val="clear" w:color="auto" w:fill="auto"/>
          </w:tcPr>
          <w:p w:rsidR="00C96FF8" w:rsidRDefault="00DD68D6">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szCs w:val="21"/>
              </w:rPr>
              <w:t>卡格列净</w:t>
            </w:r>
          </w:p>
        </w:tc>
        <w:tc>
          <w:tcPr>
            <w:tcW w:w="992" w:type="dxa"/>
            <w:tcBorders>
              <w:top w:val="single" w:sz="8" w:space="0" w:color="7F7F7F"/>
              <w:left w:val="nil"/>
              <w:bottom w:val="single" w:sz="8" w:space="0" w:color="7F7F7F"/>
              <w:right w:val="nil"/>
            </w:tcBorders>
            <w:shd w:val="clear" w:color="auto" w:fill="auto"/>
          </w:tcPr>
          <w:p w:rsidR="00C96FF8" w:rsidRDefault="00DD68D6">
            <w:pPr>
              <w:jc w:val="center"/>
              <w:rPr>
                <w:rFonts w:ascii="Times New Roman" w:eastAsia="仿宋" w:hAnsi="Times New Roman" w:cs="Times New Roman"/>
                <w:b/>
                <w:bCs/>
                <w:color w:val="000000"/>
                <w:kern w:val="0"/>
                <w:sz w:val="24"/>
                <w:szCs w:val="24"/>
              </w:rPr>
            </w:pPr>
            <w:r>
              <w:rPr>
                <w:rFonts w:ascii="Times New Roman" w:eastAsia="仿宋" w:hAnsi="Times New Roman" w:cs="Times New Roman"/>
                <w:b/>
                <w:bCs/>
                <w:szCs w:val="21"/>
              </w:rPr>
              <w:t>艾托格列净</w:t>
            </w:r>
          </w:p>
        </w:tc>
      </w:tr>
      <w:tr w:rsidR="00C96FF8">
        <w:trPr>
          <w:trHeight w:val="300"/>
        </w:trPr>
        <w:tc>
          <w:tcPr>
            <w:tcW w:w="1701" w:type="dxa"/>
            <w:vMerge w:val="restart"/>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所评价药品日均治疗费用</w:t>
            </w:r>
            <w:r>
              <w:rPr>
                <w:rFonts w:ascii="Times New Roman" w:eastAsia="仿宋" w:hAnsi="Times New Roman" w:cs="Times New Roman"/>
                <w:color w:val="000000"/>
                <w:kern w:val="0"/>
                <w:sz w:val="24"/>
                <w:szCs w:val="24"/>
              </w:rPr>
              <w:t xml:space="preserve"> </w:t>
            </w:r>
            <w:r>
              <w:rPr>
                <w:rFonts w:ascii="Times New Roman" w:eastAsia="仿宋" w:hAnsi="Times New Roman" w:cs="Times New Roman"/>
                <w:color w:val="000000"/>
                <w:kern w:val="0"/>
                <w:sz w:val="24"/>
                <w:szCs w:val="24"/>
              </w:rPr>
              <w:t>（百分位）</w:t>
            </w:r>
          </w:p>
        </w:tc>
        <w:tc>
          <w:tcPr>
            <w:tcW w:w="1843" w:type="dxa"/>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最低</w:t>
            </w:r>
            <w:r>
              <w:rPr>
                <w:rFonts w:ascii="Times New Roman" w:eastAsia="仿宋" w:hAnsi="Times New Roman" w:cs="Times New Roman"/>
                <w:color w:val="000000"/>
                <w:kern w:val="0"/>
                <w:sz w:val="24"/>
                <w:szCs w:val="24"/>
              </w:rPr>
              <w:t>P20%</w:t>
            </w:r>
          </w:p>
        </w:tc>
        <w:tc>
          <w:tcPr>
            <w:tcW w:w="1276"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20</w:t>
            </w: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r>
      <w:tr w:rsidR="00C96FF8">
        <w:trPr>
          <w:trHeight w:val="600"/>
        </w:trPr>
        <w:tc>
          <w:tcPr>
            <w:tcW w:w="1701" w:type="dxa"/>
            <w:vMerge/>
            <w:tcBorders>
              <w:top w:val="nil"/>
              <w:left w:val="nil"/>
              <w:bottom w:val="nil"/>
              <w:right w:val="nil"/>
            </w:tcBorders>
            <w:vAlign w:val="center"/>
          </w:tcPr>
          <w:p w:rsidR="00C96FF8" w:rsidRDefault="00C96FF8">
            <w:pPr>
              <w:jc w:val="left"/>
              <w:rPr>
                <w:rFonts w:ascii="Times New Roman" w:eastAsia="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P20%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40%</w:t>
            </w:r>
            <w:r>
              <w:rPr>
                <w:rFonts w:ascii="Times New Roman" w:eastAsia="仿宋" w:hAnsi="Times New Roman"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18</w:t>
            </w: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r>
      <w:tr w:rsidR="00C96FF8">
        <w:trPr>
          <w:trHeight w:val="600"/>
        </w:trPr>
        <w:tc>
          <w:tcPr>
            <w:tcW w:w="1701" w:type="dxa"/>
            <w:vMerge/>
            <w:tcBorders>
              <w:top w:val="nil"/>
              <w:left w:val="nil"/>
              <w:bottom w:val="nil"/>
              <w:right w:val="nil"/>
            </w:tcBorders>
            <w:vAlign w:val="center"/>
          </w:tcPr>
          <w:p w:rsidR="00C96FF8" w:rsidRDefault="00C96FF8">
            <w:pPr>
              <w:jc w:val="left"/>
              <w:rPr>
                <w:rFonts w:ascii="Times New Roman" w:eastAsia="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P40%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60%</w:t>
            </w:r>
            <w:r>
              <w:rPr>
                <w:rFonts w:ascii="Times New Roman" w:eastAsia="仿宋" w:hAnsi="Times New Roman"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16</w:t>
            </w: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709"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r>
      <w:tr w:rsidR="00C96FF8">
        <w:trPr>
          <w:trHeight w:val="600"/>
        </w:trPr>
        <w:tc>
          <w:tcPr>
            <w:tcW w:w="1701" w:type="dxa"/>
            <w:vMerge/>
            <w:tcBorders>
              <w:top w:val="nil"/>
              <w:left w:val="nil"/>
              <w:bottom w:val="nil"/>
              <w:right w:val="nil"/>
            </w:tcBorders>
            <w:vAlign w:val="center"/>
          </w:tcPr>
          <w:p w:rsidR="00C96FF8" w:rsidRDefault="00C96FF8">
            <w:pPr>
              <w:jc w:val="left"/>
              <w:rPr>
                <w:rFonts w:ascii="Times New Roman" w:eastAsia="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P60%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80%</w:t>
            </w:r>
            <w:r>
              <w:rPr>
                <w:rFonts w:ascii="Times New Roman" w:eastAsia="仿宋" w:hAnsi="Times New Roman"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14</w:t>
            </w: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709" w:type="dxa"/>
            <w:tcBorders>
              <w:top w:val="nil"/>
              <w:left w:val="nil"/>
              <w:bottom w:val="nil"/>
              <w:right w:val="nil"/>
            </w:tcBorders>
            <w:shd w:val="clear" w:color="auto" w:fill="auto"/>
            <w:vAlign w:val="center"/>
          </w:tcPr>
          <w:p w:rsidR="00C96FF8" w:rsidRDefault="00C96FF8">
            <w:pPr>
              <w:jc w:val="center"/>
              <w:rPr>
                <w:rFonts w:ascii="Times New Roman" w:eastAsia="Times New Roman" w:hAnsi="Times New Roman" w:cs="Times New Roman"/>
                <w:kern w:val="0"/>
                <w:sz w:val="20"/>
                <w:szCs w:val="20"/>
              </w:rPr>
            </w:pPr>
          </w:p>
        </w:tc>
        <w:tc>
          <w:tcPr>
            <w:tcW w:w="992" w:type="dxa"/>
            <w:tcBorders>
              <w:top w:val="nil"/>
              <w:left w:val="nil"/>
              <w:bottom w:val="nil"/>
              <w:right w:val="nil"/>
            </w:tcBorders>
            <w:shd w:val="clear" w:color="auto" w:fill="auto"/>
            <w:vAlign w:val="center"/>
          </w:tcPr>
          <w:p w:rsidR="00C96FF8" w:rsidRDefault="00DD68D6">
            <w:pPr>
              <w:jc w:val="center"/>
              <w:rPr>
                <w:rFonts w:ascii="Times New Roman" w:hAnsi="Times New Roman" w:cs="Times New Roman"/>
                <w:kern w:val="0"/>
                <w:sz w:val="20"/>
                <w:szCs w:val="20"/>
              </w:rPr>
            </w:pPr>
            <w:r>
              <w:rPr>
                <w:rFonts w:ascii="Times New Roman" w:eastAsia="仿宋" w:hAnsi="Times New Roman" w:cs="Times New Roman"/>
                <w:color w:val="000000"/>
                <w:kern w:val="0"/>
                <w:sz w:val="24"/>
                <w:szCs w:val="24"/>
              </w:rPr>
              <w:t>14</w:t>
            </w:r>
          </w:p>
        </w:tc>
      </w:tr>
      <w:tr w:rsidR="00C96FF8">
        <w:trPr>
          <w:trHeight w:val="600"/>
        </w:trPr>
        <w:tc>
          <w:tcPr>
            <w:tcW w:w="1701" w:type="dxa"/>
            <w:vMerge/>
            <w:tcBorders>
              <w:top w:val="nil"/>
              <w:left w:val="nil"/>
              <w:bottom w:val="nil"/>
              <w:right w:val="nil"/>
            </w:tcBorders>
            <w:vAlign w:val="center"/>
          </w:tcPr>
          <w:p w:rsidR="00C96FF8" w:rsidRDefault="00C96FF8">
            <w:pPr>
              <w:jc w:val="left"/>
              <w:rPr>
                <w:rFonts w:ascii="Times New Roman" w:eastAsia="仿宋" w:hAnsi="Times New Roman" w:cs="Times New Roman"/>
                <w:color w:val="000000"/>
                <w:kern w:val="0"/>
                <w:sz w:val="24"/>
                <w:szCs w:val="24"/>
              </w:rPr>
            </w:pPr>
          </w:p>
        </w:tc>
        <w:tc>
          <w:tcPr>
            <w:tcW w:w="1843" w:type="dxa"/>
            <w:tcBorders>
              <w:top w:val="nil"/>
              <w:left w:val="nil"/>
              <w:bottom w:val="nil"/>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P80%</w:t>
            </w:r>
            <w:r>
              <w:rPr>
                <w:rFonts w:ascii="Times New Roman" w:eastAsia="仿宋" w:hAnsi="Times New Roman" w:cs="Times New Roman" w:hint="eastAsia"/>
                <w:color w:val="000000"/>
                <w:kern w:val="0"/>
                <w:sz w:val="24"/>
                <w:szCs w:val="24"/>
              </w:rPr>
              <w:t>~</w:t>
            </w:r>
            <w:r>
              <w:rPr>
                <w:rFonts w:ascii="Times New Roman" w:eastAsia="仿宋" w:hAnsi="Times New Roman" w:cs="Times New Roman"/>
                <w:color w:val="000000"/>
                <w:kern w:val="0"/>
                <w:sz w:val="24"/>
                <w:szCs w:val="24"/>
              </w:rPr>
              <w:t>100%</w:t>
            </w:r>
            <w:r>
              <w:rPr>
                <w:rFonts w:ascii="Times New Roman" w:eastAsia="仿宋" w:hAnsi="Times New Roman" w:cs="Times New Roman"/>
                <w:color w:val="000000"/>
                <w:kern w:val="0"/>
                <w:sz w:val="24"/>
                <w:szCs w:val="24"/>
              </w:rPr>
              <w:t>区间</w:t>
            </w:r>
          </w:p>
        </w:tc>
        <w:tc>
          <w:tcPr>
            <w:tcW w:w="1276"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992"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992"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709" w:type="dxa"/>
            <w:tcBorders>
              <w:top w:val="nil"/>
              <w:left w:val="nil"/>
              <w:bottom w:val="nil"/>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992" w:type="dxa"/>
            <w:tcBorders>
              <w:top w:val="nil"/>
              <w:left w:val="nil"/>
              <w:bottom w:val="nil"/>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r>
      <w:tr w:rsidR="00C96FF8">
        <w:trPr>
          <w:trHeight w:val="310"/>
        </w:trPr>
        <w:tc>
          <w:tcPr>
            <w:tcW w:w="3544" w:type="dxa"/>
            <w:gridSpan w:val="2"/>
            <w:tcBorders>
              <w:top w:val="nil"/>
              <w:left w:val="nil"/>
              <w:bottom w:val="single" w:sz="8" w:space="0" w:color="7F7F7F"/>
              <w:right w:val="nil"/>
            </w:tcBorders>
            <w:shd w:val="clear" w:color="auto" w:fill="auto"/>
            <w:vAlign w:val="center"/>
          </w:tcPr>
          <w:p w:rsidR="00C96FF8" w:rsidRDefault="00DD68D6">
            <w:pPr>
              <w:jc w:val="left"/>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经济性评分</w:t>
            </w:r>
          </w:p>
        </w:tc>
        <w:tc>
          <w:tcPr>
            <w:tcW w:w="1276" w:type="dxa"/>
            <w:tcBorders>
              <w:top w:val="nil"/>
              <w:left w:val="nil"/>
              <w:bottom w:val="single" w:sz="8" w:space="0" w:color="7F7F7F"/>
              <w:right w:val="nil"/>
            </w:tcBorders>
            <w:shd w:val="clear" w:color="auto" w:fill="auto"/>
            <w:vAlign w:val="center"/>
          </w:tcPr>
          <w:p w:rsidR="00C96FF8" w:rsidRDefault="00C96FF8">
            <w:pPr>
              <w:jc w:val="center"/>
              <w:rPr>
                <w:rFonts w:ascii="Times New Roman" w:eastAsia="仿宋" w:hAnsi="Times New Roman" w:cs="Times New Roman"/>
                <w:color w:val="000000"/>
                <w:kern w:val="0"/>
                <w:sz w:val="24"/>
                <w:szCs w:val="24"/>
              </w:rPr>
            </w:pPr>
          </w:p>
        </w:tc>
        <w:tc>
          <w:tcPr>
            <w:tcW w:w="992" w:type="dxa"/>
            <w:tcBorders>
              <w:top w:val="nil"/>
              <w:left w:val="nil"/>
              <w:bottom w:val="single" w:sz="8" w:space="0" w:color="7F7F7F"/>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992" w:type="dxa"/>
            <w:tcBorders>
              <w:top w:val="nil"/>
              <w:left w:val="nil"/>
              <w:bottom w:val="single" w:sz="8" w:space="0" w:color="7F7F7F"/>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709" w:type="dxa"/>
            <w:tcBorders>
              <w:top w:val="nil"/>
              <w:left w:val="nil"/>
              <w:bottom w:val="single" w:sz="8" w:space="0" w:color="7F7F7F"/>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12</w:t>
            </w:r>
          </w:p>
        </w:tc>
        <w:tc>
          <w:tcPr>
            <w:tcW w:w="992" w:type="dxa"/>
            <w:tcBorders>
              <w:top w:val="nil"/>
              <w:left w:val="nil"/>
              <w:bottom w:val="single" w:sz="8" w:space="0" w:color="7F7F7F"/>
              <w:right w:val="nil"/>
            </w:tcBorders>
            <w:shd w:val="clear" w:color="auto" w:fill="auto"/>
            <w:vAlign w:val="center"/>
          </w:tcPr>
          <w:p w:rsidR="00C96FF8" w:rsidRDefault="00DD68D6">
            <w:pPr>
              <w:jc w:val="center"/>
              <w:rPr>
                <w:rFonts w:ascii="Times New Roman" w:eastAsia="仿宋" w:hAnsi="Times New Roman" w:cs="Times New Roman"/>
                <w:color w:val="000000"/>
                <w:kern w:val="0"/>
                <w:sz w:val="24"/>
                <w:szCs w:val="24"/>
              </w:rPr>
            </w:pPr>
            <w:r>
              <w:rPr>
                <w:rFonts w:ascii="Times New Roman" w:eastAsia="仿宋" w:hAnsi="Times New Roman" w:cs="Times New Roman"/>
                <w:color w:val="000000"/>
                <w:kern w:val="0"/>
                <w:sz w:val="24"/>
                <w:szCs w:val="24"/>
              </w:rPr>
              <w:t>14</w:t>
            </w:r>
          </w:p>
        </w:tc>
      </w:tr>
    </w:tbl>
    <w:p w:rsidR="00C96FF8" w:rsidRDefault="00C96FF8">
      <w:pPr>
        <w:ind w:firstLineChars="200" w:firstLine="560"/>
        <w:rPr>
          <w:rFonts w:ascii="Times New Roman" w:eastAsia="仿宋" w:hAnsi="Times New Roman" w:cs="Times New Roman"/>
          <w:sz w:val="28"/>
          <w:szCs w:val="28"/>
        </w:rPr>
      </w:pPr>
    </w:p>
    <w:p w:rsidR="00C96FF8" w:rsidRDefault="00DD68D6">
      <w:pPr>
        <w:pStyle w:val="1"/>
        <w:tabs>
          <w:tab w:val="left" w:pos="993"/>
        </w:tabs>
        <w:ind w:firstLineChars="0" w:firstLine="0"/>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4.5 </w:t>
      </w:r>
      <w:r>
        <w:rPr>
          <w:rFonts w:ascii="Times New Roman" w:eastAsia="仿宋" w:hAnsi="Times New Roman" w:cs="Times New Roman"/>
          <w:b/>
          <w:bCs/>
          <w:sz w:val="28"/>
          <w:szCs w:val="28"/>
        </w:rPr>
        <w:t>其他属性评分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5.1</w:t>
      </w:r>
      <w:r>
        <w:rPr>
          <w:rFonts w:ascii="Times New Roman" w:eastAsia="仿宋" w:hAnsi="Times New Roman" w:cs="Times New Roman"/>
          <w:sz w:val="28"/>
          <w:szCs w:val="28"/>
        </w:rPr>
        <w:t>国家医保评分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抑制剂均为国家医保乙类药品，有支付限制条件，得</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4.</w:t>
      </w:r>
      <w:r>
        <w:rPr>
          <w:rFonts w:ascii="Times New Roman" w:eastAsia="仿宋" w:hAnsi="Times New Roman" w:cs="Times New Roman"/>
          <w:sz w:val="28"/>
          <w:szCs w:val="28"/>
        </w:rPr>
        <w:t>5.2</w:t>
      </w:r>
      <w:r>
        <w:rPr>
          <w:rFonts w:ascii="Times New Roman" w:eastAsia="仿宋" w:hAnsi="Times New Roman" w:cs="Times New Roman"/>
          <w:sz w:val="28"/>
          <w:szCs w:val="28"/>
        </w:rPr>
        <w:t>基本药物评分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达格列净在《国家基本药物目录》，没有</w:t>
      </w:r>
      <w:r>
        <w:rPr>
          <w:rFonts w:ascii="Times New Roman" w:eastAsia="宋体" w:hAnsi="Times New Roman" w:cs="Times New Roman"/>
          <w:sz w:val="24"/>
          <w:szCs w:val="24"/>
        </w:rPr>
        <w:t>△</w:t>
      </w:r>
      <w:r>
        <w:rPr>
          <w:rFonts w:ascii="Times New Roman" w:eastAsia="仿宋" w:hAnsi="Times New Roman" w:cs="Times New Roman"/>
          <w:sz w:val="28"/>
          <w:szCs w:val="28"/>
        </w:rPr>
        <w:t>要求，得</w:t>
      </w:r>
      <w:r>
        <w:rPr>
          <w:rFonts w:ascii="Times New Roman" w:eastAsia="仿宋" w:hAnsi="Times New Roman" w:cs="Times New Roman"/>
          <w:sz w:val="28"/>
          <w:szCs w:val="28"/>
        </w:rPr>
        <w:t>3</w:t>
      </w:r>
      <w:r>
        <w:rPr>
          <w:rFonts w:ascii="Times New Roman" w:eastAsia="仿宋" w:hAnsi="Times New Roman" w:cs="Times New Roman"/>
          <w:sz w:val="28"/>
          <w:szCs w:val="28"/>
        </w:rPr>
        <w:t>分；恩格列净、卡格列净和艾托格列净均不在《国家基本药物目录》，得</w:t>
      </w:r>
      <w:r>
        <w:rPr>
          <w:rFonts w:ascii="Times New Roman" w:eastAsia="仿宋" w:hAnsi="Times New Roman" w:cs="Times New Roman"/>
          <w:sz w:val="28"/>
          <w:szCs w:val="28"/>
        </w:rPr>
        <w:t>1</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5.3</w:t>
      </w:r>
      <w:r>
        <w:rPr>
          <w:rFonts w:ascii="Times New Roman" w:eastAsia="仿宋" w:hAnsi="Times New Roman" w:cs="Times New Roman"/>
          <w:sz w:val="28"/>
          <w:szCs w:val="28"/>
        </w:rPr>
        <w:t>贮藏条件评分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个药物均可常温保存，无需避光，均得</w:t>
      </w:r>
      <w:r>
        <w:rPr>
          <w:rFonts w:ascii="Times New Roman" w:eastAsia="仿宋" w:hAnsi="Times New Roman" w:cs="Times New Roman"/>
          <w:sz w:val="28"/>
          <w:szCs w:val="28"/>
        </w:rPr>
        <w:t>3</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5.4</w:t>
      </w:r>
      <w:r>
        <w:rPr>
          <w:rFonts w:ascii="Times New Roman" w:eastAsia="仿宋" w:hAnsi="Times New Roman" w:cs="Times New Roman"/>
          <w:sz w:val="28"/>
          <w:szCs w:val="28"/>
        </w:rPr>
        <w:t>药品有效期评分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抑制剂药品有效期均为</w:t>
      </w:r>
      <w:r>
        <w:rPr>
          <w:rFonts w:ascii="Times New Roman" w:eastAsia="仿宋" w:hAnsi="Times New Roman" w:cs="Times New Roman"/>
          <w:sz w:val="28"/>
          <w:szCs w:val="28"/>
        </w:rPr>
        <w:t>24~36</w:t>
      </w:r>
      <w:r>
        <w:rPr>
          <w:rFonts w:ascii="Times New Roman" w:eastAsia="仿宋" w:hAnsi="Times New Roman" w:cs="Times New Roman"/>
          <w:sz w:val="28"/>
          <w:szCs w:val="28"/>
        </w:rPr>
        <w:t>个月，均得</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5.5</w:t>
      </w:r>
      <w:r>
        <w:rPr>
          <w:rFonts w:ascii="Times New Roman" w:eastAsia="仿宋" w:hAnsi="Times New Roman" w:cs="Times New Roman"/>
          <w:sz w:val="28"/>
          <w:szCs w:val="28"/>
        </w:rPr>
        <w:t>全球使用情况评分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达格列净、恩格列净和卡格列净在美国、欧洲和日本均已上市，得</w:t>
      </w:r>
      <w:r>
        <w:rPr>
          <w:rFonts w:ascii="Times New Roman" w:eastAsia="仿宋" w:hAnsi="Times New Roman" w:cs="Times New Roman"/>
          <w:sz w:val="28"/>
          <w:szCs w:val="28"/>
        </w:rPr>
        <w:t>3</w:t>
      </w:r>
      <w:r>
        <w:rPr>
          <w:rFonts w:ascii="Times New Roman" w:eastAsia="仿宋" w:hAnsi="Times New Roman" w:cs="Times New Roman"/>
          <w:sz w:val="28"/>
          <w:szCs w:val="28"/>
        </w:rPr>
        <w:t>分；艾托格列净已美国、欧洲上市，但未在日本上</w:t>
      </w:r>
      <w:r>
        <w:rPr>
          <w:rFonts w:ascii="Times New Roman" w:eastAsia="仿宋" w:hAnsi="Times New Roman" w:cs="Times New Roman"/>
          <w:sz w:val="28"/>
          <w:szCs w:val="28"/>
        </w:rPr>
        <w:t>市，故得</w:t>
      </w:r>
      <w:r>
        <w:rPr>
          <w:rFonts w:ascii="Times New Roman" w:eastAsia="仿宋" w:hAnsi="Times New Roman" w:cs="Times New Roman"/>
          <w:sz w:val="28"/>
          <w:szCs w:val="28"/>
        </w:rPr>
        <w:t>2</w:t>
      </w:r>
      <w:r>
        <w:rPr>
          <w:rFonts w:ascii="Times New Roman" w:eastAsia="仿宋" w:hAnsi="Times New Roman" w:cs="Times New Roman"/>
          <w:sz w:val="28"/>
          <w:szCs w:val="28"/>
        </w:rPr>
        <w:t>分。</w:t>
      </w:r>
    </w:p>
    <w:p w:rsidR="00C96FF8" w:rsidRDefault="00DD68D6">
      <w:pPr>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5.6</w:t>
      </w:r>
      <w:r>
        <w:rPr>
          <w:rFonts w:ascii="Times New Roman" w:eastAsia="仿宋" w:hAnsi="Times New Roman" w:cs="Times New Roman"/>
          <w:sz w:val="28"/>
          <w:szCs w:val="28"/>
        </w:rPr>
        <w:t>生产企业状况评分</w:t>
      </w:r>
      <w:r>
        <w:rPr>
          <w:rFonts w:ascii="Times New Roman" w:eastAsia="仿宋" w:hAnsi="Times New Roman" w:cs="Times New Roman" w:hint="eastAsia"/>
          <w:sz w:val="28"/>
          <w:szCs w:val="28"/>
        </w:rPr>
        <w:t xml:space="preserve">  </w:t>
      </w:r>
      <w:r>
        <w:rPr>
          <w:rFonts w:ascii="Times New Roman" w:eastAsia="仿宋" w:hAnsi="Times New Roman" w:cs="Times New Roman"/>
          <w:sz w:val="28"/>
          <w:szCs w:val="28"/>
        </w:rPr>
        <w:t>4</w:t>
      </w:r>
      <w:r>
        <w:rPr>
          <w:rFonts w:ascii="Times New Roman" w:eastAsia="仿宋" w:hAnsi="Times New Roman" w:cs="Times New Roman"/>
          <w:sz w:val="28"/>
          <w:szCs w:val="28"/>
        </w:rPr>
        <w:t>个</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抑制剂的生产企业均为世界销量前</w:t>
      </w:r>
      <w:r>
        <w:rPr>
          <w:rFonts w:ascii="Times New Roman" w:eastAsia="仿宋" w:hAnsi="Times New Roman" w:cs="Times New Roman"/>
          <w:sz w:val="28"/>
          <w:szCs w:val="28"/>
        </w:rPr>
        <w:t>50</w:t>
      </w:r>
      <w:r>
        <w:rPr>
          <w:rFonts w:ascii="Times New Roman" w:eastAsia="仿宋" w:hAnsi="Times New Roman" w:cs="Times New Roman"/>
          <w:sz w:val="28"/>
          <w:szCs w:val="28"/>
        </w:rPr>
        <w:t>制药企业（美国制药经理人），得</w:t>
      </w:r>
      <w:r>
        <w:rPr>
          <w:rFonts w:ascii="Times New Roman" w:eastAsia="仿宋" w:hAnsi="Times New Roman" w:cs="Times New Roman"/>
          <w:sz w:val="28"/>
          <w:szCs w:val="28"/>
        </w:rPr>
        <w:t>3</w:t>
      </w:r>
      <w:r>
        <w:rPr>
          <w:rFonts w:ascii="Times New Roman" w:eastAsia="仿宋" w:hAnsi="Times New Roman" w:cs="Times New Roman"/>
          <w:sz w:val="28"/>
          <w:szCs w:val="28"/>
        </w:rPr>
        <w:t>分。其他属性具体打分情况见表</w:t>
      </w:r>
      <w:r>
        <w:rPr>
          <w:rFonts w:ascii="Times New Roman" w:eastAsia="仿宋" w:hAnsi="Times New Roman" w:cs="Times New Roman"/>
          <w:sz w:val="28"/>
          <w:szCs w:val="28"/>
        </w:rPr>
        <w:t>7</w:t>
      </w:r>
      <w:r>
        <w:rPr>
          <w:rFonts w:ascii="Times New Roman" w:eastAsia="仿宋" w:hAnsi="Times New Roman" w:cs="Times New Roman"/>
          <w:sz w:val="28"/>
          <w:szCs w:val="28"/>
        </w:rPr>
        <w:t>。</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sz w:val="24"/>
          <w:szCs w:val="28"/>
        </w:rPr>
        <w:t>表</w:t>
      </w:r>
      <w:r>
        <w:rPr>
          <w:rFonts w:ascii="Times New Roman" w:eastAsia="仿宋" w:hAnsi="Times New Roman" w:cs="Times New Roman"/>
          <w:sz w:val="24"/>
          <w:szCs w:val="28"/>
        </w:rPr>
        <w:t>7 SGLT-2</w:t>
      </w:r>
      <w:r>
        <w:rPr>
          <w:rFonts w:ascii="Times New Roman" w:eastAsia="仿宋" w:hAnsi="Times New Roman" w:cs="Times New Roman"/>
          <w:sz w:val="24"/>
          <w:szCs w:val="28"/>
        </w:rPr>
        <w:t>抑制剂其他属性评分</w:t>
      </w:r>
    </w:p>
    <w:tbl>
      <w:tblPr>
        <w:tblStyle w:val="21"/>
        <w:tblW w:w="8986" w:type="dxa"/>
        <w:jc w:val="center"/>
        <w:tblLayout w:type="fixed"/>
        <w:tblLook w:val="04A0" w:firstRow="1" w:lastRow="0" w:firstColumn="1" w:lastColumn="0" w:noHBand="0" w:noVBand="1"/>
      </w:tblPr>
      <w:tblGrid>
        <w:gridCol w:w="1216"/>
        <w:gridCol w:w="3686"/>
        <w:gridCol w:w="707"/>
        <w:gridCol w:w="852"/>
        <w:gridCol w:w="850"/>
        <w:gridCol w:w="735"/>
        <w:gridCol w:w="940"/>
      </w:tblGrid>
      <w:tr w:rsidR="00C96FF8" w:rsidTr="00C96FF8">
        <w:trPr>
          <w:cnfStyle w:val="100000000000" w:firstRow="1" w:lastRow="0" w:firstColumn="0" w:lastColumn="0" w:oddVBand="0" w:evenVBand="0" w:oddHBand="0" w:evenHBand="0" w:firstRowFirstColumn="0" w:firstRowLastColumn="0" w:lastRowFirstColumn="0" w:lastRowLastColumn="0"/>
          <w:trHeight w:val="621"/>
          <w:jc w:val="center"/>
        </w:trPr>
        <w:tc>
          <w:tcPr>
            <w:cnfStyle w:val="001000000000" w:firstRow="0" w:lastRow="0" w:firstColumn="1" w:lastColumn="0" w:oddVBand="0" w:evenVBand="0" w:oddHBand="0" w:evenHBand="0" w:firstRowFirstColumn="0" w:firstRowLastColumn="0" w:lastRowFirstColumn="0" w:lastRowLastColumn="0"/>
            <w:tcW w:w="4902" w:type="dxa"/>
            <w:gridSpan w:val="2"/>
            <w:tcBorders>
              <w:top w:val="single" w:sz="4" w:space="0" w:color="auto"/>
              <w:bottom w:val="single" w:sz="4" w:space="0" w:color="auto"/>
              <w:right w:val="nil"/>
            </w:tcBorders>
          </w:tcPr>
          <w:p w:rsidR="00C96FF8" w:rsidRDefault="00DD68D6">
            <w:pPr>
              <w:pStyle w:val="a6"/>
              <w:rPr>
                <w:rFonts w:ascii="Times New Roman" w:eastAsia="仿宋" w:hAnsi="Times New Roman" w:cs="Times New Roman"/>
                <w:bCs w:val="0"/>
                <w:color w:val="000000"/>
                <w:kern w:val="24"/>
              </w:rPr>
            </w:pPr>
            <w:r>
              <w:rPr>
                <w:rFonts w:ascii="Times New Roman" w:eastAsia="仿宋" w:hAnsi="Times New Roman" w:cs="Times New Roman"/>
                <w:b w:val="0"/>
                <w:color w:val="000000"/>
                <w:kern w:val="24"/>
              </w:rPr>
              <w:t>其他属性</w:t>
            </w:r>
          </w:p>
        </w:tc>
        <w:tc>
          <w:tcPr>
            <w:tcW w:w="707" w:type="dxa"/>
            <w:tcBorders>
              <w:top w:val="single" w:sz="4" w:space="0" w:color="auto"/>
              <w:left w:val="nil"/>
              <w:bottom w:val="single" w:sz="4" w:space="0" w:color="auto"/>
              <w:right w:val="nil"/>
            </w:tcBorders>
          </w:tcPr>
          <w:p w:rsidR="00C96FF8" w:rsidRDefault="00DD68D6">
            <w:pPr>
              <w:pStyle w:val="a6"/>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Pr>
                <w:rFonts w:ascii="Times New Roman" w:eastAsia="仿宋" w:hAnsi="Times New Roman" w:cs="Times New Roman"/>
                <w:b w:val="0"/>
                <w:color w:val="000000"/>
                <w:kern w:val="24"/>
              </w:rPr>
              <w:t>评分标准</w:t>
            </w:r>
          </w:p>
        </w:tc>
        <w:tc>
          <w:tcPr>
            <w:tcW w:w="852" w:type="dxa"/>
            <w:tcBorders>
              <w:top w:val="single" w:sz="4" w:space="0" w:color="auto"/>
              <w:left w:val="nil"/>
              <w:bottom w:val="single" w:sz="4" w:space="0" w:color="auto"/>
              <w:right w:val="nil"/>
            </w:tcBorders>
          </w:tcPr>
          <w:p w:rsidR="00C96FF8" w:rsidRDefault="00DD68D6">
            <w:pPr>
              <w:pStyle w:val="a6"/>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Pr>
                <w:rFonts w:ascii="Times New Roman" w:eastAsia="仿宋" w:hAnsi="Times New Roman" w:cs="Times New Roman"/>
                <w:b w:val="0"/>
                <w:szCs w:val="21"/>
              </w:rPr>
              <w:t>达格列净</w:t>
            </w:r>
          </w:p>
        </w:tc>
        <w:tc>
          <w:tcPr>
            <w:tcW w:w="850" w:type="dxa"/>
            <w:tcBorders>
              <w:top w:val="single" w:sz="4" w:space="0" w:color="auto"/>
              <w:left w:val="nil"/>
              <w:bottom w:val="single" w:sz="4" w:space="0" w:color="auto"/>
              <w:right w:val="nil"/>
            </w:tcBorders>
          </w:tcPr>
          <w:p w:rsidR="00C96FF8" w:rsidRDefault="00DD68D6">
            <w:pPr>
              <w:pStyle w:val="a6"/>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Pr>
                <w:rFonts w:ascii="Times New Roman" w:eastAsia="仿宋" w:hAnsi="Times New Roman" w:cs="Times New Roman"/>
                <w:b w:val="0"/>
                <w:szCs w:val="21"/>
              </w:rPr>
              <w:t>恩格列净</w:t>
            </w:r>
          </w:p>
        </w:tc>
        <w:tc>
          <w:tcPr>
            <w:tcW w:w="735" w:type="dxa"/>
            <w:tcBorders>
              <w:top w:val="single" w:sz="4" w:space="0" w:color="auto"/>
              <w:left w:val="nil"/>
              <w:bottom w:val="single" w:sz="4" w:space="0" w:color="auto"/>
              <w:right w:val="nil"/>
            </w:tcBorders>
          </w:tcPr>
          <w:p w:rsidR="00C96FF8" w:rsidRDefault="00DD68D6">
            <w:pPr>
              <w:pStyle w:val="a6"/>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Pr>
                <w:rFonts w:ascii="Times New Roman" w:eastAsia="仿宋" w:hAnsi="Times New Roman" w:cs="Times New Roman"/>
                <w:b w:val="0"/>
                <w:szCs w:val="21"/>
              </w:rPr>
              <w:t>卡格列净</w:t>
            </w:r>
          </w:p>
        </w:tc>
        <w:tc>
          <w:tcPr>
            <w:tcW w:w="940" w:type="dxa"/>
            <w:tcBorders>
              <w:top w:val="single" w:sz="4" w:space="0" w:color="auto"/>
              <w:left w:val="nil"/>
              <w:bottom w:val="single" w:sz="4" w:space="0" w:color="auto"/>
              <w:right w:val="nil"/>
            </w:tcBorders>
          </w:tcPr>
          <w:p w:rsidR="00C96FF8" w:rsidRDefault="00DD68D6">
            <w:pPr>
              <w:pStyle w:val="a6"/>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bCs w:val="0"/>
                <w:color w:val="000000"/>
                <w:kern w:val="24"/>
              </w:rPr>
            </w:pPr>
            <w:r>
              <w:rPr>
                <w:rFonts w:ascii="Times New Roman" w:eastAsia="仿宋" w:hAnsi="Times New Roman" w:cs="Times New Roman"/>
                <w:b w:val="0"/>
                <w:szCs w:val="21"/>
              </w:rPr>
              <w:t>艾托格列净</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国家医保</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国家医保甲类，且没有支付限制条件</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5</w:t>
            </w:r>
          </w:p>
        </w:tc>
        <w:tc>
          <w:tcPr>
            <w:tcW w:w="852"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国家医保甲类，有支付限制条件</w:t>
            </w:r>
          </w:p>
        </w:tc>
        <w:tc>
          <w:tcPr>
            <w:tcW w:w="707" w:type="dxa"/>
            <w:tcBorders>
              <w:top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4</w:t>
            </w:r>
          </w:p>
        </w:tc>
        <w:tc>
          <w:tcPr>
            <w:tcW w:w="852" w:type="dxa"/>
            <w:tcBorders>
              <w:top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C96FF8" w:rsidRDefault="00C96FF8">
            <w:pPr>
              <w:rPr>
                <w:rFonts w:ascii="Times New Roman" w:eastAsia="仿宋" w:hAnsi="Times New Roman" w:cs="Times New Roman"/>
                <w:color w:val="000000"/>
                <w:kern w:val="24"/>
                <w:sz w:val="24"/>
                <w:szCs w:val="24"/>
              </w:rPr>
            </w:pPr>
          </w:p>
        </w:tc>
        <w:tc>
          <w:tcPr>
            <w:tcW w:w="3686" w:type="dxa"/>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国家医保乙类</w:t>
            </w:r>
            <w:r>
              <w:rPr>
                <w:rFonts w:ascii="Times New Roman" w:eastAsia="仿宋" w:hAnsi="Times New Roman" w:cs="Times New Roman"/>
                <w:bCs/>
                <w:color w:val="000000"/>
                <w:kern w:val="24"/>
              </w:rPr>
              <w:t>/</w:t>
            </w:r>
            <w:r>
              <w:rPr>
                <w:rFonts w:ascii="Times New Roman" w:eastAsia="仿宋" w:hAnsi="Times New Roman" w:cs="Times New Roman"/>
                <w:bCs/>
                <w:color w:val="000000"/>
                <w:kern w:val="24"/>
              </w:rPr>
              <w:t>国家谈判药品，且没有支付限制条件</w:t>
            </w:r>
          </w:p>
        </w:tc>
        <w:tc>
          <w:tcPr>
            <w:tcW w:w="707"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C96FF8" w:rsidRDefault="00C96FF8">
            <w:pPr>
              <w:rPr>
                <w:rFonts w:ascii="Times New Roman" w:eastAsia="仿宋" w:hAnsi="Times New Roman" w:cs="Times New Roman"/>
                <w:color w:val="000000"/>
                <w:kern w:val="24"/>
                <w:sz w:val="24"/>
                <w:szCs w:val="24"/>
              </w:rPr>
            </w:pPr>
          </w:p>
        </w:tc>
        <w:tc>
          <w:tcPr>
            <w:tcW w:w="3686" w:type="dxa"/>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国家医保乙类</w:t>
            </w:r>
            <w:r>
              <w:rPr>
                <w:rFonts w:ascii="Times New Roman" w:eastAsia="仿宋" w:hAnsi="Times New Roman" w:cs="Times New Roman"/>
                <w:bCs/>
                <w:color w:val="000000"/>
                <w:kern w:val="24"/>
              </w:rPr>
              <w:t>/</w:t>
            </w:r>
            <w:r>
              <w:rPr>
                <w:rFonts w:ascii="Times New Roman" w:eastAsia="仿宋" w:hAnsi="Times New Roman" w:cs="Times New Roman"/>
                <w:bCs/>
                <w:color w:val="000000"/>
                <w:kern w:val="24"/>
              </w:rPr>
              <w:t>国家谈判药品，有支付限制条件</w:t>
            </w:r>
          </w:p>
        </w:tc>
        <w:tc>
          <w:tcPr>
            <w:tcW w:w="707"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0"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735"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940" w:type="dxa"/>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rsidR="00C96FF8" w:rsidRDefault="00C96FF8">
            <w:pPr>
              <w:rPr>
                <w:rFonts w:ascii="Times New Roman" w:eastAsia="仿宋" w:hAnsi="Times New Roman" w:cs="Times New Roman"/>
                <w:color w:val="000000"/>
                <w:kern w:val="24"/>
                <w:sz w:val="24"/>
                <w:szCs w:val="24"/>
              </w:rPr>
            </w:pPr>
          </w:p>
        </w:tc>
        <w:tc>
          <w:tcPr>
            <w:tcW w:w="3686" w:type="dxa"/>
            <w:tcBorders>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不在国家医保目录</w:t>
            </w:r>
          </w:p>
        </w:tc>
        <w:tc>
          <w:tcPr>
            <w:tcW w:w="707" w:type="dxa"/>
            <w:tcBorders>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基本药物</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在《国家基本药物目录》，没有</w:t>
            </w:r>
            <w:r>
              <w:rPr>
                <w:rFonts w:ascii="Times New Roman" w:hAnsi="Times New Roman" w:cs="Times New Roman"/>
              </w:rPr>
              <w:t>△</w:t>
            </w:r>
            <w:r>
              <w:rPr>
                <w:rFonts w:ascii="Times New Roman" w:eastAsia="仿宋" w:hAnsi="Times New Roman" w:cs="Times New Roman"/>
                <w:bCs/>
                <w:color w:val="000000"/>
                <w:kern w:val="24"/>
              </w:rPr>
              <w:t>要求</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在《国家基本药物目录》，有</w:t>
            </w:r>
            <w:r>
              <w:rPr>
                <w:rFonts w:ascii="Times New Roman" w:hAnsi="Times New Roman" w:cs="Times New Roman"/>
              </w:rPr>
              <w:t>△</w:t>
            </w:r>
            <w:r>
              <w:rPr>
                <w:rFonts w:ascii="Times New Roman" w:eastAsia="仿宋" w:hAnsi="Times New Roman" w:cs="Times New Roman"/>
                <w:bCs/>
                <w:color w:val="000000"/>
                <w:kern w:val="24"/>
              </w:rPr>
              <w:t>要求</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不在《国家基本药物目录》</w:t>
            </w:r>
          </w:p>
        </w:tc>
        <w:tc>
          <w:tcPr>
            <w:tcW w:w="707"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735"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940"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贮藏条件</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常温贮藏</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0"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735"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940"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常温贮藏，避光或遮光</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2.5</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阴凉贮藏</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阴凉贮藏，避光或遮光</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1.5</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冷藏</w:t>
            </w:r>
            <w:r>
              <w:rPr>
                <w:rFonts w:ascii="Times New Roman" w:eastAsia="仿宋" w:hAnsi="Times New Roman" w:cs="Times New Roman"/>
                <w:bCs/>
                <w:color w:val="000000"/>
                <w:kern w:val="24"/>
              </w:rPr>
              <w:t>/</w:t>
            </w:r>
            <w:r>
              <w:rPr>
                <w:rFonts w:ascii="Times New Roman" w:eastAsia="仿宋" w:hAnsi="Times New Roman" w:cs="Times New Roman"/>
                <w:bCs/>
                <w:color w:val="000000"/>
                <w:kern w:val="24"/>
              </w:rPr>
              <w:t>冷冻贮藏</w:t>
            </w:r>
          </w:p>
        </w:tc>
        <w:tc>
          <w:tcPr>
            <w:tcW w:w="707"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药品有效期</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w:t>
            </w:r>
            <w:r>
              <w:rPr>
                <w:rFonts w:ascii="Times New Roman" w:eastAsia="仿宋" w:hAnsi="Times New Roman" w:cs="Times New Roman"/>
                <w:bCs/>
                <w:color w:val="000000"/>
                <w:kern w:val="24"/>
              </w:rPr>
              <w:t>36</w:t>
            </w:r>
            <w:r>
              <w:rPr>
                <w:rFonts w:ascii="Times New Roman" w:eastAsia="仿宋" w:hAnsi="Times New Roman" w:cs="Times New Roman"/>
                <w:bCs/>
                <w:color w:val="000000"/>
                <w:kern w:val="24"/>
              </w:rPr>
              <w:t>个月</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24~36</w:t>
            </w:r>
            <w:r>
              <w:rPr>
                <w:rFonts w:ascii="Times New Roman" w:eastAsia="仿宋" w:hAnsi="Times New Roman" w:cs="Times New Roman"/>
                <w:bCs/>
                <w:color w:val="000000"/>
                <w:kern w:val="24"/>
              </w:rPr>
              <w:t>个月</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0"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735"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940"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w:t>
            </w:r>
            <w:r>
              <w:rPr>
                <w:rFonts w:ascii="Times New Roman" w:eastAsia="仿宋" w:hAnsi="Times New Roman" w:cs="Times New Roman"/>
                <w:bCs/>
                <w:color w:val="000000"/>
                <w:kern w:val="24"/>
              </w:rPr>
              <w:t>24</w:t>
            </w:r>
            <w:r>
              <w:rPr>
                <w:rFonts w:ascii="Times New Roman" w:eastAsia="仿宋" w:hAnsi="Times New Roman" w:cs="Times New Roman"/>
                <w:bCs/>
                <w:color w:val="000000"/>
                <w:kern w:val="24"/>
              </w:rPr>
              <w:t>个月</w:t>
            </w:r>
          </w:p>
        </w:tc>
        <w:tc>
          <w:tcPr>
            <w:tcW w:w="707"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bottom w:val="nil"/>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全球使用情况</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美国、欧洲、日本均已上市</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0"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735"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940" w:type="dxa"/>
            <w:tcBorders>
              <w:top w:val="single" w:sz="4" w:space="0" w:color="auto"/>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nil"/>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美国或欧洲或日本上市</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top w:val="nil"/>
              <w:bottom w:val="single" w:sz="4" w:space="0" w:color="auto"/>
            </w:tcBorders>
          </w:tcPr>
          <w:p w:rsidR="00C96FF8" w:rsidRDefault="00C96FF8">
            <w:pPr>
              <w:rPr>
                <w:rFonts w:ascii="Times New Roman" w:eastAsia="仿宋" w:hAnsi="Times New Roman" w:cs="Times New Roman"/>
                <w:color w:val="000000"/>
                <w:kern w:val="24"/>
                <w:sz w:val="24"/>
                <w:szCs w:val="24"/>
              </w:rPr>
            </w:pPr>
          </w:p>
        </w:tc>
        <w:tc>
          <w:tcPr>
            <w:tcW w:w="3686" w:type="dxa"/>
            <w:tcBorders>
              <w:top w:val="nil"/>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美国、欧洲、日本均未上市</w:t>
            </w:r>
          </w:p>
        </w:tc>
        <w:tc>
          <w:tcPr>
            <w:tcW w:w="707"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525"/>
          <w:jc w:val="center"/>
        </w:trPr>
        <w:tc>
          <w:tcPr>
            <w:cnfStyle w:val="001000000000" w:firstRow="0" w:lastRow="0" w:firstColumn="1" w:lastColumn="0" w:oddVBand="0" w:evenVBand="0" w:oddHBand="0" w:evenHBand="0" w:firstRowFirstColumn="0" w:firstRowLastColumn="0" w:lastRowFirstColumn="0" w:lastRowLastColumn="0"/>
            <w:tcW w:w="1216" w:type="dxa"/>
            <w:vMerge w:val="restart"/>
            <w:tcBorders>
              <w:top w:val="single" w:sz="4" w:space="0" w:color="auto"/>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生产企业状况</w:t>
            </w:r>
          </w:p>
        </w:tc>
        <w:tc>
          <w:tcPr>
            <w:tcW w:w="3686" w:type="dxa"/>
            <w:tcBorders>
              <w:top w:val="single" w:sz="4" w:space="0" w:color="auto"/>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生产企业为世界销量前</w:t>
            </w:r>
            <w:r>
              <w:rPr>
                <w:rFonts w:ascii="Times New Roman" w:eastAsia="仿宋" w:hAnsi="Times New Roman" w:cs="Times New Roman"/>
                <w:bCs/>
                <w:color w:val="000000"/>
                <w:kern w:val="24"/>
              </w:rPr>
              <w:t>50</w:t>
            </w:r>
            <w:r>
              <w:rPr>
                <w:rFonts w:ascii="Times New Roman" w:eastAsia="仿宋" w:hAnsi="Times New Roman" w:cs="Times New Roman"/>
                <w:bCs/>
                <w:color w:val="000000"/>
                <w:kern w:val="24"/>
              </w:rPr>
              <w:t>制药企业（美国制药经理人）</w:t>
            </w:r>
          </w:p>
        </w:tc>
        <w:tc>
          <w:tcPr>
            <w:tcW w:w="707"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2"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850"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735"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c>
          <w:tcPr>
            <w:tcW w:w="940" w:type="dxa"/>
            <w:tcBorders>
              <w:top w:val="single" w:sz="4" w:space="0" w:color="auto"/>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3</w:t>
            </w:r>
          </w:p>
        </w:tc>
      </w:tr>
      <w:tr w:rsidR="00C96FF8" w:rsidTr="00C96FF8">
        <w:trPr>
          <w:trHeight w:val="627"/>
          <w:jc w:val="center"/>
        </w:trPr>
        <w:tc>
          <w:tcPr>
            <w:cnfStyle w:val="001000000000" w:firstRow="0" w:lastRow="0" w:firstColumn="1" w:lastColumn="0" w:oddVBand="0" w:evenVBand="0" w:oddHBand="0" w:evenHBand="0" w:firstRowFirstColumn="0" w:firstRowLastColumn="0" w:lastRowFirstColumn="0" w:lastRowLastColumn="0"/>
            <w:tcW w:w="1216" w:type="dxa"/>
            <w:vMerge/>
          </w:tcPr>
          <w:p w:rsidR="00C96FF8" w:rsidRDefault="00C96FF8">
            <w:pPr>
              <w:pStyle w:val="a6"/>
              <w:rPr>
                <w:rFonts w:ascii="Times New Roman" w:eastAsia="仿宋" w:hAnsi="Times New Roman" w:cs="Times New Roman"/>
                <w:color w:val="000000"/>
                <w:kern w:val="24"/>
              </w:rPr>
            </w:pPr>
          </w:p>
        </w:tc>
        <w:tc>
          <w:tcPr>
            <w:tcW w:w="3686" w:type="dxa"/>
            <w:tcBorders>
              <w:top w:val="nil"/>
              <w:bottom w:val="nil"/>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生产企业在国家工业和信息化部医药工业百强榜</w:t>
            </w:r>
          </w:p>
        </w:tc>
        <w:tc>
          <w:tcPr>
            <w:tcW w:w="707" w:type="dxa"/>
            <w:tcBorders>
              <w:top w:val="nil"/>
              <w:bottom w:val="nil"/>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2</w:t>
            </w:r>
          </w:p>
        </w:tc>
        <w:tc>
          <w:tcPr>
            <w:tcW w:w="852"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nil"/>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347"/>
          <w:jc w:val="center"/>
        </w:trPr>
        <w:tc>
          <w:tcPr>
            <w:cnfStyle w:val="001000000000" w:firstRow="0" w:lastRow="0" w:firstColumn="1" w:lastColumn="0" w:oddVBand="0" w:evenVBand="0" w:oddHBand="0" w:evenHBand="0" w:firstRowFirstColumn="0" w:firstRowLastColumn="0" w:lastRowFirstColumn="0" w:lastRowLastColumn="0"/>
            <w:tcW w:w="1216" w:type="dxa"/>
            <w:vMerge/>
            <w:tcBorders>
              <w:bottom w:val="single" w:sz="4" w:space="0" w:color="auto"/>
            </w:tcBorders>
          </w:tcPr>
          <w:p w:rsidR="00C96FF8" w:rsidRDefault="00C96FF8">
            <w:pPr>
              <w:pStyle w:val="a6"/>
              <w:rPr>
                <w:rFonts w:ascii="Times New Roman" w:eastAsia="仿宋" w:hAnsi="Times New Roman" w:cs="Times New Roman"/>
                <w:color w:val="000000"/>
                <w:kern w:val="24"/>
              </w:rPr>
            </w:pPr>
          </w:p>
        </w:tc>
        <w:tc>
          <w:tcPr>
            <w:tcW w:w="3686" w:type="dxa"/>
            <w:tcBorders>
              <w:top w:val="nil"/>
              <w:bottom w:val="single" w:sz="4" w:space="0" w:color="auto"/>
            </w:tcBorders>
          </w:tcPr>
          <w:p w:rsidR="00C96FF8" w:rsidRDefault="00DD68D6">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其他企业</w:t>
            </w:r>
          </w:p>
        </w:tc>
        <w:tc>
          <w:tcPr>
            <w:tcW w:w="707" w:type="dxa"/>
            <w:tcBorders>
              <w:top w:val="nil"/>
              <w:bottom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w:t>
            </w:r>
          </w:p>
        </w:tc>
        <w:tc>
          <w:tcPr>
            <w:tcW w:w="852"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35"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940" w:type="dxa"/>
            <w:tcBorders>
              <w:top w:val="nil"/>
              <w:bottom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r>
      <w:tr w:rsidR="00C96FF8" w:rsidTr="00C96FF8">
        <w:trPr>
          <w:trHeight w:val="80"/>
          <w:jc w:val="center"/>
        </w:trPr>
        <w:tc>
          <w:tcPr>
            <w:cnfStyle w:val="001000000000" w:firstRow="0" w:lastRow="0" w:firstColumn="1" w:lastColumn="0" w:oddVBand="0" w:evenVBand="0" w:oddHBand="0" w:evenHBand="0" w:firstRowFirstColumn="0" w:firstRowLastColumn="0" w:lastRowFirstColumn="0" w:lastRowLastColumn="0"/>
            <w:tcW w:w="1216" w:type="dxa"/>
            <w:tcBorders>
              <w:top w:val="single" w:sz="4" w:space="0" w:color="auto"/>
            </w:tcBorders>
          </w:tcPr>
          <w:p w:rsidR="00C96FF8" w:rsidRDefault="00DD68D6">
            <w:pPr>
              <w:pStyle w:val="a6"/>
              <w:rPr>
                <w:rFonts w:ascii="Times New Roman" w:eastAsia="仿宋" w:hAnsi="Times New Roman" w:cs="Times New Roman"/>
                <w:color w:val="000000"/>
                <w:kern w:val="24"/>
              </w:rPr>
            </w:pPr>
            <w:r>
              <w:rPr>
                <w:rFonts w:ascii="Times New Roman" w:eastAsia="仿宋" w:hAnsi="Times New Roman" w:cs="Times New Roman"/>
                <w:b w:val="0"/>
                <w:bCs w:val="0"/>
                <w:color w:val="000000"/>
                <w:kern w:val="24"/>
              </w:rPr>
              <w:t>其他属性得分</w:t>
            </w:r>
          </w:p>
        </w:tc>
        <w:tc>
          <w:tcPr>
            <w:tcW w:w="3686" w:type="dxa"/>
            <w:tcBorders>
              <w:top w:val="single" w:sz="4" w:space="0" w:color="auto"/>
            </w:tcBorders>
          </w:tcPr>
          <w:p w:rsidR="00C96FF8" w:rsidRDefault="00C96FF8">
            <w:pPr>
              <w:pStyle w:val="a6"/>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707" w:type="dxa"/>
            <w:tcBorders>
              <w:top w:val="single" w:sz="4" w:space="0" w:color="auto"/>
            </w:tcBorders>
          </w:tcPr>
          <w:p w:rsidR="00C96FF8" w:rsidRDefault="00C96FF8">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p>
        </w:tc>
        <w:tc>
          <w:tcPr>
            <w:tcW w:w="852" w:type="dxa"/>
            <w:tcBorders>
              <w:top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16</w:t>
            </w:r>
          </w:p>
        </w:tc>
        <w:tc>
          <w:tcPr>
            <w:tcW w:w="850" w:type="dxa"/>
            <w:tcBorders>
              <w:top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14</w:t>
            </w:r>
          </w:p>
        </w:tc>
        <w:tc>
          <w:tcPr>
            <w:tcW w:w="735" w:type="dxa"/>
            <w:tcBorders>
              <w:top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14</w:t>
            </w:r>
          </w:p>
        </w:tc>
        <w:tc>
          <w:tcPr>
            <w:tcW w:w="940" w:type="dxa"/>
            <w:tcBorders>
              <w:top w:val="single" w:sz="4" w:space="0" w:color="auto"/>
            </w:tcBorders>
          </w:tcPr>
          <w:p w:rsidR="00C96FF8" w:rsidRDefault="00DD68D6">
            <w:pPr>
              <w:pStyle w:val="a6"/>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bCs/>
                <w:color w:val="000000"/>
                <w:kern w:val="24"/>
              </w:rPr>
            </w:pPr>
            <w:r>
              <w:rPr>
                <w:rFonts w:ascii="Times New Roman" w:eastAsia="仿宋" w:hAnsi="Times New Roman" w:cs="Times New Roman"/>
                <w:bCs/>
                <w:color w:val="000000"/>
                <w:kern w:val="24"/>
              </w:rPr>
              <w:t>13</w:t>
            </w:r>
          </w:p>
        </w:tc>
      </w:tr>
    </w:tbl>
    <w:p w:rsidR="00C96FF8" w:rsidRDefault="00C96FF8">
      <w:pPr>
        <w:ind w:firstLineChars="200" w:firstLine="562"/>
        <w:rPr>
          <w:rFonts w:ascii="Times New Roman" w:eastAsia="仿宋" w:hAnsi="Times New Roman" w:cs="Times New Roman"/>
          <w:b/>
          <w:bCs/>
          <w:sz w:val="28"/>
          <w:szCs w:val="28"/>
        </w:rPr>
      </w:pPr>
    </w:p>
    <w:p w:rsidR="00C96FF8" w:rsidRDefault="00DD68D6">
      <w:pPr>
        <w:rPr>
          <w:rFonts w:ascii="Times New Roman" w:eastAsia="仿宋" w:hAnsi="Times New Roman" w:cs="Times New Roman"/>
          <w:b/>
          <w:bCs/>
          <w:sz w:val="28"/>
          <w:szCs w:val="28"/>
        </w:rPr>
      </w:pPr>
      <w:r>
        <w:rPr>
          <w:rFonts w:ascii="Times New Roman" w:eastAsia="仿宋" w:hAnsi="Times New Roman" w:cs="Times New Roman" w:hint="eastAsia"/>
          <w:b/>
          <w:bCs/>
          <w:sz w:val="28"/>
          <w:szCs w:val="28"/>
        </w:rPr>
        <w:t xml:space="preserve">5 </w:t>
      </w:r>
      <w:r>
        <w:rPr>
          <w:rFonts w:ascii="Times New Roman" w:eastAsia="仿宋" w:hAnsi="Times New Roman" w:cs="Times New Roman"/>
          <w:b/>
          <w:bCs/>
          <w:sz w:val="28"/>
          <w:szCs w:val="28"/>
        </w:rPr>
        <w:t>SGLT-2</w:t>
      </w:r>
      <w:r>
        <w:rPr>
          <w:rFonts w:ascii="Times New Roman" w:eastAsia="仿宋" w:hAnsi="Times New Roman" w:cs="Times New Roman"/>
          <w:b/>
          <w:bCs/>
          <w:sz w:val="28"/>
          <w:szCs w:val="28"/>
        </w:rPr>
        <w:t>抑制剂临床快速综合评价应用解析</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近年来，随着医改政策的不断深入，一系列</w:t>
      </w:r>
      <w:r>
        <w:rPr>
          <w:rFonts w:ascii="Times New Roman" w:eastAsia="仿宋" w:hAnsi="Times New Roman" w:cs="Times New Roman"/>
          <w:sz w:val="28"/>
          <w:szCs w:val="28"/>
        </w:rPr>
        <w:t>SGLT-2</w:t>
      </w:r>
      <w:r>
        <w:rPr>
          <w:rFonts w:ascii="Times New Roman" w:eastAsia="仿宋" w:hAnsi="Times New Roman" w:cs="Times New Roman"/>
          <w:sz w:val="28"/>
          <w:szCs w:val="28"/>
        </w:rPr>
        <w:t>抑制剂的新药、仿制药陆续上市，为医疗机构引进新药品种带来选择压力。为此，</w:t>
      </w:r>
      <w:r>
        <w:rPr>
          <w:rFonts w:ascii="Times New Roman" w:eastAsia="仿宋" w:hAnsi="Times New Roman" w:cs="Times New Roman"/>
          <w:color w:val="000000" w:themeColor="text1"/>
          <w:sz w:val="28"/>
          <w:szCs w:val="28"/>
        </w:rPr>
        <w:t>本共识</w:t>
      </w:r>
      <w:r>
        <w:rPr>
          <w:rFonts w:ascii="Times New Roman" w:eastAsia="仿宋" w:hAnsi="Times New Roman" w:cs="Times New Roman"/>
          <w:sz w:val="28"/>
          <w:szCs w:val="28"/>
        </w:rPr>
        <w:t>基于</w:t>
      </w:r>
      <w:r>
        <w:rPr>
          <w:rFonts w:ascii="Times New Roman" w:eastAsia="仿宋" w:hAnsi="Times New Roman" w:cs="Times New Roman"/>
          <w:color w:val="000000" w:themeColor="text1"/>
          <w:sz w:val="28"/>
          <w:szCs w:val="28"/>
        </w:rPr>
        <w:t>《中国医疗机构药品评价与遴选快速指南》的评价体系、结合</w:t>
      </w:r>
      <w:r>
        <w:rPr>
          <w:rFonts w:ascii="Times New Roman" w:eastAsia="仿宋" w:hAnsi="Times New Roman" w:cs="Times New Roman"/>
          <w:color w:val="000000" w:themeColor="text1"/>
          <w:sz w:val="28"/>
          <w:szCs w:val="28"/>
        </w:rPr>
        <w:t>SGLT-2</w:t>
      </w:r>
      <w:r>
        <w:rPr>
          <w:rFonts w:ascii="Times New Roman" w:eastAsia="仿宋" w:hAnsi="Times New Roman" w:cs="Times New Roman"/>
          <w:color w:val="000000" w:themeColor="text1"/>
          <w:sz w:val="28"/>
          <w:szCs w:val="28"/>
        </w:rPr>
        <w:t>抑制剂的临床应用特点，</w:t>
      </w:r>
      <w:r>
        <w:rPr>
          <w:rFonts w:ascii="Times New Roman" w:eastAsia="仿宋" w:hAnsi="Times New Roman" w:cs="Times New Roman"/>
          <w:sz w:val="28"/>
          <w:szCs w:val="28"/>
        </w:rPr>
        <w:t>建立了一套科学、客观、量化的</w:t>
      </w:r>
      <w:r>
        <w:rPr>
          <w:rFonts w:ascii="Times New Roman" w:eastAsia="仿宋" w:hAnsi="Times New Roman" w:cs="Times New Roman"/>
          <w:sz w:val="28"/>
          <w:szCs w:val="28"/>
        </w:rPr>
        <w:t>SGLT-2</w:t>
      </w:r>
      <w:r>
        <w:rPr>
          <w:rFonts w:ascii="Times New Roman" w:eastAsia="仿宋" w:hAnsi="Times New Roman" w:cs="Times New Roman"/>
          <w:sz w:val="28"/>
          <w:szCs w:val="28"/>
        </w:rPr>
        <w:t>抑制剂综合评价方法，旨在为各医疗机构后续开展</w:t>
      </w:r>
      <w:r>
        <w:rPr>
          <w:rFonts w:ascii="Times New Roman" w:eastAsia="仿宋" w:hAnsi="Times New Roman" w:cs="Times New Roman"/>
          <w:sz w:val="28"/>
          <w:szCs w:val="28"/>
        </w:rPr>
        <w:t>SGLT-2</w:t>
      </w:r>
      <w:r>
        <w:rPr>
          <w:rFonts w:ascii="Times New Roman" w:eastAsia="仿宋" w:hAnsi="Times New Roman" w:cs="Times New Roman"/>
          <w:sz w:val="28"/>
          <w:szCs w:val="28"/>
        </w:rPr>
        <w:t>抑制剂临床快速综合评价提供参考，为新药药品遴选、优化用药目录提供依据。</w:t>
      </w:r>
    </w:p>
    <w:p w:rsidR="00C96FF8" w:rsidRDefault="00DD68D6">
      <w:pPr>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本共识评价的药品为在国内广泛上市的</w:t>
      </w:r>
      <w:r>
        <w:rPr>
          <w:rFonts w:ascii="Times New Roman" w:eastAsia="仿宋" w:hAnsi="Times New Roman" w:cs="Times New Roman"/>
          <w:sz w:val="28"/>
          <w:szCs w:val="28"/>
        </w:rPr>
        <w:t>4</w:t>
      </w:r>
      <w:r>
        <w:rPr>
          <w:rFonts w:ascii="Times New Roman" w:eastAsia="仿宋" w:hAnsi="Times New Roman" w:cs="Times New Roman"/>
          <w:sz w:val="28"/>
          <w:szCs w:val="28"/>
        </w:rPr>
        <w:t>个原研</w:t>
      </w:r>
      <w:r>
        <w:rPr>
          <w:rFonts w:ascii="Times New Roman" w:eastAsia="仿宋" w:hAnsi="Times New Roman" w:cs="Times New Roman"/>
          <w:sz w:val="28"/>
          <w:szCs w:val="28"/>
        </w:rPr>
        <w:t>SGLT-2</w:t>
      </w:r>
      <w:r>
        <w:rPr>
          <w:rFonts w:ascii="Times New Roman" w:eastAsia="仿宋" w:hAnsi="Times New Roman" w:cs="Times New Roman"/>
          <w:sz w:val="28"/>
          <w:szCs w:val="28"/>
        </w:rPr>
        <w:t>抑制剂，</w:t>
      </w:r>
      <w:r>
        <w:rPr>
          <w:rFonts w:ascii="Times New Roman" w:eastAsia="仿宋" w:hAnsi="Times New Roman" w:cs="Times New Roman"/>
          <w:color w:val="000000" w:themeColor="text1"/>
          <w:sz w:val="28"/>
          <w:szCs w:val="28"/>
        </w:rPr>
        <w:t>评价结果显示，达格列净</w:t>
      </w:r>
      <w:r>
        <w:rPr>
          <w:rFonts w:ascii="Times New Roman" w:eastAsia="仿宋" w:hAnsi="Times New Roman" w:cs="Times New Roman"/>
          <w:color w:val="000000" w:themeColor="text1"/>
          <w:sz w:val="28"/>
          <w:szCs w:val="28"/>
        </w:rPr>
        <w:t>76.6</w:t>
      </w:r>
      <w:r>
        <w:rPr>
          <w:rFonts w:ascii="Times New Roman" w:eastAsia="仿宋" w:hAnsi="Times New Roman" w:cs="Times New Roman"/>
          <w:color w:val="000000" w:themeColor="text1"/>
          <w:sz w:val="28"/>
          <w:szCs w:val="28"/>
        </w:rPr>
        <w:t>分，在</w:t>
      </w: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个</w:t>
      </w:r>
      <w:r>
        <w:rPr>
          <w:rFonts w:ascii="Times New Roman" w:eastAsia="仿宋" w:hAnsi="Times New Roman" w:cs="Times New Roman"/>
          <w:color w:val="000000" w:themeColor="text1"/>
          <w:sz w:val="28"/>
          <w:szCs w:val="28"/>
        </w:rPr>
        <w:t>SGLT-2</w:t>
      </w:r>
      <w:r>
        <w:rPr>
          <w:rFonts w:ascii="Times New Roman" w:eastAsia="仿宋" w:hAnsi="Times New Roman" w:cs="Times New Roman"/>
          <w:color w:val="000000" w:themeColor="text1"/>
          <w:sz w:val="28"/>
          <w:szCs w:val="28"/>
        </w:rPr>
        <w:t>抑制剂中得</w:t>
      </w:r>
      <w:r>
        <w:rPr>
          <w:rFonts w:ascii="Times New Roman" w:eastAsia="仿宋" w:hAnsi="Times New Roman" w:cs="Times New Roman"/>
          <w:color w:val="000000" w:themeColor="text1"/>
          <w:sz w:val="28"/>
          <w:szCs w:val="28"/>
        </w:rPr>
        <w:t>分最高，其次是恩格列净</w:t>
      </w:r>
      <w:r>
        <w:rPr>
          <w:rFonts w:ascii="Times New Roman" w:eastAsia="仿宋" w:hAnsi="Times New Roman" w:cs="Times New Roman"/>
          <w:color w:val="000000" w:themeColor="text1"/>
          <w:sz w:val="28"/>
          <w:szCs w:val="28"/>
        </w:rPr>
        <w:t>74.6</w:t>
      </w:r>
      <w:r>
        <w:rPr>
          <w:rFonts w:ascii="Times New Roman" w:eastAsia="仿宋" w:hAnsi="Times New Roman" w:cs="Times New Roman"/>
          <w:color w:val="000000" w:themeColor="text1"/>
          <w:sz w:val="28"/>
          <w:szCs w:val="28"/>
        </w:rPr>
        <w:t>分，卡格列净和艾托格列净均为</w:t>
      </w:r>
      <w:r>
        <w:rPr>
          <w:rFonts w:ascii="Times New Roman" w:eastAsia="仿宋" w:hAnsi="Times New Roman" w:cs="Times New Roman"/>
          <w:color w:val="000000" w:themeColor="text1"/>
          <w:sz w:val="28"/>
          <w:szCs w:val="28"/>
        </w:rPr>
        <w:t>72.6</w:t>
      </w:r>
      <w:r>
        <w:rPr>
          <w:rFonts w:ascii="Times New Roman" w:eastAsia="仿宋" w:hAnsi="Times New Roman" w:cs="Times New Roman"/>
          <w:color w:val="000000" w:themeColor="text1"/>
          <w:sz w:val="28"/>
          <w:szCs w:val="28"/>
        </w:rPr>
        <w:t>分（见表</w:t>
      </w:r>
      <w:r>
        <w:rPr>
          <w:rFonts w:ascii="Times New Roman" w:eastAsia="仿宋" w:hAnsi="Times New Roman" w:cs="Times New Roman"/>
          <w:color w:val="000000" w:themeColor="text1"/>
          <w:sz w:val="28"/>
          <w:szCs w:val="28"/>
        </w:rPr>
        <w:t>8</w:t>
      </w:r>
      <w:r>
        <w:rPr>
          <w:rFonts w:ascii="Times New Roman" w:eastAsia="仿宋" w:hAnsi="Times New Roman" w:cs="Times New Roman"/>
          <w:color w:val="000000" w:themeColor="text1"/>
          <w:sz w:val="28"/>
          <w:szCs w:val="28"/>
        </w:rPr>
        <w:t>）。根据《中国医疗机构药品评价与遴选快速指南》</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用于新品种引进时，</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分以上为强推荐</w:t>
      </w:r>
      <w:r>
        <w:rPr>
          <w:rFonts w:ascii="Times New Roman" w:eastAsia="仿宋" w:hAnsi="Times New Roman" w:cs="Times New Roman"/>
          <w:color w:val="000000" w:themeColor="text1"/>
          <w:sz w:val="28"/>
          <w:szCs w:val="28"/>
        </w:rPr>
        <w:t>”</w:t>
      </w:r>
      <w:r>
        <w:rPr>
          <w:rFonts w:ascii="Times New Roman" w:eastAsia="仿宋" w:hAnsi="Times New Roman" w:cs="Times New Roman"/>
          <w:color w:val="000000" w:themeColor="text1"/>
          <w:sz w:val="28"/>
          <w:szCs w:val="28"/>
        </w:rPr>
        <w:t>：上述</w:t>
      </w:r>
      <w:r>
        <w:rPr>
          <w:rFonts w:ascii="Times New Roman" w:eastAsia="仿宋" w:hAnsi="Times New Roman" w:cs="Times New Roman"/>
          <w:color w:val="000000" w:themeColor="text1"/>
          <w:sz w:val="28"/>
          <w:szCs w:val="28"/>
        </w:rPr>
        <w:t>4</w:t>
      </w:r>
      <w:r>
        <w:rPr>
          <w:rFonts w:ascii="Times New Roman" w:eastAsia="仿宋" w:hAnsi="Times New Roman" w:cs="Times New Roman"/>
          <w:color w:val="000000" w:themeColor="text1"/>
          <w:sz w:val="28"/>
          <w:szCs w:val="28"/>
        </w:rPr>
        <w:t>个评价药品最终总分均在</w:t>
      </w:r>
      <w:r>
        <w:rPr>
          <w:rFonts w:ascii="Times New Roman" w:eastAsia="仿宋" w:hAnsi="Times New Roman" w:cs="Times New Roman"/>
          <w:color w:val="000000" w:themeColor="text1"/>
          <w:sz w:val="28"/>
          <w:szCs w:val="28"/>
        </w:rPr>
        <w:t>70</w:t>
      </w:r>
      <w:r>
        <w:rPr>
          <w:rFonts w:ascii="Times New Roman" w:eastAsia="仿宋" w:hAnsi="Times New Roman" w:cs="Times New Roman"/>
          <w:color w:val="000000" w:themeColor="text1"/>
          <w:sz w:val="28"/>
          <w:szCs w:val="28"/>
        </w:rPr>
        <w:t>分以上，建议推荐以上药品进入医疗机构用药目录。</w:t>
      </w:r>
    </w:p>
    <w:p w:rsidR="00C96FF8" w:rsidRDefault="00DD68D6">
      <w:pPr>
        <w:ind w:firstLineChars="200" w:firstLine="560"/>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但需注意的是，由于部分</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抑制剂在我国上市时间晚、临床应用时间短，其在适应证、指南推荐、医保基药等评分处于劣势，因此，对于</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抑制剂的药品评价工作尚需不断更新、动态调整，纳入新的循证医学证据、新的医保政策、价格信息等，以便实时反应药品特性。此外，对于后</w:t>
      </w:r>
      <w:r>
        <w:rPr>
          <w:rFonts w:ascii="Times New Roman" w:eastAsia="仿宋" w:hAnsi="Times New Roman" w:cs="Times New Roman"/>
          <w:color w:val="000000" w:themeColor="text1"/>
          <w:sz w:val="28"/>
          <w:szCs w:val="28"/>
          <w:lang w:eastAsia="zh-Hans"/>
        </w:rPr>
        <w:t>续新上市的</w:t>
      </w:r>
      <w:r>
        <w:rPr>
          <w:rFonts w:ascii="Times New Roman" w:eastAsia="仿宋" w:hAnsi="Times New Roman" w:cs="Times New Roman"/>
          <w:color w:val="000000" w:themeColor="text1"/>
          <w:sz w:val="28"/>
          <w:szCs w:val="28"/>
        </w:rPr>
        <w:t>SGLT-2</w:t>
      </w:r>
      <w:r>
        <w:rPr>
          <w:rFonts w:ascii="Times New Roman" w:eastAsia="仿宋" w:hAnsi="Times New Roman" w:cs="Times New Roman"/>
          <w:color w:val="000000" w:themeColor="text1"/>
          <w:sz w:val="28"/>
          <w:szCs w:val="28"/>
          <w:lang w:eastAsia="zh-Hans"/>
        </w:rPr>
        <w:t>抑制剂的新药、仿制药，建议参考此评价标准，完善说明书资料及各类属性的证据，以供后续医疗机构进行更科学、客观、真实的药品临床快速综合评价及遴选。</w:t>
      </w:r>
    </w:p>
    <w:p w:rsidR="00C96FF8" w:rsidRDefault="00DD68D6">
      <w:pPr>
        <w:jc w:val="center"/>
        <w:rPr>
          <w:rFonts w:ascii="Times New Roman" w:eastAsia="仿宋" w:hAnsi="Times New Roman" w:cs="Times New Roman"/>
          <w:sz w:val="24"/>
          <w:szCs w:val="28"/>
        </w:rPr>
      </w:pPr>
      <w:r>
        <w:rPr>
          <w:rFonts w:ascii="Times New Roman" w:eastAsia="仿宋" w:hAnsi="Times New Roman" w:cs="Times New Roman"/>
          <w:color w:val="000000" w:themeColor="text1"/>
          <w:sz w:val="24"/>
          <w:szCs w:val="28"/>
          <w:lang w:eastAsia="zh-Hans"/>
        </w:rPr>
        <w:t>表</w:t>
      </w:r>
      <w:r>
        <w:rPr>
          <w:rFonts w:ascii="Times New Roman" w:eastAsia="仿宋" w:hAnsi="Times New Roman" w:cs="Times New Roman"/>
          <w:color w:val="000000" w:themeColor="text1"/>
          <w:sz w:val="24"/>
          <w:szCs w:val="28"/>
        </w:rPr>
        <w:t>8 SGLT-2</w:t>
      </w:r>
      <w:r>
        <w:rPr>
          <w:rFonts w:ascii="Times New Roman" w:eastAsia="仿宋" w:hAnsi="Times New Roman" w:cs="Times New Roman"/>
          <w:color w:val="000000" w:themeColor="text1"/>
          <w:sz w:val="24"/>
          <w:szCs w:val="28"/>
        </w:rPr>
        <w:t>抑制剂评价得分结果</w:t>
      </w:r>
    </w:p>
    <w:tbl>
      <w:tblPr>
        <w:tblStyle w:val="21"/>
        <w:tblW w:w="7551" w:type="dxa"/>
        <w:tblInd w:w="1062" w:type="dxa"/>
        <w:tblLayout w:type="fixed"/>
        <w:tblLook w:val="04A0" w:firstRow="1" w:lastRow="0" w:firstColumn="1" w:lastColumn="0" w:noHBand="0" w:noVBand="1"/>
      </w:tblPr>
      <w:tblGrid>
        <w:gridCol w:w="1314"/>
        <w:gridCol w:w="1728"/>
        <w:gridCol w:w="1592"/>
        <w:gridCol w:w="1303"/>
        <w:gridCol w:w="1614"/>
      </w:tblGrid>
      <w:tr w:rsidR="00C96FF8" w:rsidTr="00C96FF8">
        <w:trPr>
          <w:cnfStyle w:val="100000000000" w:firstRow="1" w:lastRow="0" w:firstColumn="0" w:lastColumn="0" w:oddVBand="0" w:evenVBand="0" w:oddHBand="0" w:evenHBand="0" w:firstRowFirstColumn="0" w:firstRowLastColumn="0" w:lastRowFirstColumn="0" w:lastRowLastColumn="0"/>
          <w:trHeight w:val="1"/>
        </w:trPr>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评价维度</w:t>
            </w:r>
          </w:p>
        </w:tc>
        <w:tc>
          <w:tcPr>
            <w:tcW w:w="1728" w:type="dxa"/>
          </w:tcPr>
          <w:p w:rsidR="00C96FF8" w:rsidRDefault="00DD68D6">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达格列净</w:t>
            </w:r>
          </w:p>
        </w:tc>
        <w:tc>
          <w:tcPr>
            <w:tcW w:w="1592" w:type="dxa"/>
          </w:tcPr>
          <w:p w:rsidR="00C96FF8" w:rsidRDefault="00DD68D6">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恩格列净</w:t>
            </w:r>
          </w:p>
        </w:tc>
        <w:tc>
          <w:tcPr>
            <w:tcW w:w="1303" w:type="dxa"/>
          </w:tcPr>
          <w:p w:rsidR="00C96FF8" w:rsidRDefault="00DD68D6">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卡格列净</w:t>
            </w:r>
          </w:p>
        </w:tc>
        <w:tc>
          <w:tcPr>
            <w:tcW w:w="1614" w:type="dxa"/>
          </w:tcPr>
          <w:p w:rsidR="00C96FF8" w:rsidRDefault="00DD68D6">
            <w:pPr>
              <w:jc w:val="center"/>
              <w:cnfStyle w:val="100000000000" w:firstRow="1"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艾托格列净</w:t>
            </w:r>
          </w:p>
        </w:tc>
      </w:tr>
      <w:tr w:rsidR="00C96FF8" w:rsidTr="00C96FF8">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lastRenderedPageBreak/>
              <w:t>药学特性</w:t>
            </w:r>
          </w:p>
        </w:tc>
        <w:tc>
          <w:tcPr>
            <w:tcW w:w="1728"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20</w:t>
            </w:r>
          </w:p>
        </w:tc>
        <w:tc>
          <w:tcPr>
            <w:tcW w:w="1592"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20</w:t>
            </w:r>
          </w:p>
        </w:tc>
        <w:tc>
          <w:tcPr>
            <w:tcW w:w="1303"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18</w:t>
            </w:r>
          </w:p>
        </w:tc>
        <w:tc>
          <w:tcPr>
            <w:tcW w:w="1614" w:type="dxa"/>
            <w:shd w:val="clear" w:color="auto" w:fill="auto"/>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18</w:t>
            </w:r>
          </w:p>
        </w:tc>
      </w:tr>
      <w:tr w:rsidR="00C96FF8" w:rsidTr="00C96FF8">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有效性</w:t>
            </w:r>
          </w:p>
        </w:tc>
        <w:tc>
          <w:tcPr>
            <w:tcW w:w="1728" w:type="dxa"/>
          </w:tcPr>
          <w:p w:rsidR="00C96FF8" w:rsidRDefault="00DD68D6">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19</w:t>
            </w:r>
          </w:p>
        </w:tc>
        <w:tc>
          <w:tcPr>
            <w:tcW w:w="1592" w:type="dxa"/>
          </w:tcPr>
          <w:p w:rsidR="00C96FF8" w:rsidRDefault="00DD68D6">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19</w:t>
            </w:r>
          </w:p>
        </w:tc>
        <w:tc>
          <w:tcPr>
            <w:tcW w:w="1303" w:type="dxa"/>
          </w:tcPr>
          <w:p w:rsidR="00C96FF8" w:rsidRDefault="00DD68D6">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20</w:t>
            </w:r>
          </w:p>
        </w:tc>
        <w:tc>
          <w:tcPr>
            <w:tcW w:w="1614" w:type="dxa"/>
            <w:shd w:val="clear" w:color="auto" w:fill="auto"/>
          </w:tcPr>
          <w:p w:rsidR="00C96FF8" w:rsidRDefault="00DD68D6">
            <w:pPr>
              <w:jc w:val="center"/>
              <w:textAlignment w:val="bottom"/>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18</w:t>
            </w:r>
          </w:p>
        </w:tc>
      </w:tr>
      <w:tr w:rsidR="00C96FF8" w:rsidTr="00C96FF8">
        <w:trPr>
          <w:trHeight w:val="1"/>
        </w:trPr>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安全性</w:t>
            </w:r>
          </w:p>
        </w:tc>
        <w:tc>
          <w:tcPr>
            <w:tcW w:w="1728"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c>
          <w:tcPr>
            <w:tcW w:w="1592"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c>
          <w:tcPr>
            <w:tcW w:w="1303"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8.6</w:t>
            </w:r>
          </w:p>
        </w:tc>
        <w:tc>
          <w:tcPr>
            <w:tcW w:w="1614" w:type="dxa"/>
            <w:shd w:val="clear" w:color="auto" w:fill="auto"/>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9.6</w:t>
            </w:r>
          </w:p>
        </w:tc>
      </w:tr>
      <w:tr w:rsidR="00C96FF8" w:rsidTr="00C96FF8">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经济性</w:t>
            </w:r>
          </w:p>
        </w:tc>
        <w:tc>
          <w:tcPr>
            <w:tcW w:w="1728"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12</w:t>
            </w:r>
          </w:p>
        </w:tc>
        <w:tc>
          <w:tcPr>
            <w:tcW w:w="1592"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12</w:t>
            </w:r>
          </w:p>
        </w:tc>
        <w:tc>
          <w:tcPr>
            <w:tcW w:w="1303"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12</w:t>
            </w:r>
          </w:p>
        </w:tc>
        <w:tc>
          <w:tcPr>
            <w:tcW w:w="1614" w:type="dxa"/>
            <w:shd w:val="clear" w:color="auto" w:fill="auto"/>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14</w:t>
            </w:r>
          </w:p>
        </w:tc>
      </w:tr>
      <w:tr w:rsidR="00C96FF8" w:rsidTr="00C96FF8">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其他属性</w:t>
            </w:r>
          </w:p>
        </w:tc>
        <w:tc>
          <w:tcPr>
            <w:tcW w:w="1728"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16</w:t>
            </w:r>
          </w:p>
        </w:tc>
        <w:tc>
          <w:tcPr>
            <w:tcW w:w="1592"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14</w:t>
            </w:r>
          </w:p>
        </w:tc>
        <w:tc>
          <w:tcPr>
            <w:tcW w:w="1303"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14</w:t>
            </w:r>
          </w:p>
        </w:tc>
        <w:tc>
          <w:tcPr>
            <w:tcW w:w="1614" w:type="dxa"/>
            <w:shd w:val="clear" w:color="auto" w:fill="auto"/>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13</w:t>
            </w:r>
          </w:p>
        </w:tc>
      </w:tr>
      <w:tr w:rsidR="00C96FF8" w:rsidTr="00C96FF8">
        <w:tc>
          <w:tcPr>
            <w:cnfStyle w:val="001000000000" w:firstRow="0" w:lastRow="0" w:firstColumn="1" w:lastColumn="0" w:oddVBand="0" w:evenVBand="0" w:oddHBand="0" w:evenHBand="0" w:firstRowFirstColumn="0" w:firstRowLastColumn="0" w:lastRowFirstColumn="0" w:lastRowLastColumn="0"/>
            <w:tcW w:w="1314" w:type="dxa"/>
          </w:tcPr>
          <w:p w:rsidR="00C96FF8" w:rsidRDefault="00DD68D6">
            <w:pPr>
              <w:jc w:val="center"/>
              <w:rPr>
                <w:rFonts w:ascii="Times New Roman" w:eastAsia="仿宋" w:hAnsi="Times New Roman" w:cs="Times New Roman"/>
                <w:kern w:val="0"/>
                <w:sz w:val="24"/>
                <w:szCs w:val="24"/>
              </w:rPr>
            </w:pPr>
            <w:r>
              <w:rPr>
                <w:rFonts w:ascii="Times New Roman" w:eastAsia="仿宋" w:hAnsi="Times New Roman" w:cs="Times New Roman"/>
                <w:b w:val="0"/>
                <w:bCs w:val="0"/>
                <w:kern w:val="24"/>
                <w:sz w:val="24"/>
                <w:szCs w:val="24"/>
              </w:rPr>
              <w:t>总分</w:t>
            </w:r>
          </w:p>
        </w:tc>
        <w:tc>
          <w:tcPr>
            <w:tcW w:w="1728"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76.6</w:t>
            </w:r>
          </w:p>
        </w:tc>
        <w:tc>
          <w:tcPr>
            <w:tcW w:w="1592"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74.6</w:t>
            </w:r>
          </w:p>
        </w:tc>
        <w:tc>
          <w:tcPr>
            <w:tcW w:w="1303" w:type="dxa"/>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72.6</w:t>
            </w:r>
          </w:p>
        </w:tc>
        <w:tc>
          <w:tcPr>
            <w:tcW w:w="1614" w:type="dxa"/>
            <w:shd w:val="clear" w:color="auto" w:fill="auto"/>
          </w:tcPr>
          <w:p w:rsidR="00C96FF8" w:rsidRDefault="00DD68D6">
            <w:pPr>
              <w:jc w:val="center"/>
              <w:cnfStyle w:val="000000000000" w:firstRow="0" w:lastRow="0" w:firstColumn="0" w:lastColumn="0" w:oddVBand="0" w:evenVBand="0" w:oddHBand="0" w:evenHBand="0" w:firstRowFirstColumn="0" w:firstRowLastColumn="0" w:lastRowFirstColumn="0" w:lastRowLastColumn="0"/>
              <w:rPr>
                <w:rFonts w:ascii="Times New Roman" w:eastAsia="仿宋" w:hAnsi="Times New Roman" w:cs="Times New Roman"/>
                <w:kern w:val="0"/>
                <w:sz w:val="24"/>
                <w:szCs w:val="24"/>
              </w:rPr>
            </w:pPr>
            <w:r>
              <w:rPr>
                <w:rFonts w:ascii="Times New Roman" w:eastAsia="仿宋" w:hAnsi="Times New Roman" w:cs="Times New Roman"/>
                <w:kern w:val="0"/>
                <w:sz w:val="24"/>
                <w:szCs w:val="24"/>
              </w:rPr>
              <w:t>72.6</w:t>
            </w:r>
          </w:p>
        </w:tc>
      </w:tr>
    </w:tbl>
    <w:p w:rsidR="00C96FF8" w:rsidRDefault="00C96FF8">
      <w:pPr>
        <w:spacing w:line="360" w:lineRule="auto"/>
        <w:jc w:val="left"/>
        <w:rPr>
          <w:rFonts w:ascii="Times New Roman" w:eastAsia="仿宋" w:hAnsi="Times New Roman" w:cs="Times New Roman"/>
          <w:b/>
          <w:bCs/>
          <w:sz w:val="28"/>
          <w:szCs w:val="28"/>
        </w:rPr>
      </w:pPr>
    </w:p>
    <w:p w:rsidR="00C96FF8" w:rsidRDefault="00DD68D6">
      <w:pPr>
        <w:spacing w:line="360" w:lineRule="auto"/>
        <w:jc w:val="left"/>
        <w:rPr>
          <w:rFonts w:ascii="Times New Roman" w:eastAsia="仿宋" w:hAnsi="Times New Roman" w:cs="Times New Roman"/>
          <w:b/>
          <w:bCs/>
          <w:sz w:val="28"/>
          <w:szCs w:val="28"/>
        </w:rPr>
      </w:pPr>
      <w:r>
        <w:rPr>
          <w:rFonts w:ascii="Times New Roman" w:eastAsia="仿宋" w:hAnsi="Times New Roman" w:cs="Times New Roman"/>
          <w:b/>
          <w:bCs/>
          <w:sz w:val="28"/>
          <w:szCs w:val="28"/>
        </w:rPr>
        <w:t>参考文献</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 xml:space="preserve">[1] </w:t>
      </w:r>
      <w:r>
        <w:rPr>
          <w:rFonts w:ascii="Times New Roman" w:eastAsia="仿宋" w:hAnsi="Times New Roman" w:cs="Times New Roman"/>
          <w:color w:val="000000" w:themeColor="text1"/>
          <w:sz w:val="28"/>
          <w:szCs w:val="28"/>
          <w:lang w:eastAsia="zh-Hans"/>
        </w:rPr>
        <w:t>卫生健康委中医药局</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关于加强公立医院运营管理的指导意见</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国卫财务发〔</w:t>
      </w:r>
      <w:r>
        <w:rPr>
          <w:rFonts w:ascii="Times New Roman" w:eastAsia="仿宋" w:hAnsi="Times New Roman" w:cs="Times New Roman"/>
          <w:color w:val="000000" w:themeColor="text1"/>
          <w:sz w:val="28"/>
          <w:szCs w:val="28"/>
          <w:lang w:eastAsia="zh-Hans"/>
        </w:rPr>
        <w:t>2020</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27</w:t>
      </w:r>
      <w:r>
        <w:rPr>
          <w:rFonts w:ascii="Times New Roman" w:eastAsia="仿宋" w:hAnsi="Times New Roman" w:cs="Times New Roman"/>
          <w:color w:val="000000" w:themeColor="text1"/>
          <w:sz w:val="28"/>
          <w:szCs w:val="28"/>
          <w:lang w:eastAsia="zh-Hans"/>
        </w:rPr>
        <w:t>号</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2020</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12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21</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.http://www.gov.cn/zhengce/zhengceku/2020-12/26/content_ 5573493.htm</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[2] </w:t>
      </w:r>
      <w:r>
        <w:rPr>
          <w:rFonts w:ascii="Times New Roman" w:eastAsia="仿宋" w:hAnsi="Times New Roman" w:cs="Times New Roman"/>
          <w:color w:val="000000" w:themeColor="text1"/>
          <w:sz w:val="28"/>
          <w:szCs w:val="28"/>
          <w:lang w:eastAsia="zh-Hans"/>
        </w:rPr>
        <w:t>国家卫生健康委办公厅</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关于规范开展药品临床综合评价工作的通知</w:t>
      </w:r>
      <w:r>
        <w:rPr>
          <w:rFonts w:ascii="Times New Roman" w:eastAsia="仿宋" w:hAnsi="Times New Roman" w:cs="Times New Roman"/>
          <w:color w:val="000000" w:themeColor="text1"/>
          <w:sz w:val="28"/>
          <w:szCs w:val="28"/>
          <w:lang w:eastAsia="zh-Hans"/>
        </w:rPr>
        <w:t>[EB/OL].</w:t>
      </w:r>
      <w:r>
        <w:rPr>
          <w:rFonts w:ascii="Times New Roman" w:eastAsia="仿宋" w:hAnsi="Times New Roman" w:cs="Times New Roman"/>
          <w:color w:val="000000" w:themeColor="text1"/>
          <w:sz w:val="28"/>
          <w:szCs w:val="28"/>
          <w:lang w:eastAsia="zh-Hans"/>
        </w:rPr>
        <w:t>国卫办药政发〔</w:t>
      </w:r>
      <w:r>
        <w:rPr>
          <w:rFonts w:ascii="Times New Roman" w:eastAsia="仿宋" w:hAnsi="Times New Roman" w:cs="Times New Roman"/>
          <w:color w:val="000000" w:themeColor="text1"/>
          <w:sz w:val="28"/>
          <w:szCs w:val="28"/>
          <w:lang w:eastAsia="zh-Hans"/>
        </w:rPr>
        <w:t>2021</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16</w:t>
      </w:r>
      <w:r>
        <w:rPr>
          <w:rFonts w:ascii="Times New Roman" w:eastAsia="仿宋" w:hAnsi="Times New Roman" w:cs="Times New Roman"/>
          <w:color w:val="000000" w:themeColor="text1"/>
          <w:sz w:val="28"/>
          <w:szCs w:val="28"/>
          <w:lang w:eastAsia="zh-Hans"/>
        </w:rPr>
        <w:t>号</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2021-07-29</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xml:space="preserve">. </w:t>
      </w:r>
      <w:hyperlink r:id="rId8" w:history="1">
        <w:r>
          <w:rPr>
            <w:rStyle w:val="a9"/>
            <w:rFonts w:ascii="Times New Roman" w:eastAsia="仿宋" w:hAnsi="Times New Roman" w:cs="Times New Roman"/>
            <w:sz w:val="28"/>
            <w:szCs w:val="28"/>
            <w:lang w:eastAsia="zh-Hans"/>
          </w:rPr>
          <w:t>http://wsjkw.hebei.gov.cn/zcfg2/380991.jhtml</w:t>
        </w:r>
      </w:hyperlink>
      <w:r>
        <w:rPr>
          <w:rFonts w:ascii="Times New Roman" w:eastAsia="仿宋" w:hAnsi="Times New Roman" w:cs="Times New Roman"/>
          <w:color w:val="000000" w:themeColor="text1"/>
          <w:sz w:val="28"/>
          <w:szCs w:val="28"/>
          <w:lang w:eastAsia="zh-Hans"/>
        </w:rPr>
        <w:t>.</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[3] </w:t>
      </w:r>
      <w:r>
        <w:rPr>
          <w:rFonts w:ascii="Times New Roman" w:eastAsia="仿宋" w:hAnsi="Times New Roman" w:cs="Times New Roman"/>
          <w:color w:val="000000" w:themeColor="text1"/>
          <w:sz w:val="28"/>
          <w:szCs w:val="28"/>
          <w:lang w:eastAsia="zh-Hans"/>
        </w:rPr>
        <w:t>广东省卫生健康委办公室</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关于印发《广东省药品临床综合评价实施方案（试行）》的通知</w:t>
      </w:r>
      <w:r>
        <w:rPr>
          <w:rFonts w:ascii="Times New Roman" w:eastAsia="仿宋" w:hAnsi="Times New Roman" w:cs="Times New Roman"/>
          <w:color w:val="000000" w:themeColor="text1"/>
          <w:sz w:val="28"/>
          <w:szCs w:val="28"/>
          <w:lang w:eastAsia="zh-Hans"/>
        </w:rPr>
        <w:t>[EB].</w:t>
      </w:r>
      <w:r>
        <w:rPr>
          <w:rFonts w:ascii="Times New Roman" w:eastAsia="仿宋" w:hAnsi="Times New Roman" w:cs="Times New Roman"/>
          <w:color w:val="000000" w:themeColor="text1"/>
          <w:sz w:val="28"/>
          <w:szCs w:val="28"/>
          <w:lang w:eastAsia="zh-Hans"/>
        </w:rPr>
        <w:t>粤卫办药政函〔</w:t>
      </w:r>
      <w:r>
        <w:rPr>
          <w:rFonts w:ascii="Times New Roman" w:eastAsia="仿宋" w:hAnsi="Times New Roman" w:cs="Times New Roman"/>
          <w:color w:val="000000" w:themeColor="text1"/>
          <w:sz w:val="28"/>
          <w:szCs w:val="28"/>
          <w:lang w:eastAsia="zh-Hans"/>
        </w:rPr>
        <w:t>2021</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15</w:t>
      </w:r>
      <w:r>
        <w:rPr>
          <w:rFonts w:ascii="Times New Roman" w:eastAsia="仿宋" w:hAnsi="Times New Roman" w:cs="Times New Roman"/>
          <w:color w:val="000000" w:themeColor="text1"/>
          <w:sz w:val="28"/>
          <w:szCs w:val="28"/>
          <w:lang w:eastAsia="zh-Hans"/>
        </w:rPr>
        <w:t>号</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2021-12-14</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[4] </w:t>
      </w:r>
      <w:r>
        <w:rPr>
          <w:rFonts w:ascii="Times New Roman" w:eastAsia="仿宋" w:hAnsi="Times New Roman" w:cs="Times New Roman"/>
          <w:color w:val="000000" w:themeColor="text1"/>
          <w:sz w:val="28"/>
          <w:szCs w:val="28"/>
          <w:lang w:eastAsia="zh-Hans"/>
        </w:rPr>
        <w:t>赵志刚</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董占军</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刘建平</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中国医疗机构药品评价与遴选快速指南</w:t>
      </w:r>
      <w:r>
        <w:rPr>
          <w:rFonts w:ascii="Times New Roman" w:eastAsia="仿宋" w:hAnsi="Times New Roman" w:cs="Times New Roman"/>
          <w:color w:val="000000" w:themeColor="text1"/>
          <w:sz w:val="28"/>
          <w:szCs w:val="28"/>
          <w:lang w:eastAsia="zh-Hans"/>
        </w:rPr>
        <w:t>[J].</w:t>
      </w:r>
      <w:r>
        <w:rPr>
          <w:rFonts w:ascii="Times New Roman" w:eastAsia="仿宋" w:hAnsi="Times New Roman" w:cs="Times New Roman"/>
          <w:color w:val="000000" w:themeColor="text1"/>
          <w:sz w:val="28"/>
          <w:szCs w:val="28"/>
          <w:lang w:eastAsia="zh-Hans"/>
        </w:rPr>
        <w:t>医药导报</w:t>
      </w:r>
      <w:r>
        <w:rPr>
          <w:rFonts w:ascii="Times New Roman" w:eastAsia="仿宋" w:hAnsi="Times New Roman" w:cs="Times New Roman"/>
          <w:color w:val="000000" w:themeColor="text1"/>
          <w:sz w:val="28"/>
          <w:szCs w:val="28"/>
          <w:lang w:eastAsia="zh-Hans"/>
        </w:rPr>
        <w:t>,2020,39(11): 1457-1465.</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[5] </w:t>
      </w:r>
      <w:r>
        <w:rPr>
          <w:rFonts w:ascii="Times New Roman" w:eastAsia="仿宋" w:hAnsi="Times New Roman" w:cs="Times New Roman"/>
          <w:color w:val="000000" w:themeColor="text1"/>
          <w:sz w:val="28"/>
          <w:szCs w:val="28"/>
          <w:lang w:eastAsia="zh-Hans"/>
        </w:rPr>
        <w:t>关于印发国家基本医疗保险</w:t>
      </w:r>
      <w:r>
        <w:rPr>
          <w:rFonts w:ascii="Times New Roman" w:eastAsia="仿宋" w:hAnsi="Times New Roman" w:cs="Times New Roman"/>
          <w:color w:val="000000" w:themeColor="text1"/>
          <w:sz w:val="28"/>
          <w:szCs w:val="28"/>
          <w:lang w:eastAsia="zh-Hans"/>
        </w:rPr>
        <w:t>、工伤保险和生育保险药品目录</w:t>
      </w:r>
      <w:r>
        <w:rPr>
          <w:rFonts w:ascii="Times New Roman" w:eastAsia="仿宋" w:hAnsi="Times New Roman" w:cs="Times New Roman"/>
          <w:color w:val="000000" w:themeColor="text1"/>
          <w:sz w:val="28"/>
          <w:szCs w:val="28"/>
          <w:lang w:eastAsia="zh-Hans"/>
        </w:rPr>
        <w:t xml:space="preserve">(2020 </w:t>
      </w:r>
      <w:r>
        <w:rPr>
          <w:rFonts w:ascii="Times New Roman" w:eastAsia="仿宋" w:hAnsi="Times New Roman" w:cs="Times New Roman"/>
          <w:color w:val="000000" w:themeColor="text1"/>
          <w:sz w:val="28"/>
          <w:szCs w:val="28"/>
          <w:lang w:eastAsia="zh-Hans"/>
        </w:rPr>
        <w:t>年</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的通知</w:t>
      </w:r>
      <w:r>
        <w:rPr>
          <w:rFonts w:ascii="Times New Roman" w:eastAsia="仿宋" w:hAnsi="Times New Roman" w:cs="Times New Roman"/>
          <w:color w:val="000000" w:themeColor="text1"/>
          <w:sz w:val="28"/>
          <w:szCs w:val="28"/>
          <w:lang w:eastAsia="zh-Hans"/>
        </w:rPr>
        <w:t>[EB/OL].</w:t>
      </w:r>
      <w:r>
        <w:rPr>
          <w:rFonts w:ascii="Times New Roman" w:eastAsia="仿宋" w:hAnsi="Times New Roman" w:cs="Times New Roman"/>
          <w:color w:val="000000" w:themeColor="text1"/>
          <w:sz w:val="28"/>
          <w:szCs w:val="28"/>
          <w:lang w:eastAsia="zh-Hans"/>
        </w:rPr>
        <w:t>医保发〔</w:t>
      </w:r>
      <w:r>
        <w:rPr>
          <w:rFonts w:ascii="Times New Roman" w:eastAsia="仿宋" w:hAnsi="Times New Roman" w:cs="Times New Roman"/>
          <w:color w:val="000000" w:themeColor="text1"/>
          <w:sz w:val="28"/>
          <w:szCs w:val="28"/>
          <w:lang w:eastAsia="zh-Hans"/>
        </w:rPr>
        <w:t>2020</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53</w:t>
      </w:r>
      <w:r>
        <w:rPr>
          <w:rFonts w:ascii="Times New Roman" w:eastAsia="仿宋" w:hAnsi="Times New Roman" w:cs="Times New Roman"/>
          <w:color w:val="000000" w:themeColor="text1"/>
          <w:sz w:val="28"/>
          <w:szCs w:val="28"/>
          <w:lang w:eastAsia="zh-Hans"/>
        </w:rPr>
        <w:t>号</w:t>
      </w:r>
      <w:r>
        <w:rPr>
          <w:rFonts w:ascii="Times New Roman" w:eastAsia="仿宋" w:hAnsi="Times New Roman" w:cs="Times New Roman"/>
          <w:color w:val="000000" w:themeColor="text1"/>
          <w:sz w:val="28"/>
          <w:szCs w:val="28"/>
          <w:lang w:eastAsia="zh-Hans"/>
        </w:rPr>
        <w:t>.(2020-12-28) http://www.nhsa.gov.cn/art/2020/12/28/art_37_4220.html.</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 xml:space="preserve">[6] </w:t>
      </w:r>
      <w:r>
        <w:rPr>
          <w:rFonts w:ascii="Times New Roman" w:eastAsia="仿宋" w:hAnsi="Times New Roman" w:cs="Times New Roman"/>
          <w:color w:val="000000" w:themeColor="text1"/>
          <w:sz w:val="28"/>
          <w:szCs w:val="28"/>
          <w:lang w:eastAsia="zh-Hans"/>
        </w:rPr>
        <w:t>关于印发国家基本药物目录（</w:t>
      </w:r>
      <w:r>
        <w:rPr>
          <w:rFonts w:ascii="Times New Roman" w:eastAsia="仿宋" w:hAnsi="Times New Roman" w:cs="Times New Roman"/>
          <w:color w:val="000000" w:themeColor="text1"/>
          <w:sz w:val="28"/>
          <w:szCs w:val="28"/>
          <w:lang w:eastAsia="zh-Hans"/>
        </w:rPr>
        <w:t xml:space="preserve"> 2018 </w:t>
      </w:r>
      <w:r>
        <w:rPr>
          <w:rFonts w:ascii="Times New Roman" w:eastAsia="仿宋" w:hAnsi="Times New Roman" w:cs="Times New Roman"/>
          <w:color w:val="000000" w:themeColor="text1"/>
          <w:sz w:val="28"/>
          <w:szCs w:val="28"/>
          <w:lang w:eastAsia="zh-Hans"/>
        </w:rPr>
        <w:t>年版）的通知</w:t>
      </w:r>
      <w:r>
        <w:rPr>
          <w:rFonts w:ascii="Times New Roman" w:eastAsia="仿宋" w:hAnsi="Times New Roman" w:cs="Times New Roman"/>
          <w:color w:val="000000" w:themeColor="text1"/>
          <w:sz w:val="28"/>
          <w:szCs w:val="28"/>
          <w:lang w:eastAsia="zh-Hans"/>
        </w:rPr>
        <w:t>[EB/OL].</w:t>
      </w:r>
      <w:r>
        <w:rPr>
          <w:rFonts w:ascii="Times New Roman" w:eastAsia="仿宋" w:hAnsi="Times New Roman" w:cs="Times New Roman"/>
          <w:color w:val="000000" w:themeColor="text1"/>
          <w:sz w:val="28"/>
          <w:szCs w:val="28"/>
          <w:lang w:eastAsia="zh-Hans"/>
        </w:rPr>
        <w:t>国卫药政发〔</w:t>
      </w:r>
      <w:r>
        <w:rPr>
          <w:rFonts w:ascii="Times New Roman" w:eastAsia="仿宋" w:hAnsi="Times New Roman" w:cs="Times New Roman"/>
          <w:color w:val="000000" w:themeColor="text1"/>
          <w:sz w:val="28"/>
          <w:szCs w:val="28"/>
          <w:lang w:eastAsia="zh-Hans"/>
        </w:rPr>
        <w:t>2018</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31</w:t>
      </w:r>
      <w:r>
        <w:rPr>
          <w:rFonts w:ascii="Times New Roman" w:eastAsia="仿宋" w:hAnsi="Times New Roman" w:cs="Times New Roman"/>
          <w:color w:val="000000" w:themeColor="text1"/>
          <w:sz w:val="28"/>
          <w:szCs w:val="28"/>
          <w:lang w:eastAsia="zh-Hans"/>
        </w:rPr>
        <w:t>号</w:t>
      </w:r>
      <w:r>
        <w:rPr>
          <w:rFonts w:ascii="Times New Roman" w:eastAsia="仿宋" w:hAnsi="Times New Roman" w:cs="Times New Roman"/>
          <w:color w:val="000000" w:themeColor="text1"/>
          <w:sz w:val="28"/>
          <w:szCs w:val="28"/>
          <w:lang w:eastAsia="zh-Hans"/>
        </w:rPr>
        <w:t xml:space="preserve">. (2018-10-25). </w:t>
      </w:r>
      <w:r>
        <w:rPr>
          <w:rFonts w:ascii="Times New Roman" w:eastAsia="仿宋" w:hAnsi="Times New Roman" w:cs="Times New Roman"/>
          <w:color w:val="000000" w:themeColor="text1"/>
          <w:sz w:val="28"/>
          <w:szCs w:val="28"/>
          <w:lang w:eastAsia="zh-Hans"/>
        </w:rPr>
        <w:t>http://www.nhc.gov.cn/yaozs/s7656/201810/c18533e22a3940d08d996b588d941631.shtml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[7] Takebayashi K, Inukai T. Effect of Sodium Glucose Cotransporter 2 Inhibitors With Low SGLT2/SGLT1 Selectivity on Circulating Glucagon-Like Peptide 1 Levels in Type 2 Diabe</w:t>
      </w:r>
      <w:r>
        <w:rPr>
          <w:rFonts w:ascii="Times New Roman" w:eastAsia="仿宋" w:hAnsi="Times New Roman" w:cs="Times New Roman"/>
          <w:color w:val="000000" w:themeColor="text1"/>
          <w:sz w:val="28"/>
          <w:szCs w:val="28"/>
          <w:lang w:eastAsia="zh-Hans"/>
        </w:rPr>
        <w:t>tes Mellitus[J]. J Clin Med Res</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9(9):745-753.</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[8] </w:t>
      </w:r>
      <w:r>
        <w:rPr>
          <w:rFonts w:ascii="Times New Roman" w:eastAsia="仿宋" w:hAnsi="Times New Roman" w:cs="Times New Roman"/>
          <w:color w:val="000000" w:themeColor="text1"/>
          <w:sz w:val="28"/>
          <w:szCs w:val="28"/>
          <w:lang w:eastAsia="zh-Hans"/>
        </w:rPr>
        <w:t>中华医学会糖尿病学分会</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国家基层糖尿病防治管理办公室</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国家基层糖尿病防治管理手册</w:t>
      </w:r>
      <w:r>
        <w:rPr>
          <w:rFonts w:ascii="Times New Roman" w:eastAsia="仿宋" w:hAnsi="Times New Roman" w:cs="Times New Roman"/>
          <w:color w:val="000000" w:themeColor="text1"/>
          <w:sz w:val="28"/>
          <w:szCs w:val="28"/>
          <w:lang w:eastAsia="zh-Hans"/>
        </w:rPr>
        <w:t xml:space="preserve">(2022)[J]. </w:t>
      </w:r>
      <w:r>
        <w:rPr>
          <w:rFonts w:ascii="Times New Roman" w:eastAsia="仿宋" w:hAnsi="Times New Roman" w:cs="Times New Roman"/>
          <w:color w:val="000000" w:themeColor="text1"/>
          <w:sz w:val="28"/>
          <w:szCs w:val="28"/>
          <w:lang w:eastAsia="zh-Hans"/>
        </w:rPr>
        <w:t>中华内科杂志</w:t>
      </w:r>
      <w:r>
        <w:rPr>
          <w:rFonts w:ascii="Times New Roman" w:eastAsia="仿宋" w:hAnsi="Times New Roman" w:cs="Times New Roman"/>
          <w:color w:val="000000" w:themeColor="text1"/>
          <w:sz w:val="28"/>
          <w:szCs w:val="28"/>
          <w:lang w:eastAsia="zh-Hans"/>
        </w:rPr>
        <w:t>, 2022, 61(7): 717-748.</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 xml:space="preserve">[9] </w:t>
      </w:r>
      <w:r>
        <w:rPr>
          <w:rFonts w:ascii="Times New Roman" w:eastAsia="仿宋" w:hAnsi="Times New Roman" w:cs="Times New Roman"/>
          <w:color w:val="000000" w:themeColor="text1"/>
          <w:sz w:val="28"/>
          <w:szCs w:val="28"/>
          <w:lang w:eastAsia="zh-Hans"/>
        </w:rPr>
        <w:t>中华医学会糖尿病学分会</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中国</w:t>
      </w:r>
      <w:r>
        <w:rPr>
          <w:rFonts w:ascii="Times New Roman" w:eastAsia="仿宋" w:hAnsi="Times New Roman" w:cs="Times New Roman"/>
          <w:color w:val="000000" w:themeColor="text1"/>
          <w:sz w:val="28"/>
          <w:szCs w:val="28"/>
          <w:lang w:eastAsia="zh-Hans"/>
        </w:rPr>
        <w:t>2</w:t>
      </w:r>
      <w:r>
        <w:rPr>
          <w:rFonts w:ascii="Times New Roman" w:eastAsia="仿宋" w:hAnsi="Times New Roman" w:cs="Times New Roman"/>
          <w:color w:val="000000" w:themeColor="text1"/>
          <w:sz w:val="28"/>
          <w:szCs w:val="28"/>
          <w:lang w:eastAsia="zh-Hans"/>
        </w:rPr>
        <w:t>型糖尿病防治指南</w:t>
      </w:r>
      <w:r>
        <w:rPr>
          <w:rFonts w:ascii="Times New Roman" w:eastAsia="仿宋" w:hAnsi="Times New Roman" w:cs="Times New Roman"/>
          <w:color w:val="000000" w:themeColor="text1"/>
          <w:sz w:val="28"/>
          <w:szCs w:val="28"/>
          <w:lang w:eastAsia="zh-Hans"/>
        </w:rPr>
        <w:t>(2020</w:t>
      </w:r>
      <w:r>
        <w:rPr>
          <w:rFonts w:ascii="Times New Roman" w:eastAsia="仿宋" w:hAnsi="Times New Roman" w:cs="Times New Roman"/>
          <w:color w:val="000000" w:themeColor="text1"/>
          <w:sz w:val="28"/>
          <w:szCs w:val="28"/>
          <w:lang w:eastAsia="zh-Hans"/>
        </w:rPr>
        <w:t>年版</w:t>
      </w:r>
      <w:r>
        <w:rPr>
          <w:rFonts w:ascii="Times New Roman" w:eastAsia="仿宋" w:hAnsi="Times New Roman" w:cs="Times New Roman"/>
          <w:color w:val="000000" w:themeColor="text1"/>
          <w:sz w:val="28"/>
          <w:szCs w:val="28"/>
          <w:lang w:eastAsia="zh-Hans"/>
        </w:rPr>
        <w:t>)[J].</w:t>
      </w:r>
      <w:r>
        <w:rPr>
          <w:rFonts w:ascii="Times New Roman" w:eastAsia="仿宋" w:hAnsi="Times New Roman" w:cs="Times New Roman"/>
          <w:color w:val="000000" w:themeColor="text1"/>
          <w:sz w:val="28"/>
          <w:szCs w:val="28"/>
          <w:lang w:eastAsia="zh-Hans"/>
        </w:rPr>
        <w:lastRenderedPageBreak/>
        <w:t>中华糖尿病杂志</w:t>
      </w:r>
      <w:r>
        <w:rPr>
          <w:rFonts w:ascii="Times New Roman" w:eastAsia="仿宋" w:hAnsi="Times New Roman" w:cs="Times New Roman"/>
          <w:color w:val="000000" w:themeColor="text1"/>
          <w:sz w:val="28"/>
          <w:szCs w:val="28"/>
          <w:lang w:eastAsia="zh-Hans"/>
        </w:rPr>
        <w:t>,2021,13(4):315-409.</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[10] American Diabetes Association Professional Pr</w:t>
      </w:r>
      <w:r>
        <w:rPr>
          <w:rFonts w:ascii="Times New Roman" w:eastAsia="仿宋" w:hAnsi="Times New Roman" w:cs="Times New Roman"/>
          <w:color w:val="000000" w:themeColor="text1"/>
          <w:sz w:val="28"/>
          <w:szCs w:val="28"/>
          <w:lang w:eastAsia="zh-Hans"/>
        </w:rPr>
        <w:t>actice Committee</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Summary of Revisions: Standards of Medical Care in Diabetes—2022[J]. Diabetes Care</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2022</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45(1): 4</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7.</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[11] Zinman B, Wanner C, Lachin J</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 xml:space="preserve">M, </w:t>
      </w:r>
      <w:r>
        <w:rPr>
          <w:rFonts w:ascii="Times New Roman" w:eastAsia="仿宋" w:hAnsi="Times New Roman" w:cs="Times New Roman"/>
          <w:i/>
          <w:iCs/>
          <w:color w:val="000000" w:themeColor="text1"/>
          <w:sz w:val="28"/>
          <w:szCs w:val="28"/>
          <w:lang w:eastAsia="zh-Hans"/>
        </w:rPr>
        <w:t>et al</w:t>
      </w:r>
      <w:r>
        <w:rPr>
          <w:rFonts w:ascii="Times New Roman" w:eastAsia="仿宋" w:hAnsi="Times New Roman" w:cs="Times New Roman"/>
          <w:color w:val="000000" w:themeColor="text1"/>
          <w:sz w:val="28"/>
          <w:szCs w:val="28"/>
          <w:lang w:eastAsia="zh-Hans"/>
        </w:rPr>
        <w:t>. Empagliflozin, Cardiovascular Outcomes, and Mortality in Type 2 Diabetes[J].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2015</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373(22):2117-</w:t>
      </w:r>
      <w:r>
        <w:rPr>
          <w:rFonts w:ascii="Times New Roman" w:eastAsia="仿宋" w:hAnsi="Times New Roman" w:cs="Times New Roman" w:hint="eastAsia"/>
          <w:color w:val="000000" w:themeColor="text1"/>
          <w:sz w:val="28"/>
          <w:szCs w:val="28"/>
        </w:rPr>
        <w:t>21</w:t>
      </w:r>
      <w:r>
        <w:rPr>
          <w:rFonts w:ascii="Times New Roman" w:eastAsia="仿宋" w:hAnsi="Times New Roman" w:cs="Times New Roman"/>
          <w:color w:val="000000" w:themeColor="text1"/>
          <w:sz w:val="28"/>
          <w:szCs w:val="28"/>
          <w:lang w:eastAsia="zh-Hans"/>
        </w:rPr>
        <w:t>28.</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[12] Neal B, Perkovic V, Matthews D</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R. Canagliflozin and Cardiovascular and Renal Events in Type 2 Diabetes[J].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2017, 377(21):2099.</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[13] Wiviott S</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D, Raz I, Bonaca M</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 xml:space="preserve">P, </w:t>
      </w:r>
      <w:r>
        <w:rPr>
          <w:rFonts w:ascii="Times New Roman" w:eastAsia="仿宋" w:hAnsi="Times New Roman" w:cs="Times New Roman"/>
          <w:i/>
          <w:iCs/>
          <w:color w:val="000000" w:themeColor="text1"/>
          <w:sz w:val="28"/>
          <w:szCs w:val="28"/>
          <w:lang w:eastAsia="zh-Hans"/>
        </w:rPr>
        <w:t>et al</w:t>
      </w:r>
      <w:r>
        <w:rPr>
          <w:rFonts w:ascii="Times New Roman" w:eastAsia="仿宋" w:hAnsi="Times New Roman" w:cs="Times New Roman"/>
          <w:color w:val="000000" w:themeColor="text1"/>
          <w:sz w:val="28"/>
          <w:szCs w:val="28"/>
          <w:lang w:eastAsia="zh-Hans"/>
        </w:rPr>
        <w:t>. Dapagliflozin and cardiovascular outcomes</w:t>
      </w:r>
      <w:r>
        <w:rPr>
          <w:rFonts w:ascii="Times New Roman" w:eastAsia="仿宋" w:hAnsi="Times New Roman" w:cs="Times New Roman"/>
          <w:color w:val="000000" w:themeColor="text1"/>
          <w:sz w:val="28"/>
          <w:szCs w:val="28"/>
          <w:lang w:eastAsia="zh-Hans"/>
        </w:rPr>
        <w:t xml:space="preserve"> in type 2 diabetes[J].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2019, 380(4): 347</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357.</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[14] Cannon C</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P, Pratley R, Dagogo-Jack S,</w:t>
      </w:r>
      <w:r>
        <w:rPr>
          <w:rFonts w:ascii="Times New Roman" w:eastAsia="仿宋" w:hAnsi="Times New Roman" w:cs="Times New Roman"/>
          <w:i/>
          <w:iCs/>
          <w:color w:val="000000" w:themeColor="text1"/>
          <w:sz w:val="28"/>
          <w:szCs w:val="28"/>
          <w:lang w:eastAsia="zh-Hans"/>
        </w:rPr>
        <w:t>et al</w:t>
      </w:r>
      <w:r>
        <w:rPr>
          <w:rFonts w:ascii="Times New Roman" w:eastAsia="仿宋" w:hAnsi="Times New Roman" w:cs="Times New Roman"/>
          <w:color w:val="000000" w:themeColor="text1"/>
          <w:sz w:val="28"/>
          <w:szCs w:val="28"/>
          <w:lang w:eastAsia="zh-Hans"/>
        </w:rPr>
        <w:t>. Cardiovascular Outcomes with Ertugliflozin in Type 2 Diabetes[J].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2020</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383(15):1425-1435.</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[15]</w:t>
      </w:r>
      <w:r>
        <w:rPr>
          <w:rFonts w:ascii="Times New Roman" w:hAnsi="Times New Roman" w:cs="Times New Roman"/>
        </w:rPr>
        <w:t xml:space="preserve"> </w:t>
      </w:r>
      <w:r>
        <w:rPr>
          <w:rFonts w:ascii="Times New Roman" w:eastAsia="仿宋" w:hAnsi="Times New Roman" w:cs="Times New Roman"/>
          <w:color w:val="000000" w:themeColor="text1"/>
          <w:sz w:val="28"/>
          <w:szCs w:val="28"/>
          <w:lang w:eastAsia="zh-Hans"/>
        </w:rPr>
        <w:t>Perkovic V, Jardine M</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 xml:space="preserve">J, Neal B, </w:t>
      </w:r>
      <w:r>
        <w:rPr>
          <w:rFonts w:ascii="Times New Roman" w:eastAsia="仿宋" w:hAnsi="Times New Roman" w:cs="Times New Roman"/>
          <w:i/>
          <w:iCs/>
          <w:color w:val="000000" w:themeColor="text1"/>
          <w:sz w:val="28"/>
          <w:szCs w:val="28"/>
          <w:lang w:eastAsia="zh-Hans"/>
        </w:rPr>
        <w:t xml:space="preserve">et </w:t>
      </w:r>
      <w:r>
        <w:rPr>
          <w:rFonts w:ascii="Times New Roman" w:eastAsia="仿宋" w:hAnsi="Times New Roman" w:cs="Times New Roman"/>
          <w:i/>
          <w:iCs/>
          <w:color w:val="000000" w:themeColor="text1"/>
          <w:sz w:val="28"/>
          <w:szCs w:val="28"/>
          <w:lang w:eastAsia="zh-Hans"/>
        </w:rPr>
        <w:t>al</w:t>
      </w:r>
      <w:r>
        <w:rPr>
          <w:rFonts w:ascii="Times New Roman" w:eastAsia="仿宋" w:hAnsi="Times New Roman" w:cs="Times New Roman"/>
          <w:color w:val="000000" w:themeColor="text1"/>
          <w:sz w:val="28"/>
          <w:szCs w:val="28"/>
          <w:lang w:eastAsia="zh-Hans"/>
        </w:rPr>
        <w:t>. Canagliflozin and Renal Outcomes in Type 2 Diabetes and Nephropathy[J].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2019</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380(24):2295-2306.</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[16] Heerspink H</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J</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L, Stefánsson B</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 xml:space="preserve">V, Correa-Rotter R, </w:t>
      </w:r>
      <w:r>
        <w:rPr>
          <w:rFonts w:ascii="Times New Roman" w:eastAsia="仿宋" w:hAnsi="Times New Roman" w:cs="Times New Roman"/>
          <w:i/>
          <w:iCs/>
          <w:color w:val="000000" w:themeColor="text1"/>
          <w:sz w:val="28"/>
          <w:szCs w:val="28"/>
          <w:lang w:eastAsia="zh-Hans"/>
        </w:rPr>
        <w:t>et al</w:t>
      </w:r>
      <w:r>
        <w:rPr>
          <w:rFonts w:ascii="Times New Roman" w:eastAsia="仿宋" w:hAnsi="Times New Roman" w:cs="Times New Roman"/>
          <w:color w:val="000000" w:themeColor="text1"/>
          <w:sz w:val="28"/>
          <w:szCs w:val="28"/>
          <w:lang w:eastAsia="zh-Hans"/>
        </w:rPr>
        <w:t>. Dapagliflozin in Patients with Chronic Kidney Disease[J]. N Engl J Med</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2020</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383(15):1436-1446.</w:t>
      </w:r>
    </w:p>
    <w:p w:rsidR="00C96FF8" w:rsidRDefault="00DD68D6">
      <w:pPr>
        <w:ind w:firstLineChars="200" w:firstLine="560"/>
        <w:jc w:val="left"/>
        <w:rPr>
          <w:rFonts w:ascii="Times New Roman" w:eastAsia="仿宋" w:hAnsi="Times New Roman" w:cs="Times New Roman"/>
          <w:color w:val="000000" w:themeColor="text1"/>
          <w:sz w:val="28"/>
          <w:szCs w:val="28"/>
          <w:lang w:eastAsia="zh-Hans"/>
        </w:rPr>
      </w:pPr>
      <w:r>
        <w:rPr>
          <w:rFonts w:ascii="Times New Roman" w:eastAsia="仿宋" w:hAnsi="Times New Roman" w:cs="Times New Roman"/>
          <w:color w:val="000000" w:themeColor="text1"/>
          <w:sz w:val="28"/>
          <w:szCs w:val="28"/>
          <w:lang w:eastAsia="zh-Hans"/>
        </w:rPr>
        <w:t>[17] Ryan P</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B, Buse J</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B, Schuemie M</w:t>
      </w:r>
      <w:r>
        <w:rPr>
          <w:rFonts w:ascii="Times New Roman" w:eastAsia="仿宋" w:hAnsi="Times New Roman" w:cs="Times New Roman" w:hint="eastAsia"/>
          <w:color w:val="000000" w:themeColor="text1"/>
          <w:sz w:val="28"/>
          <w:szCs w:val="28"/>
        </w:rPr>
        <w:t xml:space="preserve"> </w:t>
      </w:r>
      <w:r>
        <w:rPr>
          <w:rFonts w:ascii="Times New Roman" w:eastAsia="仿宋" w:hAnsi="Times New Roman" w:cs="Times New Roman"/>
          <w:color w:val="000000" w:themeColor="text1"/>
          <w:sz w:val="28"/>
          <w:szCs w:val="28"/>
          <w:lang w:eastAsia="zh-Hans"/>
        </w:rPr>
        <w:t xml:space="preserve">J, </w:t>
      </w:r>
      <w:r>
        <w:rPr>
          <w:rFonts w:ascii="Times New Roman" w:eastAsia="仿宋" w:hAnsi="Times New Roman" w:cs="Times New Roman"/>
          <w:i/>
          <w:iCs/>
          <w:color w:val="000000" w:themeColor="text1"/>
          <w:sz w:val="28"/>
          <w:szCs w:val="28"/>
          <w:lang w:eastAsia="zh-Hans"/>
        </w:rPr>
        <w:t>et al</w:t>
      </w:r>
      <w:r>
        <w:rPr>
          <w:rFonts w:ascii="Times New Roman" w:eastAsia="仿宋" w:hAnsi="Times New Roman" w:cs="Times New Roman"/>
          <w:color w:val="000000" w:themeColor="text1"/>
          <w:sz w:val="28"/>
          <w:szCs w:val="28"/>
          <w:lang w:eastAsia="zh-Hans"/>
        </w:rPr>
        <w:t>. Comparative effectiveness of canagliflozin, SGLT2 inhibitors and non-SGLT2 inhibitors on the risk of hospitalization for heart failure and amputation in patients with type 2 diabetes mellitus</w:t>
      </w:r>
      <w:r>
        <w:rPr>
          <w:rFonts w:ascii="Times New Roman" w:eastAsia="仿宋" w:hAnsi="Times New Roman" w:cs="Times New Roman"/>
          <w:color w:val="000000" w:themeColor="text1"/>
          <w:sz w:val="28"/>
          <w:szCs w:val="28"/>
          <w:lang w:eastAsia="zh-Hans"/>
        </w:rPr>
        <w:t>: A real-world meta-analysis of 4 observational databases (OBSERVE-4D) [J]. Diabetes Obes Metab</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2018 ,20(11):2585-2597.</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 xml:space="preserve">[18] </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hint="eastAsia"/>
          <w:color w:val="000000" w:themeColor="text1"/>
          <w:sz w:val="28"/>
          <w:szCs w:val="28"/>
        </w:rPr>
        <w:t>.</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欧盟拟采取措施降低</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抑制剂的酮症酸中毒风险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2016-04-20</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https://www.nmpa.gov.cn/directory/web/nmpa/xxgk/yjjsh/ywjjkx/2016042016</w:t>
      </w:r>
      <w:r>
        <w:rPr>
          <w:rFonts w:ascii="Times New Roman" w:eastAsia="仿宋" w:hAnsi="Times New Roman" w:cs="Times New Roman"/>
          <w:color w:val="000000" w:themeColor="text1"/>
          <w:sz w:val="28"/>
          <w:szCs w:val="28"/>
          <w:lang w:eastAsia="zh-Hans"/>
        </w:rPr>
        <w:t>3801199.html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[19]</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欧盟警告</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抑制剂下肢截肢风险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2017-07-14</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https://www.nmpa.gov.cn/directory/web/nmpa/xxgk/yjjsh/ywjjkx/20170714161901164.html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[20]</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color w:val="000000" w:themeColor="text1"/>
          <w:sz w:val="28"/>
          <w:szCs w:val="28"/>
          <w:lang w:eastAsia="zh-Hans"/>
        </w:rPr>
        <w:t>. WHO</w:t>
      </w:r>
      <w:r>
        <w:rPr>
          <w:rFonts w:ascii="Times New Roman" w:eastAsia="仿宋" w:hAnsi="Times New Roman" w:cs="Times New Roman"/>
          <w:color w:val="000000" w:themeColor="text1"/>
          <w:sz w:val="28"/>
          <w:szCs w:val="28"/>
          <w:lang w:eastAsia="zh-Hans"/>
        </w:rPr>
        <w:t>关注列净类降糖药与生殖器瘙痒风险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2017-09-28</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https://www.nmpa.gov.cn/directory/web/nmpa/xxgk/yjjsh/ywjjkx/2017092815540</w:t>
      </w:r>
      <w:r>
        <w:rPr>
          <w:rFonts w:ascii="Times New Roman" w:eastAsia="仿宋" w:hAnsi="Times New Roman" w:cs="Times New Roman"/>
          <w:color w:val="000000" w:themeColor="text1"/>
          <w:sz w:val="28"/>
          <w:szCs w:val="28"/>
          <w:lang w:eastAsia="zh-Hans"/>
        </w:rPr>
        <w:lastRenderedPageBreak/>
        <w:t>1472.html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[21]</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加拿大评估</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抑制剂的胰腺炎风险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2018-09-04</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https://www.nmpa.gov.cn/directory/web/nmpa/xxgk/yjjsh/ywjjkx/20180904112301131.html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[22]</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美国警告</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降糖药的罕</w:t>
      </w:r>
      <w:r>
        <w:rPr>
          <w:rFonts w:ascii="Times New Roman" w:eastAsia="仿宋" w:hAnsi="Times New Roman" w:cs="Times New Roman"/>
          <w:color w:val="000000" w:themeColor="text1"/>
          <w:sz w:val="28"/>
          <w:szCs w:val="28"/>
          <w:lang w:eastAsia="zh-Hans"/>
        </w:rPr>
        <w:t>见严重的生殖区感染风险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2018-10-19</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https://www.nmpa.gov.cn/directory/web/nmpa/xxgk/yjjsh/ywjjkx/20181019171301688.html</w:t>
      </w:r>
      <w:r>
        <w:rPr>
          <w:rFonts w:ascii="Times New Roman" w:eastAsia="仿宋" w:hAnsi="Times New Roman" w:cs="Times New Roman" w:hint="eastAsia"/>
          <w:color w:val="000000" w:themeColor="text1"/>
          <w:sz w:val="28"/>
          <w:szCs w:val="28"/>
        </w:rPr>
        <w:t>.</w:t>
      </w:r>
    </w:p>
    <w:p w:rsidR="00C96FF8" w:rsidRDefault="00DD68D6">
      <w:pPr>
        <w:ind w:firstLineChars="200" w:firstLine="560"/>
        <w:jc w:val="left"/>
        <w:rPr>
          <w:rFonts w:ascii="Times New Roman" w:eastAsia="仿宋" w:hAnsi="Times New Roman" w:cs="Times New Roman"/>
          <w:color w:val="000000" w:themeColor="text1"/>
          <w:sz w:val="28"/>
          <w:szCs w:val="28"/>
        </w:rPr>
      </w:pPr>
      <w:r>
        <w:rPr>
          <w:rFonts w:ascii="Times New Roman" w:eastAsia="仿宋" w:hAnsi="Times New Roman" w:cs="Times New Roman"/>
          <w:color w:val="000000" w:themeColor="text1"/>
          <w:sz w:val="28"/>
          <w:szCs w:val="28"/>
          <w:lang w:eastAsia="zh-Hans"/>
        </w:rPr>
        <w:t>[23]</w:t>
      </w:r>
      <w:r>
        <w:rPr>
          <w:rFonts w:ascii="Times New Roman" w:eastAsia="仿宋" w:hAnsi="Times New Roman" w:cs="Times New Roman"/>
          <w:color w:val="000000" w:themeColor="text1"/>
          <w:sz w:val="28"/>
          <w:szCs w:val="28"/>
          <w:lang w:eastAsia="zh-Hans"/>
        </w:rPr>
        <w:t>国家药品监督管理局</w:t>
      </w:r>
      <w:r>
        <w:rPr>
          <w:rFonts w:ascii="Times New Roman" w:eastAsia="仿宋" w:hAnsi="Times New Roman" w:cs="Times New Roman"/>
          <w:color w:val="000000" w:themeColor="text1"/>
          <w:sz w:val="28"/>
          <w:szCs w:val="28"/>
          <w:lang w:eastAsia="zh-Hans"/>
        </w:rPr>
        <w:t xml:space="preserve">. </w:t>
      </w:r>
      <w:r>
        <w:rPr>
          <w:rFonts w:ascii="Times New Roman" w:eastAsia="仿宋" w:hAnsi="Times New Roman" w:cs="Times New Roman"/>
          <w:color w:val="000000" w:themeColor="text1"/>
          <w:sz w:val="28"/>
          <w:szCs w:val="28"/>
          <w:lang w:eastAsia="zh-Hans"/>
        </w:rPr>
        <w:t>英国警示</w:t>
      </w:r>
      <w:r>
        <w:rPr>
          <w:rFonts w:ascii="Times New Roman" w:eastAsia="仿宋" w:hAnsi="Times New Roman" w:cs="Times New Roman"/>
          <w:color w:val="000000" w:themeColor="text1"/>
          <w:sz w:val="28"/>
          <w:szCs w:val="28"/>
          <w:lang w:eastAsia="zh-Hans"/>
        </w:rPr>
        <w:t>SGLT2</w:t>
      </w:r>
      <w:r>
        <w:rPr>
          <w:rFonts w:ascii="Times New Roman" w:eastAsia="仿宋" w:hAnsi="Times New Roman" w:cs="Times New Roman"/>
          <w:color w:val="000000" w:themeColor="text1"/>
          <w:sz w:val="28"/>
          <w:szCs w:val="28"/>
          <w:lang w:eastAsia="zh-Hans"/>
        </w:rPr>
        <w:t>抑制剂的生殖器或会阴区坏死性筋膜炎风险</w:t>
      </w:r>
      <w:r>
        <w:rPr>
          <w:rFonts w:ascii="Times New Roman" w:eastAsia="仿宋" w:hAnsi="Times New Roman" w:cs="Times New Roman"/>
          <w:color w:val="000000" w:themeColor="text1"/>
          <w:sz w:val="28"/>
          <w:szCs w:val="28"/>
          <w:lang w:eastAsia="zh-Hans"/>
        </w:rPr>
        <w:t xml:space="preserve">[EB/OL]. </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2019-04-24</w:t>
      </w:r>
      <w:r>
        <w:rPr>
          <w:rFonts w:ascii="Times New Roman" w:eastAsia="仿宋" w:hAnsi="Times New Roman" w:cs="Times New Roman"/>
          <w:color w:val="000000" w:themeColor="text1"/>
          <w:sz w:val="28"/>
          <w:szCs w:val="28"/>
          <w:lang w:eastAsia="zh-Hans"/>
        </w:rPr>
        <w:t>）</w:t>
      </w:r>
      <w:r>
        <w:rPr>
          <w:rFonts w:ascii="Times New Roman" w:eastAsia="仿宋" w:hAnsi="Times New Roman" w:cs="Times New Roman"/>
          <w:color w:val="000000" w:themeColor="text1"/>
          <w:sz w:val="28"/>
          <w:szCs w:val="28"/>
          <w:lang w:eastAsia="zh-Hans"/>
        </w:rPr>
        <w:t>. https://www.nmpa.gov.cn/directory/web/nmpa/xxgk/yjjsh/ywjjkx/2019042416</w:t>
      </w:r>
      <w:r>
        <w:rPr>
          <w:rFonts w:ascii="Times New Roman" w:eastAsia="仿宋" w:hAnsi="Times New Roman" w:cs="Times New Roman"/>
          <w:color w:val="000000" w:themeColor="text1"/>
          <w:sz w:val="28"/>
          <w:szCs w:val="28"/>
          <w:lang w:eastAsia="zh-Hans"/>
        </w:rPr>
        <w:t>4401150.html</w:t>
      </w:r>
      <w:r>
        <w:rPr>
          <w:rFonts w:ascii="Times New Roman" w:eastAsia="仿宋" w:hAnsi="Times New Roman" w:cs="Times New Roman" w:hint="eastAsia"/>
          <w:color w:val="000000" w:themeColor="text1"/>
          <w:sz w:val="28"/>
          <w:szCs w:val="28"/>
        </w:rPr>
        <w:t>.</w:t>
      </w:r>
    </w:p>
    <w:p w:rsidR="00C96FF8" w:rsidRDefault="00C96FF8">
      <w:pPr>
        <w:jc w:val="left"/>
        <w:rPr>
          <w:rFonts w:ascii="Times New Roman" w:eastAsia="仿宋" w:hAnsi="Times New Roman" w:cs="Times New Roman"/>
          <w:color w:val="000000" w:themeColor="text1"/>
          <w:sz w:val="28"/>
          <w:szCs w:val="28"/>
          <w:lang w:eastAsia="zh-Hans"/>
        </w:rPr>
      </w:pPr>
    </w:p>
    <w:p w:rsidR="00C96FF8" w:rsidRDefault="00DD68D6">
      <w:pPr>
        <w:spacing w:line="600" w:lineRule="exact"/>
        <w:jc w:val="left"/>
        <w:rPr>
          <w:rFonts w:ascii="Times New Roman" w:eastAsia="宋体" w:hAnsi="Times New Roman" w:cs="Times New Roman"/>
          <w:b/>
          <w:sz w:val="32"/>
          <w:szCs w:val="32"/>
        </w:rPr>
      </w:pPr>
      <w:r>
        <w:rPr>
          <w:rFonts w:ascii="Times New Roman" w:eastAsia="宋体" w:hAnsi="Times New Roman" w:cs="Times New Roman" w:hint="eastAsia"/>
          <w:b/>
          <w:sz w:val="32"/>
          <w:szCs w:val="32"/>
        </w:rPr>
        <w:t>《广东省</w:t>
      </w:r>
      <w:r>
        <w:rPr>
          <w:rFonts w:ascii="Times New Roman" w:eastAsia="宋体" w:hAnsi="Times New Roman" w:cs="Times New Roman" w:hint="eastAsia"/>
          <w:b/>
          <w:sz w:val="32"/>
          <w:szCs w:val="32"/>
        </w:rPr>
        <w:t>SGLT-2</w:t>
      </w:r>
      <w:r>
        <w:rPr>
          <w:rFonts w:ascii="Times New Roman" w:eastAsia="宋体" w:hAnsi="Times New Roman" w:cs="Times New Roman" w:hint="eastAsia"/>
          <w:b/>
          <w:sz w:val="32"/>
          <w:szCs w:val="32"/>
        </w:rPr>
        <w:t>抑制剂临床快速综合评价专家共识》</w:t>
      </w:r>
      <w:r>
        <w:rPr>
          <w:rFonts w:ascii="Times New Roman" w:eastAsia="宋体" w:hAnsi="Times New Roman" w:cs="Times New Roman"/>
          <w:b/>
          <w:sz w:val="32"/>
          <w:szCs w:val="32"/>
        </w:rPr>
        <w:t>起草专家组</w:t>
      </w:r>
    </w:p>
    <w:tbl>
      <w:tblPr>
        <w:tblW w:w="9070" w:type="dxa"/>
        <w:tblLook w:val="04A0" w:firstRow="1" w:lastRow="0" w:firstColumn="1" w:lastColumn="0" w:noHBand="0" w:noVBand="1"/>
      </w:tblPr>
      <w:tblGrid>
        <w:gridCol w:w="1701"/>
        <w:gridCol w:w="4786"/>
        <w:gridCol w:w="2583"/>
      </w:tblGrid>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b/>
                <w:bCs/>
                <w:color w:val="000000"/>
                <w:kern w:val="0"/>
                <w:sz w:val="28"/>
                <w:szCs w:val="28"/>
              </w:rPr>
            </w:pPr>
            <w:r>
              <w:rPr>
                <w:rFonts w:ascii="Times New Roman" w:eastAsia="仿宋" w:hAnsi="Times New Roman" w:cs="Times New Roman"/>
                <w:b/>
                <w:bCs/>
                <w:color w:val="000000"/>
                <w:sz w:val="28"/>
                <w:szCs w:val="28"/>
              </w:rPr>
              <w:t>顾问：</w:t>
            </w:r>
          </w:p>
        </w:tc>
        <w:tc>
          <w:tcPr>
            <w:tcW w:w="4786" w:type="dxa"/>
            <w:shd w:val="clear" w:color="auto" w:fill="auto"/>
            <w:noWrap/>
            <w:vAlign w:val="center"/>
          </w:tcPr>
          <w:p w:rsidR="00C96FF8" w:rsidRDefault="00DD68D6">
            <w:pPr>
              <w:rPr>
                <w:rFonts w:ascii="Times New Roman" w:eastAsia="仿宋_GB2312" w:hAnsi="Times New Roman" w:cs="Times New Roman"/>
                <w:b/>
                <w:bCs/>
                <w:color w:val="000000"/>
                <w:kern w:val="0"/>
                <w:sz w:val="28"/>
                <w:szCs w:val="28"/>
              </w:rPr>
            </w:pPr>
            <w:r>
              <w:rPr>
                <w:rFonts w:ascii="Times New Roman" w:eastAsia="仿宋" w:hAnsi="Times New Roman" w:cs="Times New Roman"/>
                <w:color w:val="000000"/>
                <w:sz w:val="28"/>
                <w:szCs w:val="28"/>
              </w:rPr>
              <w:t xml:space="preserve">　</w:t>
            </w:r>
          </w:p>
        </w:tc>
        <w:tc>
          <w:tcPr>
            <w:tcW w:w="2583" w:type="dxa"/>
          </w:tcPr>
          <w:p w:rsidR="00C96FF8" w:rsidRDefault="00C96FF8">
            <w:pPr>
              <w:rPr>
                <w:rFonts w:ascii="Times New Roman" w:eastAsia="仿宋" w:hAnsi="Times New Roman" w:cs="Times New Roman"/>
                <w:color w:val="000000"/>
                <w:sz w:val="28"/>
                <w:szCs w:val="28"/>
              </w:rPr>
            </w:pP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严</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励</w:t>
            </w:r>
          </w:p>
        </w:tc>
        <w:tc>
          <w:tcPr>
            <w:tcW w:w="4786"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中山大学孙逸仙纪念医院</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李延兵</w:t>
            </w:r>
          </w:p>
        </w:tc>
        <w:tc>
          <w:tcPr>
            <w:tcW w:w="4786"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中山大学附属第一医院</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薛耀明</w:t>
            </w:r>
          </w:p>
        </w:tc>
        <w:tc>
          <w:tcPr>
            <w:tcW w:w="4786"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南方医科大学南方医院</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b/>
                <w:bCs/>
                <w:color w:val="000000"/>
                <w:kern w:val="0"/>
                <w:sz w:val="28"/>
                <w:szCs w:val="28"/>
              </w:rPr>
            </w:pPr>
            <w:r>
              <w:rPr>
                <w:rFonts w:ascii="Times New Roman" w:eastAsia="仿宋" w:hAnsi="Times New Roman" w:cs="Times New Roman"/>
                <w:b/>
                <w:bCs/>
                <w:color w:val="000000"/>
                <w:sz w:val="28"/>
                <w:szCs w:val="28"/>
              </w:rPr>
              <w:t>执笔：</w:t>
            </w:r>
          </w:p>
        </w:tc>
        <w:tc>
          <w:tcPr>
            <w:tcW w:w="4786" w:type="dxa"/>
            <w:shd w:val="clear" w:color="auto" w:fill="auto"/>
            <w:noWrap/>
            <w:vAlign w:val="center"/>
          </w:tcPr>
          <w:p w:rsidR="00C96FF8" w:rsidRDefault="00DD68D6">
            <w:pPr>
              <w:rPr>
                <w:rFonts w:ascii="Times New Roman" w:eastAsia="仿宋_GB2312" w:hAnsi="Times New Roman" w:cs="Times New Roman"/>
                <w:b/>
                <w:bCs/>
                <w:color w:val="000000"/>
                <w:kern w:val="0"/>
                <w:sz w:val="28"/>
                <w:szCs w:val="28"/>
              </w:rPr>
            </w:pPr>
            <w:r>
              <w:rPr>
                <w:rFonts w:ascii="Times New Roman" w:eastAsia="仿宋" w:hAnsi="Times New Roman" w:cs="Times New Roman"/>
                <w:color w:val="000000"/>
                <w:sz w:val="28"/>
                <w:szCs w:val="28"/>
              </w:rPr>
              <w:t xml:space="preserve">　</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 xml:space="preserve">　</w:t>
            </w: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伍俊妍</w:t>
            </w:r>
          </w:p>
        </w:tc>
        <w:tc>
          <w:tcPr>
            <w:tcW w:w="4786"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中山大学孙逸仙纪念医院</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彭玲玲</w:t>
            </w:r>
          </w:p>
        </w:tc>
        <w:tc>
          <w:tcPr>
            <w:tcW w:w="4786" w:type="dxa"/>
            <w:shd w:val="clear" w:color="auto" w:fill="auto"/>
            <w:noWrap/>
            <w:vAlign w:val="center"/>
          </w:tcPr>
          <w:p w:rsidR="00C96FF8" w:rsidRDefault="00DD68D6">
            <w:pPr>
              <w:rPr>
                <w:rFonts w:ascii="Times New Roman" w:eastAsia="仿宋_GB2312" w:hAnsi="Times New Roman" w:cs="Times New Roman"/>
                <w:color w:val="000000"/>
                <w:kern w:val="0"/>
                <w:sz w:val="28"/>
                <w:szCs w:val="28"/>
              </w:rPr>
            </w:pPr>
            <w:r>
              <w:rPr>
                <w:rFonts w:ascii="Times New Roman" w:eastAsia="仿宋" w:hAnsi="Times New Roman" w:cs="Times New Roman"/>
                <w:color w:val="000000"/>
                <w:sz w:val="28"/>
                <w:szCs w:val="28"/>
              </w:rPr>
              <w:t>中山大学孙逸仙纪念医院</w:t>
            </w:r>
          </w:p>
        </w:tc>
        <w:tc>
          <w:tcPr>
            <w:tcW w:w="2583" w:type="dxa"/>
            <w:vAlign w:val="center"/>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主管药师</w:t>
            </w:r>
          </w:p>
        </w:tc>
      </w:tr>
      <w:tr w:rsidR="00C96FF8">
        <w:trPr>
          <w:trHeight w:val="113"/>
        </w:trPr>
        <w:tc>
          <w:tcPr>
            <w:tcW w:w="6487" w:type="dxa"/>
            <w:gridSpan w:val="2"/>
            <w:shd w:val="clear" w:color="auto" w:fill="auto"/>
            <w:noWrap/>
            <w:vAlign w:val="center"/>
          </w:tcPr>
          <w:p w:rsidR="00C96FF8" w:rsidRDefault="00DD68D6">
            <w:pPr>
              <w:rPr>
                <w:rFonts w:ascii="Times New Roman" w:eastAsia="仿宋" w:hAnsi="Times New Roman" w:cs="Times New Roman"/>
                <w:b/>
                <w:bCs/>
                <w:color w:val="000000"/>
                <w:sz w:val="28"/>
                <w:szCs w:val="28"/>
              </w:rPr>
            </w:pPr>
            <w:r>
              <w:rPr>
                <w:rFonts w:ascii="Times New Roman" w:eastAsia="仿宋" w:hAnsi="Times New Roman" w:cs="Times New Roman"/>
                <w:b/>
                <w:bCs/>
                <w:color w:val="000000"/>
                <w:sz w:val="28"/>
                <w:szCs w:val="28"/>
              </w:rPr>
              <w:t>医学专家（以姓氏拼音排序）：</w:t>
            </w:r>
          </w:p>
        </w:tc>
        <w:tc>
          <w:tcPr>
            <w:tcW w:w="2583" w:type="dxa"/>
          </w:tcPr>
          <w:p w:rsidR="00C96FF8" w:rsidRDefault="00C96FF8">
            <w:pPr>
              <w:rPr>
                <w:rFonts w:ascii="Times New Roman" w:eastAsia="仿宋" w:hAnsi="Times New Roman" w:cs="Times New Roman"/>
                <w:b/>
                <w:bCs/>
                <w:color w:val="000000"/>
                <w:sz w:val="28"/>
                <w:szCs w:val="28"/>
              </w:rPr>
            </w:pP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陈燕铭</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中山大学附属第三医院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陈永松</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汕头大学医学院第一附属医院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高</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方</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关美萍</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邝</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健</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海</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佳</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南部战区总医院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枢</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惠州市中心人民医院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裴剑浩</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沈</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洁</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南方医科大学顺德医院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肖正华</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广州市第一人民医院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lastRenderedPageBreak/>
              <w:t>徐明彤</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中山大学孙逸仙纪念医院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阎德文</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深圳市第二人民医院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张</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帆</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北京大学深圳医院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曾龙驿</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中山大学附属第三医院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张秀薇</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东莞市人民医院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张</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莹</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广州医科大学附属第三医院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主任医师</w:t>
            </w:r>
          </w:p>
        </w:tc>
      </w:tr>
      <w:tr w:rsidR="00C96FF8">
        <w:trPr>
          <w:trHeight w:val="113"/>
        </w:trPr>
        <w:tc>
          <w:tcPr>
            <w:tcW w:w="9070" w:type="dxa"/>
            <w:gridSpan w:val="3"/>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b/>
                <w:bCs/>
                <w:color w:val="000000"/>
                <w:sz w:val="28"/>
                <w:szCs w:val="28"/>
              </w:rPr>
              <w:t>药学专家（以姓氏拼音排序）：</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陈吉生</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广东药科大学附属第一医院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蔡</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德</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汕头大学附属第一医院</w:t>
            </w:r>
            <w:r>
              <w:rPr>
                <w:rFonts w:ascii="Times New Roman" w:eastAsia="仿宋" w:hAnsi="Times New Roman" w:cs="Times New Roman"/>
                <w:color w:val="000000"/>
                <w:sz w:val="28"/>
                <w:szCs w:val="28"/>
              </w:rPr>
              <w:t xml:space="preserve"> </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蔡静月</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湛江市中心人民医院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蔡旭镇</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揭阳市人民医院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常惠礼</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清远市人民医院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陈</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孝</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冯昌文</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肇庆市第一人民医院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季</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波</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南部战区总医院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金伟军</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暨南大学附属第一医院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赖伟华</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黎小妍</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中山大学附属第六医院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李庆南</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汕头市中心医院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李亦蕾</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梁智明</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佛山市中医院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刘世霆</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南方医科大学南方医院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刘</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韬</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中山大学附属肿瘤医院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彭晓青</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广州市第一人民医院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苏健芬</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广州市番禺区中心医院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唐洪梅</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广州中医药大学第一附属医院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主任中药师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勇</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南方医科大学珠江医院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王景浩</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暨南大学附属第一医院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王若伦</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广州医科大学附属第二医院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魏</w:t>
            </w:r>
            <w:r>
              <w:rPr>
                <w:rFonts w:ascii="Times New Roman" w:eastAsia="仿宋" w:hAnsi="Times New Roman" w:cs="Times New Roman"/>
                <w:color w:val="000000"/>
                <w:sz w:val="28"/>
                <w:szCs w:val="28"/>
              </w:rPr>
              <w:t xml:space="preserve">  </w:t>
            </w:r>
            <w:r>
              <w:rPr>
                <w:rFonts w:ascii="Times New Roman" w:eastAsia="仿宋" w:hAnsi="Times New Roman" w:cs="Times New Roman"/>
                <w:color w:val="000000"/>
                <w:sz w:val="28"/>
                <w:szCs w:val="28"/>
              </w:rPr>
              <w:t>理</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广州医科大学附属第一医院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吴建龙</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深圳市第二人民医院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吴新荣</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南部战区总医院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谢守霞</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深圳市人民医院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严鹏科</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广州医科大学附属第三医院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lastRenderedPageBreak/>
              <w:t>余晓霞</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中山大学孙逸仙纪念医院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副主任药师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曾英彤</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广东省人民医院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张述耀</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广州市红十字会医院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r w:rsidR="00C96FF8">
        <w:trPr>
          <w:trHeight w:val="113"/>
        </w:trPr>
        <w:tc>
          <w:tcPr>
            <w:tcW w:w="1701"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周志凌</w:t>
            </w:r>
          </w:p>
        </w:tc>
        <w:tc>
          <w:tcPr>
            <w:tcW w:w="4786" w:type="dxa"/>
            <w:shd w:val="clear" w:color="auto" w:fill="auto"/>
            <w:noWrap/>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珠海市人民医院</w:t>
            </w:r>
          </w:p>
        </w:tc>
        <w:tc>
          <w:tcPr>
            <w:tcW w:w="2583" w:type="dxa"/>
          </w:tcPr>
          <w:p w:rsidR="00C96FF8" w:rsidRDefault="00DD68D6">
            <w:pPr>
              <w:rPr>
                <w:rFonts w:ascii="Times New Roman" w:eastAsia="仿宋" w:hAnsi="Times New Roman" w:cs="Times New Roman"/>
                <w:color w:val="000000"/>
                <w:sz w:val="28"/>
                <w:szCs w:val="28"/>
              </w:rPr>
            </w:pPr>
            <w:r>
              <w:rPr>
                <w:rFonts w:ascii="Times New Roman" w:eastAsia="仿宋" w:hAnsi="Times New Roman" w:cs="Times New Roman"/>
                <w:color w:val="000000"/>
                <w:sz w:val="28"/>
                <w:szCs w:val="28"/>
              </w:rPr>
              <w:t>主任药师</w:t>
            </w:r>
          </w:p>
        </w:tc>
      </w:tr>
    </w:tbl>
    <w:p w:rsidR="00C96FF8" w:rsidRDefault="00C96FF8">
      <w:pPr>
        <w:rPr>
          <w:rFonts w:ascii="Times New Roman" w:eastAsia="仿宋" w:hAnsi="Times New Roman" w:cs="Times New Roman"/>
          <w:color w:val="000000"/>
          <w:sz w:val="28"/>
          <w:szCs w:val="28"/>
        </w:rPr>
      </w:pPr>
    </w:p>
    <w:sectPr w:rsidR="00C96FF8">
      <w:footerReference w:type="default" r:id="rId9"/>
      <w:pgSz w:w="11906" w:h="16838"/>
      <w:pgMar w:top="1440" w:right="1418" w:bottom="1440" w:left="1276"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68D6" w:rsidRDefault="00DD68D6">
      <w:r>
        <w:separator/>
      </w:r>
    </w:p>
  </w:endnote>
  <w:endnote w:type="continuationSeparator" w:id="0">
    <w:p w:rsidR="00DD68D6" w:rsidRDefault="00DD68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8815476"/>
    </w:sdtPr>
    <w:sdtEndPr/>
    <w:sdtContent>
      <w:p w:rsidR="00C96FF8" w:rsidRDefault="00DD68D6">
        <w:pPr>
          <w:pStyle w:val="a4"/>
          <w:jc w:val="center"/>
        </w:pPr>
        <w:r>
          <w:fldChar w:fldCharType="begin"/>
        </w:r>
        <w:r>
          <w:instrText>PAGE   \* MERGEFORMAT</w:instrText>
        </w:r>
        <w:r>
          <w:fldChar w:fldCharType="separate"/>
        </w:r>
        <w:r w:rsidR="00516354" w:rsidRPr="00516354">
          <w:rPr>
            <w:noProof/>
            <w:lang w:val="zh-CN"/>
          </w:rPr>
          <w:t>1</w:t>
        </w:r>
        <w:r>
          <w:fldChar w:fldCharType="end"/>
        </w:r>
      </w:p>
    </w:sdtContent>
  </w:sdt>
  <w:p w:rsidR="00C96FF8" w:rsidRDefault="00C96FF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68D6" w:rsidRDefault="00DD68D6">
      <w:r>
        <w:separator/>
      </w:r>
    </w:p>
  </w:footnote>
  <w:footnote w:type="continuationSeparator" w:id="0">
    <w:p w:rsidR="00DD68D6" w:rsidRDefault="00DD68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FA4D9B"/>
    <w:multiLevelType w:val="multilevel"/>
    <w:tmpl w:val="57FA4D9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99"/>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xNDIyZTk4MWQxOWYyZmIwYTI2N2FlY2QwNDdhZjkifQ=="/>
  </w:docVars>
  <w:rsids>
    <w:rsidRoot w:val="00D866F2"/>
    <w:rsid w:val="00000F92"/>
    <w:rsid w:val="000029BD"/>
    <w:rsid w:val="0000343D"/>
    <w:rsid w:val="00012DD3"/>
    <w:rsid w:val="00017A40"/>
    <w:rsid w:val="00027E13"/>
    <w:rsid w:val="000415AF"/>
    <w:rsid w:val="000416CE"/>
    <w:rsid w:val="000457B6"/>
    <w:rsid w:val="00061469"/>
    <w:rsid w:val="00062A6C"/>
    <w:rsid w:val="00071A8C"/>
    <w:rsid w:val="00076986"/>
    <w:rsid w:val="0008431B"/>
    <w:rsid w:val="00086E7D"/>
    <w:rsid w:val="00087CAF"/>
    <w:rsid w:val="00093434"/>
    <w:rsid w:val="000A4E24"/>
    <w:rsid w:val="000A5013"/>
    <w:rsid w:val="000B08DA"/>
    <w:rsid w:val="000B2231"/>
    <w:rsid w:val="000B2B70"/>
    <w:rsid w:val="000B4B01"/>
    <w:rsid w:val="000B517F"/>
    <w:rsid w:val="000C4894"/>
    <w:rsid w:val="000D165A"/>
    <w:rsid w:val="000D698D"/>
    <w:rsid w:val="000E30FA"/>
    <w:rsid w:val="000E481F"/>
    <w:rsid w:val="000E6CF4"/>
    <w:rsid w:val="000F09A9"/>
    <w:rsid w:val="000F4348"/>
    <w:rsid w:val="000F4F0B"/>
    <w:rsid w:val="000F5109"/>
    <w:rsid w:val="000F6803"/>
    <w:rsid w:val="000F68D7"/>
    <w:rsid w:val="000F712B"/>
    <w:rsid w:val="00102CA2"/>
    <w:rsid w:val="0010403D"/>
    <w:rsid w:val="00105D8A"/>
    <w:rsid w:val="0011128C"/>
    <w:rsid w:val="00121E01"/>
    <w:rsid w:val="00125D2E"/>
    <w:rsid w:val="00135108"/>
    <w:rsid w:val="00142048"/>
    <w:rsid w:val="00144B0B"/>
    <w:rsid w:val="00145775"/>
    <w:rsid w:val="00146668"/>
    <w:rsid w:val="00146C15"/>
    <w:rsid w:val="0015284B"/>
    <w:rsid w:val="0015301C"/>
    <w:rsid w:val="001719BC"/>
    <w:rsid w:val="00173231"/>
    <w:rsid w:val="001745E9"/>
    <w:rsid w:val="00176F80"/>
    <w:rsid w:val="00180BBB"/>
    <w:rsid w:val="00181619"/>
    <w:rsid w:val="00193EF1"/>
    <w:rsid w:val="001A2072"/>
    <w:rsid w:val="001A239D"/>
    <w:rsid w:val="001A439A"/>
    <w:rsid w:val="001A7EDB"/>
    <w:rsid w:val="001B62A0"/>
    <w:rsid w:val="001B62E0"/>
    <w:rsid w:val="001C2B07"/>
    <w:rsid w:val="001D0681"/>
    <w:rsid w:val="001D2E5A"/>
    <w:rsid w:val="001D354A"/>
    <w:rsid w:val="001D3957"/>
    <w:rsid w:val="001D4790"/>
    <w:rsid w:val="001D4B57"/>
    <w:rsid w:val="001E28C1"/>
    <w:rsid w:val="001E2A73"/>
    <w:rsid w:val="001E304B"/>
    <w:rsid w:val="001E5A0F"/>
    <w:rsid w:val="001F12F4"/>
    <w:rsid w:val="001F32FD"/>
    <w:rsid w:val="001F4B11"/>
    <w:rsid w:val="0020436B"/>
    <w:rsid w:val="002054D5"/>
    <w:rsid w:val="00207F5A"/>
    <w:rsid w:val="00210259"/>
    <w:rsid w:val="00217D01"/>
    <w:rsid w:val="0022018E"/>
    <w:rsid w:val="00220638"/>
    <w:rsid w:val="00220D08"/>
    <w:rsid w:val="002216E9"/>
    <w:rsid w:val="00234ECF"/>
    <w:rsid w:val="002354D0"/>
    <w:rsid w:val="0023668B"/>
    <w:rsid w:val="002412FC"/>
    <w:rsid w:val="00242582"/>
    <w:rsid w:val="002430E4"/>
    <w:rsid w:val="00251CC3"/>
    <w:rsid w:val="0025493C"/>
    <w:rsid w:val="00263E11"/>
    <w:rsid w:val="002655BF"/>
    <w:rsid w:val="002831A1"/>
    <w:rsid w:val="00283371"/>
    <w:rsid w:val="0028544A"/>
    <w:rsid w:val="00294478"/>
    <w:rsid w:val="00297504"/>
    <w:rsid w:val="002A26FF"/>
    <w:rsid w:val="002A3A10"/>
    <w:rsid w:val="002A5FBF"/>
    <w:rsid w:val="002B4E65"/>
    <w:rsid w:val="002B62FE"/>
    <w:rsid w:val="002B7DA1"/>
    <w:rsid w:val="002C621A"/>
    <w:rsid w:val="002C7E30"/>
    <w:rsid w:val="002D59C3"/>
    <w:rsid w:val="002D7E0B"/>
    <w:rsid w:val="002E0E4B"/>
    <w:rsid w:val="002E0E64"/>
    <w:rsid w:val="002E5B26"/>
    <w:rsid w:val="002F001D"/>
    <w:rsid w:val="002F1568"/>
    <w:rsid w:val="002F603D"/>
    <w:rsid w:val="002F7EB5"/>
    <w:rsid w:val="003020E8"/>
    <w:rsid w:val="0030575D"/>
    <w:rsid w:val="00306002"/>
    <w:rsid w:val="003112B7"/>
    <w:rsid w:val="00311D31"/>
    <w:rsid w:val="003235C7"/>
    <w:rsid w:val="00324402"/>
    <w:rsid w:val="00324D1A"/>
    <w:rsid w:val="00325D13"/>
    <w:rsid w:val="003261C5"/>
    <w:rsid w:val="00332C0B"/>
    <w:rsid w:val="00334313"/>
    <w:rsid w:val="0034213A"/>
    <w:rsid w:val="0034365F"/>
    <w:rsid w:val="0034539B"/>
    <w:rsid w:val="00347D5F"/>
    <w:rsid w:val="00350959"/>
    <w:rsid w:val="003528D5"/>
    <w:rsid w:val="0036101F"/>
    <w:rsid w:val="00361EB5"/>
    <w:rsid w:val="00364042"/>
    <w:rsid w:val="003648C8"/>
    <w:rsid w:val="00366C36"/>
    <w:rsid w:val="003858BA"/>
    <w:rsid w:val="003865C6"/>
    <w:rsid w:val="00391832"/>
    <w:rsid w:val="00392FC2"/>
    <w:rsid w:val="0039345D"/>
    <w:rsid w:val="003A211E"/>
    <w:rsid w:val="003B335F"/>
    <w:rsid w:val="003B3803"/>
    <w:rsid w:val="003B7148"/>
    <w:rsid w:val="003C15D6"/>
    <w:rsid w:val="003C2B80"/>
    <w:rsid w:val="003C62E6"/>
    <w:rsid w:val="003D23C5"/>
    <w:rsid w:val="003E1927"/>
    <w:rsid w:val="003E22F3"/>
    <w:rsid w:val="003E4082"/>
    <w:rsid w:val="003E55B1"/>
    <w:rsid w:val="003E5735"/>
    <w:rsid w:val="003F13F2"/>
    <w:rsid w:val="003F1B6F"/>
    <w:rsid w:val="003F2AD3"/>
    <w:rsid w:val="003F5E52"/>
    <w:rsid w:val="003F6F9A"/>
    <w:rsid w:val="00401434"/>
    <w:rsid w:val="0040786C"/>
    <w:rsid w:val="00411CFE"/>
    <w:rsid w:val="004174A3"/>
    <w:rsid w:val="00417F6F"/>
    <w:rsid w:val="00421000"/>
    <w:rsid w:val="00432323"/>
    <w:rsid w:val="0043282F"/>
    <w:rsid w:val="004338EA"/>
    <w:rsid w:val="00443BF0"/>
    <w:rsid w:val="004452E1"/>
    <w:rsid w:val="00447F37"/>
    <w:rsid w:val="0045401B"/>
    <w:rsid w:val="004547EB"/>
    <w:rsid w:val="00454920"/>
    <w:rsid w:val="00454D52"/>
    <w:rsid w:val="00456F87"/>
    <w:rsid w:val="004600CB"/>
    <w:rsid w:val="004612C3"/>
    <w:rsid w:val="00476422"/>
    <w:rsid w:val="0047742E"/>
    <w:rsid w:val="004826F2"/>
    <w:rsid w:val="004846CD"/>
    <w:rsid w:val="0048488A"/>
    <w:rsid w:val="004911EA"/>
    <w:rsid w:val="00493EED"/>
    <w:rsid w:val="00497FC9"/>
    <w:rsid w:val="004A2F44"/>
    <w:rsid w:val="004A733C"/>
    <w:rsid w:val="004A78D8"/>
    <w:rsid w:val="004B4120"/>
    <w:rsid w:val="004C0DAE"/>
    <w:rsid w:val="004C5AA0"/>
    <w:rsid w:val="004C5BF4"/>
    <w:rsid w:val="004C78F2"/>
    <w:rsid w:val="004E2DCC"/>
    <w:rsid w:val="004E58DA"/>
    <w:rsid w:val="004E5F60"/>
    <w:rsid w:val="004E6120"/>
    <w:rsid w:val="004F35B6"/>
    <w:rsid w:val="00502CF8"/>
    <w:rsid w:val="00505B15"/>
    <w:rsid w:val="00512081"/>
    <w:rsid w:val="00512F04"/>
    <w:rsid w:val="00514B55"/>
    <w:rsid w:val="00514B9C"/>
    <w:rsid w:val="00516354"/>
    <w:rsid w:val="00520DF9"/>
    <w:rsid w:val="005240F4"/>
    <w:rsid w:val="005244B4"/>
    <w:rsid w:val="0052518B"/>
    <w:rsid w:val="00526357"/>
    <w:rsid w:val="005376E7"/>
    <w:rsid w:val="005418AE"/>
    <w:rsid w:val="005419CC"/>
    <w:rsid w:val="0054333A"/>
    <w:rsid w:val="005502EF"/>
    <w:rsid w:val="00552BF1"/>
    <w:rsid w:val="005620E2"/>
    <w:rsid w:val="00570028"/>
    <w:rsid w:val="00576EBA"/>
    <w:rsid w:val="0059300A"/>
    <w:rsid w:val="005A27BB"/>
    <w:rsid w:val="005A3EC6"/>
    <w:rsid w:val="005A6F40"/>
    <w:rsid w:val="005B73DD"/>
    <w:rsid w:val="005C0773"/>
    <w:rsid w:val="005C253B"/>
    <w:rsid w:val="005C5E77"/>
    <w:rsid w:val="005D1D79"/>
    <w:rsid w:val="005D284C"/>
    <w:rsid w:val="005D4E74"/>
    <w:rsid w:val="005D629E"/>
    <w:rsid w:val="005D6BF5"/>
    <w:rsid w:val="005E03C6"/>
    <w:rsid w:val="005E35C1"/>
    <w:rsid w:val="005E3A34"/>
    <w:rsid w:val="006068A4"/>
    <w:rsid w:val="00607CE1"/>
    <w:rsid w:val="00613CE6"/>
    <w:rsid w:val="00617DAA"/>
    <w:rsid w:val="00634441"/>
    <w:rsid w:val="006379B0"/>
    <w:rsid w:val="00650FC4"/>
    <w:rsid w:val="0065106A"/>
    <w:rsid w:val="00651F8F"/>
    <w:rsid w:val="00661D20"/>
    <w:rsid w:val="00664D85"/>
    <w:rsid w:val="00671A56"/>
    <w:rsid w:val="00673446"/>
    <w:rsid w:val="006829CE"/>
    <w:rsid w:val="00683C80"/>
    <w:rsid w:val="00683FD9"/>
    <w:rsid w:val="00684259"/>
    <w:rsid w:val="006869EF"/>
    <w:rsid w:val="00686F1F"/>
    <w:rsid w:val="006914C2"/>
    <w:rsid w:val="006929D0"/>
    <w:rsid w:val="00695926"/>
    <w:rsid w:val="00696DC6"/>
    <w:rsid w:val="006A478D"/>
    <w:rsid w:val="006A7310"/>
    <w:rsid w:val="006B1E6E"/>
    <w:rsid w:val="006B307A"/>
    <w:rsid w:val="006B3D96"/>
    <w:rsid w:val="006C1B2D"/>
    <w:rsid w:val="006C237A"/>
    <w:rsid w:val="006C2DAD"/>
    <w:rsid w:val="006C3345"/>
    <w:rsid w:val="006C4FD6"/>
    <w:rsid w:val="006C57C1"/>
    <w:rsid w:val="006D4CA6"/>
    <w:rsid w:val="006D7D5B"/>
    <w:rsid w:val="006E0489"/>
    <w:rsid w:val="006E1AE1"/>
    <w:rsid w:val="006E4856"/>
    <w:rsid w:val="006F0D68"/>
    <w:rsid w:val="006F13CF"/>
    <w:rsid w:val="006F48AB"/>
    <w:rsid w:val="006F52EC"/>
    <w:rsid w:val="006F634D"/>
    <w:rsid w:val="006F726A"/>
    <w:rsid w:val="007029B2"/>
    <w:rsid w:val="007040F9"/>
    <w:rsid w:val="00726F90"/>
    <w:rsid w:val="007321E5"/>
    <w:rsid w:val="00733007"/>
    <w:rsid w:val="00734F5A"/>
    <w:rsid w:val="00740798"/>
    <w:rsid w:val="00740AD6"/>
    <w:rsid w:val="00754958"/>
    <w:rsid w:val="00755D98"/>
    <w:rsid w:val="007571D8"/>
    <w:rsid w:val="00760C1A"/>
    <w:rsid w:val="00763816"/>
    <w:rsid w:val="0077291C"/>
    <w:rsid w:val="007907C9"/>
    <w:rsid w:val="007947AA"/>
    <w:rsid w:val="007977F5"/>
    <w:rsid w:val="007A6972"/>
    <w:rsid w:val="007B1EFA"/>
    <w:rsid w:val="007B23BE"/>
    <w:rsid w:val="007B5234"/>
    <w:rsid w:val="007B7145"/>
    <w:rsid w:val="007C1DAE"/>
    <w:rsid w:val="007C4CCC"/>
    <w:rsid w:val="007C7C5B"/>
    <w:rsid w:val="007D1667"/>
    <w:rsid w:val="007D24EF"/>
    <w:rsid w:val="007D27EC"/>
    <w:rsid w:val="007D2934"/>
    <w:rsid w:val="007D4367"/>
    <w:rsid w:val="007D7D3C"/>
    <w:rsid w:val="007E0C0D"/>
    <w:rsid w:val="007E6185"/>
    <w:rsid w:val="007F26AE"/>
    <w:rsid w:val="007F543F"/>
    <w:rsid w:val="007F6D39"/>
    <w:rsid w:val="007F7CCD"/>
    <w:rsid w:val="00802603"/>
    <w:rsid w:val="00813610"/>
    <w:rsid w:val="008139E9"/>
    <w:rsid w:val="0081457F"/>
    <w:rsid w:val="00817854"/>
    <w:rsid w:val="00817CEE"/>
    <w:rsid w:val="008206AB"/>
    <w:rsid w:val="00824138"/>
    <w:rsid w:val="00827643"/>
    <w:rsid w:val="00827FA0"/>
    <w:rsid w:val="00835249"/>
    <w:rsid w:val="00850828"/>
    <w:rsid w:val="00851E86"/>
    <w:rsid w:val="00852992"/>
    <w:rsid w:val="00852E67"/>
    <w:rsid w:val="0085488D"/>
    <w:rsid w:val="00860B39"/>
    <w:rsid w:val="00860ECC"/>
    <w:rsid w:val="0086565E"/>
    <w:rsid w:val="008669EC"/>
    <w:rsid w:val="00871A7A"/>
    <w:rsid w:val="00875F25"/>
    <w:rsid w:val="008760D9"/>
    <w:rsid w:val="00882838"/>
    <w:rsid w:val="00883D80"/>
    <w:rsid w:val="0088575F"/>
    <w:rsid w:val="00886F65"/>
    <w:rsid w:val="008877A4"/>
    <w:rsid w:val="00891EF9"/>
    <w:rsid w:val="00892402"/>
    <w:rsid w:val="00894665"/>
    <w:rsid w:val="0089588A"/>
    <w:rsid w:val="008975C2"/>
    <w:rsid w:val="008A1F67"/>
    <w:rsid w:val="008A6751"/>
    <w:rsid w:val="008B0C4C"/>
    <w:rsid w:val="008B1818"/>
    <w:rsid w:val="008B206F"/>
    <w:rsid w:val="008B33BE"/>
    <w:rsid w:val="008B7BCD"/>
    <w:rsid w:val="008C7FD4"/>
    <w:rsid w:val="008D1411"/>
    <w:rsid w:val="008D38E9"/>
    <w:rsid w:val="008D76E8"/>
    <w:rsid w:val="008E4104"/>
    <w:rsid w:val="008E7F7A"/>
    <w:rsid w:val="00900D17"/>
    <w:rsid w:val="00902249"/>
    <w:rsid w:val="0091254C"/>
    <w:rsid w:val="00924B94"/>
    <w:rsid w:val="0092599E"/>
    <w:rsid w:val="00925FE3"/>
    <w:rsid w:val="00933C42"/>
    <w:rsid w:val="00935E64"/>
    <w:rsid w:val="00945E38"/>
    <w:rsid w:val="009539EC"/>
    <w:rsid w:val="00953F7C"/>
    <w:rsid w:val="009560F6"/>
    <w:rsid w:val="00963AF1"/>
    <w:rsid w:val="0096479B"/>
    <w:rsid w:val="009732BB"/>
    <w:rsid w:val="009755B7"/>
    <w:rsid w:val="009766B5"/>
    <w:rsid w:val="0097698F"/>
    <w:rsid w:val="00976AC9"/>
    <w:rsid w:val="009779DA"/>
    <w:rsid w:val="0098265D"/>
    <w:rsid w:val="00990B70"/>
    <w:rsid w:val="00992B14"/>
    <w:rsid w:val="00996E26"/>
    <w:rsid w:val="009A6C61"/>
    <w:rsid w:val="009A7762"/>
    <w:rsid w:val="009B2E8A"/>
    <w:rsid w:val="009B791F"/>
    <w:rsid w:val="009C0173"/>
    <w:rsid w:val="009C7737"/>
    <w:rsid w:val="009E18FB"/>
    <w:rsid w:val="009E2E12"/>
    <w:rsid w:val="009E50BA"/>
    <w:rsid w:val="009E698A"/>
    <w:rsid w:val="009E6A93"/>
    <w:rsid w:val="009F465E"/>
    <w:rsid w:val="009F69B5"/>
    <w:rsid w:val="00A0438D"/>
    <w:rsid w:val="00A06EE2"/>
    <w:rsid w:val="00A219D1"/>
    <w:rsid w:val="00A24DF7"/>
    <w:rsid w:val="00A30B85"/>
    <w:rsid w:val="00A34199"/>
    <w:rsid w:val="00A37377"/>
    <w:rsid w:val="00A37622"/>
    <w:rsid w:val="00A43C0D"/>
    <w:rsid w:val="00A476B2"/>
    <w:rsid w:val="00A57E53"/>
    <w:rsid w:val="00A61690"/>
    <w:rsid w:val="00A7307A"/>
    <w:rsid w:val="00A76DE2"/>
    <w:rsid w:val="00A82B33"/>
    <w:rsid w:val="00AA5137"/>
    <w:rsid w:val="00AA6CB9"/>
    <w:rsid w:val="00AB1D40"/>
    <w:rsid w:val="00AB3774"/>
    <w:rsid w:val="00AB41D2"/>
    <w:rsid w:val="00AB4FDF"/>
    <w:rsid w:val="00AC1732"/>
    <w:rsid w:val="00AC3EAD"/>
    <w:rsid w:val="00AC647D"/>
    <w:rsid w:val="00AC65F2"/>
    <w:rsid w:val="00AC6CDD"/>
    <w:rsid w:val="00AD0600"/>
    <w:rsid w:val="00AD261B"/>
    <w:rsid w:val="00AE0BD9"/>
    <w:rsid w:val="00AE2A28"/>
    <w:rsid w:val="00AE5367"/>
    <w:rsid w:val="00AF43E0"/>
    <w:rsid w:val="00AF6360"/>
    <w:rsid w:val="00AF7CCA"/>
    <w:rsid w:val="00B040B4"/>
    <w:rsid w:val="00B051D4"/>
    <w:rsid w:val="00B07EE7"/>
    <w:rsid w:val="00B1118F"/>
    <w:rsid w:val="00B169C0"/>
    <w:rsid w:val="00B17C38"/>
    <w:rsid w:val="00B23C37"/>
    <w:rsid w:val="00B24B3B"/>
    <w:rsid w:val="00B25F7E"/>
    <w:rsid w:val="00B31225"/>
    <w:rsid w:val="00B32EC4"/>
    <w:rsid w:val="00B34602"/>
    <w:rsid w:val="00B4087B"/>
    <w:rsid w:val="00B45F01"/>
    <w:rsid w:val="00B4732B"/>
    <w:rsid w:val="00B47F46"/>
    <w:rsid w:val="00B524C9"/>
    <w:rsid w:val="00B60929"/>
    <w:rsid w:val="00B6227B"/>
    <w:rsid w:val="00B6424F"/>
    <w:rsid w:val="00B64337"/>
    <w:rsid w:val="00B65A1B"/>
    <w:rsid w:val="00B714D1"/>
    <w:rsid w:val="00B729F5"/>
    <w:rsid w:val="00B76FD1"/>
    <w:rsid w:val="00B77E36"/>
    <w:rsid w:val="00B9479A"/>
    <w:rsid w:val="00BA49D1"/>
    <w:rsid w:val="00BB35A6"/>
    <w:rsid w:val="00BB40CA"/>
    <w:rsid w:val="00BB5805"/>
    <w:rsid w:val="00BC36A9"/>
    <w:rsid w:val="00BC5BAB"/>
    <w:rsid w:val="00BC64F1"/>
    <w:rsid w:val="00BC6EC3"/>
    <w:rsid w:val="00BD471A"/>
    <w:rsid w:val="00BD7253"/>
    <w:rsid w:val="00BE1FA0"/>
    <w:rsid w:val="00BE26F1"/>
    <w:rsid w:val="00BF0459"/>
    <w:rsid w:val="00BF56F1"/>
    <w:rsid w:val="00C01714"/>
    <w:rsid w:val="00C07AAE"/>
    <w:rsid w:val="00C12D78"/>
    <w:rsid w:val="00C133D3"/>
    <w:rsid w:val="00C13B64"/>
    <w:rsid w:val="00C142B7"/>
    <w:rsid w:val="00C15C77"/>
    <w:rsid w:val="00C2181E"/>
    <w:rsid w:val="00C22677"/>
    <w:rsid w:val="00C36FCB"/>
    <w:rsid w:val="00C3780E"/>
    <w:rsid w:val="00C4487B"/>
    <w:rsid w:val="00C54518"/>
    <w:rsid w:val="00C55356"/>
    <w:rsid w:val="00C556D3"/>
    <w:rsid w:val="00C57BAC"/>
    <w:rsid w:val="00C6213C"/>
    <w:rsid w:val="00C64338"/>
    <w:rsid w:val="00C66D9C"/>
    <w:rsid w:val="00C679A2"/>
    <w:rsid w:val="00C67E81"/>
    <w:rsid w:val="00C7730E"/>
    <w:rsid w:val="00C77AD8"/>
    <w:rsid w:val="00C80303"/>
    <w:rsid w:val="00C80829"/>
    <w:rsid w:val="00C839E4"/>
    <w:rsid w:val="00C83A36"/>
    <w:rsid w:val="00C8497E"/>
    <w:rsid w:val="00C867EF"/>
    <w:rsid w:val="00C87B45"/>
    <w:rsid w:val="00C939DA"/>
    <w:rsid w:val="00C96FF8"/>
    <w:rsid w:val="00CA4850"/>
    <w:rsid w:val="00CA7091"/>
    <w:rsid w:val="00CB0FD4"/>
    <w:rsid w:val="00CB2784"/>
    <w:rsid w:val="00CB3BC1"/>
    <w:rsid w:val="00CB5479"/>
    <w:rsid w:val="00CB7362"/>
    <w:rsid w:val="00CC0257"/>
    <w:rsid w:val="00CC1ED3"/>
    <w:rsid w:val="00CC4935"/>
    <w:rsid w:val="00CC6B78"/>
    <w:rsid w:val="00CD1298"/>
    <w:rsid w:val="00CD7786"/>
    <w:rsid w:val="00CF0D03"/>
    <w:rsid w:val="00CF396F"/>
    <w:rsid w:val="00CF66B6"/>
    <w:rsid w:val="00D02E97"/>
    <w:rsid w:val="00D06222"/>
    <w:rsid w:val="00D137C1"/>
    <w:rsid w:val="00D153A4"/>
    <w:rsid w:val="00D16F86"/>
    <w:rsid w:val="00D1742E"/>
    <w:rsid w:val="00D178BB"/>
    <w:rsid w:val="00D20064"/>
    <w:rsid w:val="00D23090"/>
    <w:rsid w:val="00D3204D"/>
    <w:rsid w:val="00D33A44"/>
    <w:rsid w:val="00D33A65"/>
    <w:rsid w:val="00D358D0"/>
    <w:rsid w:val="00D44F5A"/>
    <w:rsid w:val="00D45455"/>
    <w:rsid w:val="00D50851"/>
    <w:rsid w:val="00D5219D"/>
    <w:rsid w:val="00D5569C"/>
    <w:rsid w:val="00D55E15"/>
    <w:rsid w:val="00D6237A"/>
    <w:rsid w:val="00D70288"/>
    <w:rsid w:val="00D73A2E"/>
    <w:rsid w:val="00D80366"/>
    <w:rsid w:val="00D82FD6"/>
    <w:rsid w:val="00D8414D"/>
    <w:rsid w:val="00D866F2"/>
    <w:rsid w:val="00D86A72"/>
    <w:rsid w:val="00D9080D"/>
    <w:rsid w:val="00D91CBD"/>
    <w:rsid w:val="00D94EB5"/>
    <w:rsid w:val="00DA302F"/>
    <w:rsid w:val="00DA371A"/>
    <w:rsid w:val="00DA4229"/>
    <w:rsid w:val="00DA68FF"/>
    <w:rsid w:val="00DA6DE5"/>
    <w:rsid w:val="00DA7EF2"/>
    <w:rsid w:val="00DB6FFC"/>
    <w:rsid w:val="00DC1E8B"/>
    <w:rsid w:val="00DC56C7"/>
    <w:rsid w:val="00DD0794"/>
    <w:rsid w:val="00DD4907"/>
    <w:rsid w:val="00DD68D6"/>
    <w:rsid w:val="00DE127C"/>
    <w:rsid w:val="00DE5EE9"/>
    <w:rsid w:val="00DF2847"/>
    <w:rsid w:val="00DF37D0"/>
    <w:rsid w:val="00DF425E"/>
    <w:rsid w:val="00DF6215"/>
    <w:rsid w:val="00DF72F7"/>
    <w:rsid w:val="00E02CF0"/>
    <w:rsid w:val="00E039E6"/>
    <w:rsid w:val="00E05EF0"/>
    <w:rsid w:val="00E068A3"/>
    <w:rsid w:val="00E12D21"/>
    <w:rsid w:val="00E135DB"/>
    <w:rsid w:val="00E14199"/>
    <w:rsid w:val="00E1761C"/>
    <w:rsid w:val="00E20199"/>
    <w:rsid w:val="00E20BAF"/>
    <w:rsid w:val="00E22366"/>
    <w:rsid w:val="00E24E25"/>
    <w:rsid w:val="00E40456"/>
    <w:rsid w:val="00E43592"/>
    <w:rsid w:val="00E4387B"/>
    <w:rsid w:val="00E45765"/>
    <w:rsid w:val="00E5242F"/>
    <w:rsid w:val="00E61B65"/>
    <w:rsid w:val="00E61E5A"/>
    <w:rsid w:val="00E62219"/>
    <w:rsid w:val="00E63017"/>
    <w:rsid w:val="00E6482B"/>
    <w:rsid w:val="00E67A5D"/>
    <w:rsid w:val="00E7014B"/>
    <w:rsid w:val="00E72D95"/>
    <w:rsid w:val="00E758AD"/>
    <w:rsid w:val="00E77145"/>
    <w:rsid w:val="00E7758D"/>
    <w:rsid w:val="00E80872"/>
    <w:rsid w:val="00E86E5D"/>
    <w:rsid w:val="00E90393"/>
    <w:rsid w:val="00E91068"/>
    <w:rsid w:val="00E91562"/>
    <w:rsid w:val="00E91A64"/>
    <w:rsid w:val="00E92147"/>
    <w:rsid w:val="00E932B7"/>
    <w:rsid w:val="00E972C6"/>
    <w:rsid w:val="00EA193A"/>
    <w:rsid w:val="00EA4D73"/>
    <w:rsid w:val="00EB1BA4"/>
    <w:rsid w:val="00EB2A1D"/>
    <w:rsid w:val="00EB50A1"/>
    <w:rsid w:val="00EB672E"/>
    <w:rsid w:val="00EC0010"/>
    <w:rsid w:val="00EC2D8A"/>
    <w:rsid w:val="00EC3DA3"/>
    <w:rsid w:val="00EC483C"/>
    <w:rsid w:val="00EC677C"/>
    <w:rsid w:val="00EC7B6B"/>
    <w:rsid w:val="00ED1C5B"/>
    <w:rsid w:val="00ED2A15"/>
    <w:rsid w:val="00ED37FD"/>
    <w:rsid w:val="00ED6895"/>
    <w:rsid w:val="00ED7A91"/>
    <w:rsid w:val="00EE4617"/>
    <w:rsid w:val="00EE6D23"/>
    <w:rsid w:val="00EF225F"/>
    <w:rsid w:val="00EF54BE"/>
    <w:rsid w:val="00F0303A"/>
    <w:rsid w:val="00F05133"/>
    <w:rsid w:val="00F10BD4"/>
    <w:rsid w:val="00F134B7"/>
    <w:rsid w:val="00F208A9"/>
    <w:rsid w:val="00F23295"/>
    <w:rsid w:val="00F24824"/>
    <w:rsid w:val="00F41949"/>
    <w:rsid w:val="00F5006D"/>
    <w:rsid w:val="00F546A8"/>
    <w:rsid w:val="00F5555E"/>
    <w:rsid w:val="00F76476"/>
    <w:rsid w:val="00F76CA3"/>
    <w:rsid w:val="00F84B4B"/>
    <w:rsid w:val="00FA09E6"/>
    <w:rsid w:val="00FA2AA1"/>
    <w:rsid w:val="00FA351B"/>
    <w:rsid w:val="00FA4858"/>
    <w:rsid w:val="00FA4E15"/>
    <w:rsid w:val="00FA60F8"/>
    <w:rsid w:val="00FB25EC"/>
    <w:rsid w:val="00FC0B38"/>
    <w:rsid w:val="00FC2090"/>
    <w:rsid w:val="00FC6C67"/>
    <w:rsid w:val="00FC7359"/>
    <w:rsid w:val="00FD0FC1"/>
    <w:rsid w:val="00FD185A"/>
    <w:rsid w:val="00FE139F"/>
    <w:rsid w:val="00FE4749"/>
    <w:rsid w:val="00FE4AB4"/>
    <w:rsid w:val="00FE6685"/>
    <w:rsid w:val="00FE6D02"/>
    <w:rsid w:val="00FF4004"/>
    <w:rsid w:val="1301077B"/>
    <w:rsid w:val="13C03E72"/>
    <w:rsid w:val="1E2309F7"/>
    <w:rsid w:val="30DF524D"/>
    <w:rsid w:val="376D5906"/>
    <w:rsid w:val="39F60E0F"/>
    <w:rsid w:val="496E5EEE"/>
    <w:rsid w:val="51F03939"/>
    <w:rsid w:val="5A1F678D"/>
    <w:rsid w:val="75B8040A"/>
    <w:rsid w:val="7CCB41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082DC14-251C-4CCA-970E-99A92F6A2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7">
    <w:name w:val="annotation subject"/>
    <w:basedOn w:val="a3"/>
    <w:next w:val="a3"/>
    <w:link w:val="Char2"/>
    <w:uiPriority w:val="99"/>
    <w:semiHidden/>
    <w:unhideWhenUsed/>
    <w:rPr>
      <w:b/>
      <w:bCs/>
    </w:rPr>
  </w:style>
  <w:style w:type="table" w:styleId="a8">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Hyperlink"/>
    <w:basedOn w:val="a0"/>
    <w:uiPriority w:val="99"/>
    <w:unhideWhenUsed/>
    <w:qFormat/>
    <w:rPr>
      <w:color w:val="0563C1" w:themeColor="hyperlink"/>
      <w:u w:val="single"/>
    </w:rPr>
  </w:style>
  <w:style w:type="character" w:styleId="aa">
    <w:name w:val="annotation reference"/>
    <w:basedOn w:val="a0"/>
    <w:uiPriority w:val="99"/>
    <w:semiHidden/>
    <w:unhideWhenUsed/>
    <w:qFormat/>
    <w:rPr>
      <w:sz w:val="21"/>
      <w:szCs w:val="21"/>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customStyle="1" w:styleId="1">
    <w:name w:val="列出段落1"/>
    <w:basedOn w:val="a"/>
    <w:uiPriority w:val="34"/>
    <w:qFormat/>
    <w:pPr>
      <w:ind w:firstLineChars="200" w:firstLine="420"/>
    </w:pPr>
  </w:style>
  <w:style w:type="table" w:customStyle="1" w:styleId="51">
    <w:name w:val="无格式表格 51"/>
    <w:basedOn w:val="a1"/>
    <w:uiPriority w:val="45"/>
    <w:qFormat/>
    <w:tblPr>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31">
    <w:name w:val="无格式表格 31"/>
    <w:basedOn w:val="a1"/>
    <w:uiPriority w:val="43"/>
    <w:qFormat/>
    <w:tblPr>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1-31">
    <w:name w:val="网格表 1 浅色 - 着色 31"/>
    <w:basedOn w:val="a1"/>
    <w:uiPriority w:val="46"/>
    <w:qFormat/>
    <w:tblPr>
      <w:tblInd w:w="0" w:type="dxa"/>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CellMar>
        <w:top w:w="0" w:type="dxa"/>
        <w:left w:w="108" w:type="dxa"/>
        <w:bottom w:w="0" w:type="dxa"/>
        <w:right w:w="108" w:type="dxa"/>
      </w:tblCellMar>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21">
    <w:name w:val="无格式表格 21"/>
    <w:basedOn w:val="a1"/>
    <w:uiPriority w:val="42"/>
    <w:qFormat/>
    <w:tblPr>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TableNormal">
    <w:name w:val="Table Normal"/>
    <w:unhideWhenUsed/>
    <w:qFormat/>
    <w:rPr>
      <w:rFonts w:ascii="Arial" w:hAnsi="Arial" w:cs="Arial"/>
      <w:snapToGrid w:val="0"/>
      <w:color w:val="000000"/>
      <w:szCs w:val="21"/>
    </w:rPr>
    <w:tblPr>
      <w:tblCellMar>
        <w:top w:w="0" w:type="dxa"/>
        <w:left w:w="0" w:type="dxa"/>
        <w:bottom w:w="0" w:type="dxa"/>
        <w:right w:w="0" w:type="dxa"/>
      </w:tblCellMar>
    </w:tblPr>
  </w:style>
  <w:style w:type="character" w:customStyle="1" w:styleId="10">
    <w:name w:val="未处理的提及1"/>
    <w:basedOn w:val="a0"/>
    <w:uiPriority w:val="99"/>
    <w:unhideWhenUsed/>
    <w:rPr>
      <w:color w:val="605E5C"/>
      <w:shd w:val="clear" w:color="auto" w:fill="E1DFDD"/>
    </w:rPr>
  </w:style>
  <w:style w:type="character" w:customStyle="1" w:styleId="Char">
    <w:name w:val="批注文字 Char"/>
    <w:basedOn w:val="a0"/>
    <w:link w:val="a3"/>
    <w:uiPriority w:val="99"/>
    <w:semiHidden/>
    <w:rPr>
      <w:rFonts w:asciiTheme="minorHAnsi" w:eastAsiaTheme="minorEastAsia" w:hAnsiTheme="minorHAnsi" w:cstheme="minorBidi"/>
      <w:kern w:val="2"/>
      <w:sz w:val="21"/>
      <w:szCs w:val="22"/>
    </w:rPr>
  </w:style>
  <w:style w:type="character" w:customStyle="1" w:styleId="Char2">
    <w:name w:val="批注主题 Char"/>
    <w:basedOn w:val="Char"/>
    <w:link w:val="a7"/>
    <w:uiPriority w:val="99"/>
    <w:semiHidden/>
    <w:qFormat/>
    <w:rPr>
      <w:rFonts w:asciiTheme="minorHAnsi" w:eastAsiaTheme="minorEastAsia" w:hAnsiTheme="minorHAnsi" w:cstheme="minorBidi"/>
      <w:b/>
      <w:bCs/>
      <w:kern w:val="2"/>
      <w:sz w:val="21"/>
      <w:szCs w:val="22"/>
    </w:rPr>
  </w:style>
  <w:style w:type="character" w:customStyle="1" w:styleId="2">
    <w:name w:val="未处理的提及2"/>
    <w:basedOn w:val="a0"/>
    <w:uiPriority w:val="99"/>
    <w:semiHidden/>
    <w:unhideWhenUsed/>
    <w:qFormat/>
    <w:rPr>
      <w:color w:val="605E5C"/>
      <w:shd w:val="clear" w:color="auto" w:fill="E1DFDD"/>
    </w:rPr>
  </w:style>
  <w:style w:type="paragraph" w:styleId="ab">
    <w:name w:val="List Paragraph"/>
    <w:basedOn w:val="a"/>
    <w:uiPriority w:val="99"/>
    <w:qFormat/>
    <w:pPr>
      <w:ind w:firstLineChars="200" w:firstLine="420"/>
    </w:pPr>
  </w:style>
  <w:style w:type="character" w:customStyle="1" w:styleId="3">
    <w:name w:val="未处理的提及3"/>
    <w:basedOn w:val="a0"/>
    <w:uiPriority w:val="99"/>
    <w:semiHidden/>
    <w:unhideWhenUsed/>
    <w:qFormat/>
    <w:rPr>
      <w:color w:val="605E5C"/>
      <w:shd w:val="clear" w:color="auto" w:fill="E1DFDD"/>
    </w:rPr>
  </w:style>
  <w:style w:type="paragraph" w:customStyle="1" w:styleId="11">
    <w:name w:val="修订1"/>
    <w:hidden/>
    <w:uiPriority w:val="99"/>
    <w:semiHidden/>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sjkw.hebei.gov.cn/zcfg2/380991.j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4803A2-212D-4B97-BE28-A7B9BACAE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16</Pages>
  <Words>2041</Words>
  <Characters>11638</Characters>
  <Application>Microsoft Office Word</Application>
  <DocSecurity>0</DocSecurity>
  <Lines>96</Lines>
  <Paragraphs>27</Paragraphs>
  <ScaleCrop>false</ScaleCrop>
  <Company/>
  <LinksUpToDate>false</LinksUpToDate>
  <CharactersWithSpaces>13652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 Xiaozheng</dc:creator>
  <cp:lastModifiedBy>aa</cp:lastModifiedBy>
  <cp:revision>258</cp:revision>
  <dcterms:created xsi:type="dcterms:W3CDTF">2021-12-24T23:07:00Z</dcterms:created>
  <dcterms:modified xsi:type="dcterms:W3CDTF">2022-07-29T06:31:00Z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F2B2221124D048E3B4466210763AFE75</vt:lpwstr>
  </property>
</Properties>
</file>