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BD4AB5">
      <w:pPr>
        <w:pStyle w:val="2"/>
        <w:keepNext w:val="0"/>
        <w:keepLines w:val="0"/>
        <w:widowControl/>
        <w:suppressLineNumbers w:val="0"/>
        <w:spacing w:before="0" w:beforeAutospacing="0" w:after="0" w:afterAutospacing="0"/>
        <w:ind w:left="0" w:right="0"/>
        <w:jc w:val="center"/>
        <w:rPr>
          <w:rFonts w:hint="eastAsia" w:ascii="宋体" w:hAnsi="宋体" w:eastAsia="宋体" w:cs="宋体"/>
          <w:b/>
          <w:bCs/>
          <w:i w:val="0"/>
          <w:iCs w:val="0"/>
          <w:caps w:val="0"/>
          <w:color w:val="000000"/>
          <w:spacing w:val="0"/>
          <w:sz w:val="32"/>
          <w:szCs w:val="32"/>
          <w:vertAlign w:val="baseline"/>
          <w:lang w:val="en-US" w:eastAsia="zh-CN"/>
        </w:rPr>
      </w:pPr>
      <w:r>
        <w:rPr>
          <w:rFonts w:hint="eastAsia" w:ascii="宋体" w:hAnsi="宋体" w:eastAsia="宋体" w:cs="宋体"/>
          <w:b/>
          <w:bCs/>
          <w:i w:val="0"/>
          <w:iCs w:val="0"/>
          <w:caps w:val="0"/>
          <w:color w:val="000000"/>
          <w:spacing w:val="0"/>
          <w:sz w:val="32"/>
          <w:szCs w:val="32"/>
          <w:vertAlign w:val="baseline"/>
        </w:rPr>
        <w:t>医疗机构静脉用药调配中心评估</w:t>
      </w:r>
      <w:r>
        <w:rPr>
          <w:rFonts w:hint="eastAsia" w:ascii="宋体" w:hAnsi="宋体" w:eastAsia="宋体" w:cs="宋体"/>
          <w:b/>
          <w:bCs/>
          <w:i w:val="0"/>
          <w:iCs w:val="0"/>
          <w:caps w:val="0"/>
          <w:color w:val="000000"/>
          <w:spacing w:val="0"/>
          <w:sz w:val="32"/>
          <w:szCs w:val="32"/>
          <w:vertAlign w:val="baseline"/>
          <w:lang w:val="en-US" w:eastAsia="zh-CN"/>
        </w:rPr>
        <w:t>标准附表</w:t>
      </w:r>
    </w:p>
    <w:p w14:paraId="6190AA5E">
      <w:pPr>
        <w:pStyle w:val="2"/>
        <w:keepNext w:val="0"/>
        <w:keepLines w:val="0"/>
        <w:widowControl/>
        <w:suppressLineNumbers w:val="0"/>
        <w:spacing w:before="0" w:beforeAutospacing="0" w:after="0" w:afterAutospacing="0"/>
        <w:ind w:left="0" w:right="0"/>
        <w:jc w:val="center"/>
        <w:rPr>
          <w:rFonts w:hint="eastAsia" w:ascii="宋体" w:hAnsi="宋体" w:eastAsia="宋体" w:cs="宋体"/>
          <w:b/>
          <w:bCs/>
          <w:i w:val="0"/>
          <w:iCs w:val="0"/>
          <w:caps w:val="0"/>
          <w:color w:val="000000"/>
          <w:spacing w:val="0"/>
          <w:sz w:val="32"/>
          <w:szCs w:val="32"/>
          <w:vertAlign w:val="baseline"/>
          <w:lang w:val="en-US" w:eastAsia="zh-CN"/>
        </w:rPr>
      </w:pPr>
    </w:p>
    <w:p w14:paraId="56F86FB9">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r>
        <w:rPr>
          <w:rFonts w:hint="eastAsia" w:ascii="仿宋" w:hAnsi="仿宋" w:eastAsia="仿宋" w:cs="仿宋"/>
          <w:b/>
          <w:bCs/>
          <w:i w:val="0"/>
          <w:iCs w:val="0"/>
          <w:caps w:val="0"/>
          <w:color w:val="000000"/>
          <w:spacing w:val="0"/>
          <w:sz w:val="24"/>
          <w:szCs w:val="24"/>
          <w:vertAlign w:val="baseline"/>
          <w:lang w:val="en-US" w:eastAsia="zh-CN"/>
        </w:rPr>
        <w:t>附表1 危害药品溢出处理包物品清单示例（视区域不同可适当减少部分物品）</w:t>
      </w:r>
    </w:p>
    <w:tbl>
      <w:tblPr>
        <w:tblStyle w:val="3"/>
        <w:tblW w:w="952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76"/>
        <w:gridCol w:w="5118"/>
        <w:gridCol w:w="3633"/>
      </w:tblGrid>
      <w:tr w14:paraId="5DA256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5127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序号</w:t>
            </w:r>
          </w:p>
        </w:tc>
        <w:tc>
          <w:tcPr>
            <w:tcW w:w="5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8B56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物品名称</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8D1B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数量</w:t>
            </w:r>
          </w:p>
        </w:tc>
      </w:tr>
      <w:tr w14:paraId="5691A1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D9C6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5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5D92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危害物溢出警示牌</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1490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 个</w:t>
            </w:r>
          </w:p>
        </w:tc>
      </w:tr>
      <w:tr w14:paraId="4902A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0E1A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5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6B26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一次性防护服</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5B90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 件</w:t>
            </w:r>
          </w:p>
        </w:tc>
      </w:tr>
      <w:tr w14:paraId="7EF1F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ABB6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5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84B7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鞋套</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3673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 双</w:t>
            </w:r>
          </w:p>
        </w:tc>
      </w:tr>
      <w:tr w14:paraId="10F85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6B46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5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A42EA">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乳胶手套</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79D57">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3 双</w:t>
            </w:r>
          </w:p>
        </w:tc>
      </w:tr>
      <w:tr w14:paraId="52CA19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889A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5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01480">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PE 手套</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94AED">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 包</w:t>
            </w:r>
          </w:p>
        </w:tc>
      </w:tr>
      <w:tr w14:paraId="0A33B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1D6E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5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1A99C">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防护镜（建议配备）</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5A8B1">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 副</w:t>
            </w:r>
          </w:p>
        </w:tc>
      </w:tr>
      <w:tr w14:paraId="30787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A091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5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25580">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医用口罩</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821F4">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 个</w:t>
            </w:r>
          </w:p>
        </w:tc>
      </w:tr>
      <w:tr w14:paraId="242AE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9BAD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5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E6B43">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N95口罩（建议配备）</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89A65">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 个</w:t>
            </w:r>
          </w:p>
        </w:tc>
      </w:tr>
      <w:tr w14:paraId="7446F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876F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5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CE5A5">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含氯消毒液</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58677">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500ml</w:t>
            </w:r>
          </w:p>
        </w:tc>
      </w:tr>
      <w:tr w14:paraId="13BADB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3D7F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5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5A781">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75％乙醇</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635C4">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500ml</w:t>
            </w:r>
          </w:p>
        </w:tc>
      </w:tr>
      <w:tr w14:paraId="7E4E8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B961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5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FF238">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纱布</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A9E3B">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数张</w:t>
            </w:r>
          </w:p>
        </w:tc>
      </w:tr>
      <w:tr w14:paraId="798A8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70E1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5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3CA46">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无纺布</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CCD26">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数张</w:t>
            </w:r>
          </w:p>
        </w:tc>
      </w:tr>
      <w:tr w14:paraId="58956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5B55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5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C38C0">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海绵、吸水纸巾（建议配备）</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13609">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若干</w:t>
            </w:r>
          </w:p>
        </w:tc>
      </w:tr>
      <w:tr w14:paraId="508A4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DE37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w:t>
            </w:r>
          </w:p>
        </w:tc>
        <w:tc>
          <w:tcPr>
            <w:tcW w:w="5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DF60B">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小铲子</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935A5">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 把</w:t>
            </w:r>
          </w:p>
        </w:tc>
      </w:tr>
      <w:tr w14:paraId="2B0E49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7CFF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5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A5515">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剪刀</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7C5CB">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 把</w:t>
            </w:r>
          </w:p>
        </w:tc>
      </w:tr>
      <w:tr w14:paraId="6115F8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5E0E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c>
          <w:tcPr>
            <w:tcW w:w="5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8B297">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镊子</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78716">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 把</w:t>
            </w:r>
          </w:p>
        </w:tc>
      </w:tr>
      <w:tr w14:paraId="4502F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29FE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w:t>
            </w:r>
          </w:p>
        </w:tc>
        <w:tc>
          <w:tcPr>
            <w:tcW w:w="5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B0607">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小锐器盒</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549D3">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 个</w:t>
            </w:r>
          </w:p>
        </w:tc>
      </w:tr>
      <w:tr w14:paraId="37BFF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1E46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c>
          <w:tcPr>
            <w:tcW w:w="5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1D2DE">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医疗废物袋</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904BC">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 个</w:t>
            </w:r>
          </w:p>
        </w:tc>
      </w:tr>
      <w:tr w14:paraId="0921A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FA79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w:t>
            </w:r>
          </w:p>
        </w:tc>
        <w:tc>
          <w:tcPr>
            <w:tcW w:w="5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97BB9">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记录表</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E3766">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 张</w:t>
            </w:r>
          </w:p>
        </w:tc>
      </w:tr>
      <w:tr w14:paraId="0FB76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0" w:hRule="atLeast"/>
        </w:trPr>
        <w:tc>
          <w:tcPr>
            <w:tcW w:w="95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C36BB5">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Style w:val="5"/>
                <w:rFonts w:hint="eastAsia" w:ascii="仿宋" w:hAnsi="仿宋" w:eastAsia="仿宋" w:cs="仿宋"/>
                <w:sz w:val="24"/>
                <w:szCs w:val="24"/>
                <w:lang w:val="en-US" w:eastAsia="zh-CN" w:bidi="ar"/>
              </w:rPr>
              <w:t>注</w:t>
            </w:r>
            <w:r>
              <w:rPr>
                <w:rStyle w:val="6"/>
                <w:rFonts w:hint="eastAsia" w:ascii="仿宋" w:hAnsi="仿宋" w:eastAsia="仿宋" w:cs="仿宋"/>
                <w:sz w:val="24"/>
                <w:szCs w:val="24"/>
                <w:lang w:val="en-US" w:eastAsia="zh-CN" w:bidi="ar"/>
              </w:rPr>
              <w:t>：N95口罩指符合美国(US)国家职业安全健康研究所(NIOSH)N95级别防颗粒物标准的口罩。</w:t>
            </w:r>
          </w:p>
        </w:tc>
      </w:tr>
    </w:tbl>
    <w:p w14:paraId="766FAD88">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p>
    <w:p w14:paraId="588F4DD4">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p>
    <w:p w14:paraId="08D18091">
      <w:pPr>
        <w:pStyle w:val="2"/>
        <w:keepNext w:val="0"/>
        <w:keepLines w:val="0"/>
        <w:widowControl/>
        <w:suppressLineNumbers w:val="0"/>
        <w:spacing w:before="0" w:beforeAutospacing="0" w:after="0" w:afterAutospacing="0"/>
        <w:ind w:left="0" w:right="0"/>
        <w:jc w:val="both"/>
        <w:rPr>
          <w:rFonts w:hint="default" w:ascii="仿宋" w:hAnsi="仿宋" w:eastAsia="仿宋" w:cs="仿宋"/>
          <w:b/>
          <w:bCs/>
          <w:i w:val="0"/>
          <w:iCs w:val="0"/>
          <w:caps w:val="0"/>
          <w:color w:val="000000"/>
          <w:spacing w:val="0"/>
          <w:sz w:val="24"/>
          <w:szCs w:val="24"/>
          <w:vertAlign w:val="baseline"/>
          <w:lang w:val="en-US" w:eastAsia="zh-CN"/>
        </w:rPr>
      </w:pPr>
      <w:r>
        <w:rPr>
          <w:rFonts w:hint="eastAsia" w:ascii="仿宋" w:hAnsi="仿宋" w:eastAsia="仿宋" w:cs="仿宋"/>
          <w:b/>
          <w:bCs/>
          <w:i w:val="0"/>
          <w:iCs w:val="0"/>
          <w:caps w:val="0"/>
          <w:color w:val="000000"/>
          <w:spacing w:val="0"/>
          <w:sz w:val="24"/>
          <w:szCs w:val="24"/>
          <w:vertAlign w:val="baseline"/>
          <w:lang w:val="en-US" w:eastAsia="zh-CN"/>
        </w:rPr>
        <w:t>附表2 药学专业技术岗位及工勤岗位培训内容示例</w:t>
      </w:r>
    </w:p>
    <w:tbl>
      <w:tblPr>
        <w:tblStyle w:val="3"/>
        <w:tblW w:w="951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8"/>
        <w:gridCol w:w="1033"/>
        <w:gridCol w:w="1330"/>
        <w:gridCol w:w="2455"/>
        <w:gridCol w:w="1996"/>
        <w:gridCol w:w="2204"/>
      </w:tblGrid>
      <w:tr w14:paraId="1BBB7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D546D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序   号</w:t>
            </w:r>
          </w:p>
        </w:tc>
        <w:tc>
          <w:tcPr>
            <w:tcW w:w="10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D434D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岗位</w:t>
            </w:r>
          </w:p>
        </w:tc>
        <w:tc>
          <w:tcPr>
            <w:tcW w:w="578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A6D54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理论培训 （课时）</w:t>
            </w:r>
          </w:p>
        </w:tc>
        <w:tc>
          <w:tcPr>
            <w:tcW w:w="22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EA6D0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实践培训 （培训工作日天数）</w:t>
            </w:r>
          </w:p>
        </w:tc>
      </w:tr>
      <w:tr w14:paraId="79028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7AA456">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BA9A63">
            <w:pPr>
              <w:jc w:val="center"/>
              <w:rPr>
                <w:rFonts w:hint="eastAsia" w:ascii="仿宋" w:hAnsi="仿宋" w:eastAsia="仿宋" w:cs="仿宋"/>
                <w:i w:val="0"/>
                <w:iCs w:val="0"/>
                <w:color w:val="000000"/>
                <w:sz w:val="24"/>
                <w:szCs w:val="24"/>
                <w:u w:val="none"/>
              </w:rPr>
            </w:pPr>
          </w:p>
        </w:tc>
        <w:tc>
          <w:tcPr>
            <w:tcW w:w="13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35BB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岗位职责</w:t>
            </w: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52FA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核心制度</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D576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操作规程</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896173">
            <w:pPr>
              <w:jc w:val="center"/>
              <w:rPr>
                <w:rFonts w:hint="eastAsia" w:ascii="仿宋" w:hAnsi="仿宋" w:eastAsia="仿宋" w:cs="仿宋"/>
                <w:i w:val="0"/>
                <w:iCs w:val="0"/>
                <w:color w:val="000000"/>
                <w:sz w:val="24"/>
                <w:szCs w:val="24"/>
                <w:u w:val="none"/>
              </w:rPr>
            </w:pPr>
          </w:p>
        </w:tc>
      </w:tr>
      <w:tr w14:paraId="035E7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8A8CF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0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8711C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静配中心组长</w:t>
            </w:r>
          </w:p>
        </w:tc>
        <w:tc>
          <w:tcPr>
            <w:tcW w:w="13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4CC7D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静配中心组长</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职责（0.5）</w:t>
            </w: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65C4870B">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药品管理法规（2）</w:t>
            </w:r>
          </w:p>
        </w:tc>
        <w:tc>
          <w:tcPr>
            <w:tcW w:w="1996"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07875473">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静配中心各岗位操作规程（5）</w:t>
            </w:r>
          </w:p>
        </w:tc>
        <w:tc>
          <w:tcPr>
            <w:tcW w:w="2204"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6F55853C">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各岗位跟班学习 （新建静配中心的负责人应到运行良好的静配中心学习）（7）</w:t>
            </w:r>
          </w:p>
        </w:tc>
      </w:tr>
      <w:tr w14:paraId="25625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048174">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330EE1">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39C587">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55D7D28A">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静配中心管理法规（1）</w:t>
            </w:r>
          </w:p>
        </w:tc>
        <w:tc>
          <w:tcPr>
            <w:tcW w:w="1996"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AA68905">
            <w:pPr>
              <w:jc w:val="left"/>
              <w:rPr>
                <w:rFonts w:hint="eastAsia" w:ascii="仿宋" w:hAnsi="仿宋" w:eastAsia="仿宋" w:cs="仿宋"/>
                <w:i w:val="0"/>
                <w:iCs w:val="0"/>
                <w:color w:val="000000"/>
                <w:sz w:val="24"/>
                <w:szCs w:val="24"/>
                <w:u w:val="none"/>
              </w:rPr>
            </w:pP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E052997">
            <w:pPr>
              <w:jc w:val="left"/>
              <w:rPr>
                <w:rFonts w:hint="eastAsia" w:ascii="仿宋" w:hAnsi="仿宋" w:eastAsia="仿宋" w:cs="仿宋"/>
                <w:i w:val="0"/>
                <w:iCs w:val="0"/>
                <w:color w:val="000000"/>
                <w:sz w:val="24"/>
                <w:szCs w:val="24"/>
                <w:u w:val="none"/>
              </w:rPr>
            </w:pPr>
          </w:p>
        </w:tc>
      </w:tr>
      <w:tr w14:paraId="32662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B245FC">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C3E305">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6A2478">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2A92E415">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本静配中心全部规章制度（3）</w:t>
            </w:r>
          </w:p>
        </w:tc>
        <w:tc>
          <w:tcPr>
            <w:tcW w:w="1996"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1593FF1">
            <w:pPr>
              <w:jc w:val="left"/>
              <w:rPr>
                <w:rFonts w:hint="eastAsia" w:ascii="仿宋" w:hAnsi="仿宋" w:eastAsia="仿宋" w:cs="仿宋"/>
                <w:i w:val="0"/>
                <w:iCs w:val="0"/>
                <w:color w:val="000000"/>
                <w:sz w:val="24"/>
                <w:szCs w:val="24"/>
                <w:u w:val="none"/>
              </w:rPr>
            </w:pP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83BB48A">
            <w:pPr>
              <w:jc w:val="left"/>
              <w:rPr>
                <w:rFonts w:hint="eastAsia" w:ascii="仿宋" w:hAnsi="仿宋" w:eastAsia="仿宋" w:cs="仿宋"/>
                <w:i w:val="0"/>
                <w:iCs w:val="0"/>
                <w:color w:val="000000"/>
                <w:sz w:val="24"/>
                <w:szCs w:val="24"/>
                <w:u w:val="none"/>
              </w:rPr>
            </w:pPr>
          </w:p>
        </w:tc>
      </w:tr>
      <w:tr w14:paraId="4F8E1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2D788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0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AD81A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用药医嘱审核</w:t>
            </w:r>
          </w:p>
        </w:tc>
        <w:tc>
          <w:tcPr>
            <w:tcW w:w="13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CF638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用药医嘱</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审核岗位职责（0.5）</w:t>
            </w: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04B96039">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用药医嘱审核工作制度（1）</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5E19A8AA">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静脉用药医嘱审核规程（10）  </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top"/>
          </w:tcPr>
          <w:p w14:paraId="34FB98CD">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实际操作信息系统、医嘱审核与反馈、</w:t>
            </w:r>
          </w:p>
        </w:tc>
      </w:tr>
      <w:tr w14:paraId="7A264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80512E">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718714">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30C569">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1285D013">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药品不良事件报告制度（1）</w:t>
            </w:r>
          </w:p>
        </w:tc>
        <w:tc>
          <w:tcPr>
            <w:tcW w:w="1996"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636C8F43">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信息系统故障处理规程（0.5）</w:t>
            </w:r>
          </w:p>
        </w:tc>
        <w:tc>
          <w:tcPr>
            <w:tcW w:w="2204"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6680B039">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排调配批次（14）</w:t>
            </w:r>
          </w:p>
        </w:tc>
      </w:tr>
      <w:tr w14:paraId="4328F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38FB2B">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DB94A3">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6A7B31">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0C04B239">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信息系统管理制度（1）</w:t>
            </w:r>
          </w:p>
        </w:tc>
        <w:tc>
          <w:tcPr>
            <w:tcW w:w="1996"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788D07B">
            <w:pPr>
              <w:jc w:val="left"/>
              <w:rPr>
                <w:rFonts w:hint="eastAsia" w:ascii="仿宋" w:hAnsi="仿宋" w:eastAsia="仿宋" w:cs="仿宋"/>
                <w:i w:val="0"/>
                <w:iCs w:val="0"/>
                <w:color w:val="000000"/>
                <w:sz w:val="24"/>
                <w:szCs w:val="24"/>
                <w:u w:val="none"/>
              </w:rPr>
            </w:pP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8B21AB3">
            <w:pPr>
              <w:jc w:val="left"/>
              <w:rPr>
                <w:rFonts w:hint="eastAsia" w:ascii="仿宋" w:hAnsi="仿宋" w:eastAsia="仿宋" w:cs="仿宋"/>
                <w:i w:val="0"/>
                <w:iCs w:val="0"/>
                <w:color w:val="000000"/>
                <w:sz w:val="24"/>
                <w:szCs w:val="24"/>
                <w:u w:val="none"/>
              </w:rPr>
            </w:pPr>
          </w:p>
        </w:tc>
      </w:tr>
      <w:tr w14:paraId="12A89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9905A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0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14E41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摆药贴签核对</w:t>
            </w:r>
          </w:p>
        </w:tc>
        <w:tc>
          <w:tcPr>
            <w:tcW w:w="13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AD34B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摆药贴签核对岗位职责</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（0.5）</w:t>
            </w: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06393717">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摆药贴签核对工作制度（1）</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6767C37B">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输液贴签规程（1）</w:t>
            </w:r>
          </w:p>
        </w:tc>
        <w:tc>
          <w:tcPr>
            <w:tcW w:w="2204"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7E53B7F8">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贴签操作、摆药操作与待配药品核对危害药品溢出处理（3）</w:t>
            </w:r>
          </w:p>
        </w:tc>
      </w:tr>
      <w:tr w14:paraId="1ADCF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B0BD40">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AC8B74">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01C750">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2499000E">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医疗废物处理管理制度（0.5）</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16096424">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摆药规程（1）</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0FD15AF">
            <w:pPr>
              <w:jc w:val="left"/>
              <w:rPr>
                <w:rFonts w:hint="eastAsia" w:ascii="仿宋" w:hAnsi="仿宋" w:eastAsia="仿宋" w:cs="仿宋"/>
                <w:i w:val="0"/>
                <w:iCs w:val="0"/>
                <w:color w:val="000000"/>
                <w:sz w:val="24"/>
                <w:szCs w:val="24"/>
                <w:u w:val="none"/>
              </w:rPr>
            </w:pPr>
          </w:p>
        </w:tc>
      </w:tr>
      <w:tr w14:paraId="15268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826455">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69F68F">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116ABB">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411BFC22">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高警示药品使用和管理制度（0.5）</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46EBD5B7">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摆药核对规程（2）</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9162E85">
            <w:pPr>
              <w:jc w:val="left"/>
              <w:rPr>
                <w:rFonts w:hint="eastAsia" w:ascii="仿宋" w:hAnsi="仿宋" w:eastAsia="仿宋" w:cs="仿宋"/>
                <w:i w:val="0"/>
                <w:iCs w:val="0"/>
                <w:color w:val="000000"/>
                <w:sz w:val="24"/>
                <w:szCs w:val="24"/>
                <w:u w:val="none"/>
              </w:rPr>
            </w:pPr>
          </w:p>
        </w:tc>
      </w:tr>
      <w:tr w14:paraId="23E2F0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6F20C8">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33C2E3">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314706">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6F75716C">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易混淆药品管理制度（0.5）</w:t>
            </w:r>
          </w:p>
        </w:tc>
        <w:tc>
          <w:tcPr>
            <w:tcW w:w="1996"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4D3DCCA7">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危害药品溢出处理规程（1）</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4BDA53F">
            <w:pPr>
              <w:jc w:val="left"/>
              <w:rPr>
                <w:rFonts w:hint="eastAsia" w:ascii="仿宋" w:hAnsi="仿宋" w:eastAsia="仿宋" w:cs="仿宋"/>
                <w:i w:val="0"/>
                <w:iCs w:val="0"/>
                <w:color w:val="000000"/>
                <w:sz w:val="24"/>
                <w:szCs w:val="24"/>
                <w:u w:val="none"/>
              </w:rPr>
            </w:pPr>
          </w:p>
        </w:tc>
      </w:tr>
      <w:tr w14:paraId="3074A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1F9E04">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2149FD">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756F7F">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50A54DDE">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静配中心设施设备管理制度（1）</w:t>
            </w:r>
          </w:p>
        </w:tc>
        <w:tc>
          <w:tcPr>
            <w:tcW w:w="1996"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FE9317B">
            <w:pPr>
              <w:jc w:val="left"/>
              <w:rPr>
                <w:rFonts w:hint="eastAsia" w:ascii="仿宋" w:hAnsi="仿宋" w:eastAsia="仿宋" w:cs="仿宋"/>
                <w:i w:val="0"/>
                <w:iCs w:val="0"/>
                <w:color w:val="000000"/>
                <w:sz w:val="24"/>
                <w:szCs w:val="24"/>
                <w:u w:val="none"/>
              </w:rPr>
            </w:pP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4DA25FC">
            <w:pPr>
              <w:jc w:val="left"/>
              <w:rPr>
                <w:rFonts w:hint="eastAsia" w:ascii="仿宋" w:hAnsi="仿宋" w:eastAsia="仿宋" w:cs="仿宋"/>
                <w:i w:val="0"/>
                <w:iCs w:val="0"/>
                <w:color w:val="000000"/>
                <w:sz w:val="24"/>
                <w:szCs w:val="24"/>
                <w:u w:val="none"/>
              </w:rPr>
            </w:pPr>
          </w:p>
        </w:tc>
      </w:tr>
      <w:tr w14:paraId="32EDE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E477C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0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2395A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加药混合调配</w:t>
            </w:r>
          </w:p>
        </w:tc>
        <w:tc>
          <w:tcPr>
            <w:tcW w:w="13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6306C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加药混合调配岗位职责（0.5）</w:t>
            </w: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77756FED">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加药混合调配工作制度（1）</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3D88F843">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生物安全柜使用与清洁消毒规程（2）</w:t>
            </w:r>
          </w:p>
        </w:tc>
        <w:tc>
          <w:tcPr>
            <w:tcW w:w="2204"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1EF1CC5D">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进出洁净区更衣、手卫生</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洁净区清洁、消毒、清场操作</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生物安全柜操作</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水平层流台操作</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无菌调配操作 （注射器使用，安瓿瓶药物调配、西林瓶药品调配）</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危害药品调配操作</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肠外营养液调配操作</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配液机器操作、振荡器操作</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危害药品溢出处理</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锐器刺伤处理</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（共7个工作日）</w:t>
            </w:r>
          </w:p>
        </w:tc>
      </w:tr>
      <w:tr w14:paraId="0B5F4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852D87">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2A4AD5">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A8301A">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6A18027F">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医疗废物处理管理制度（0.5）</w:t>
            </w:r>
            <w:bookmarkStart w:id="0" w:name="_GoBack"/>
            <w:bookmarkEnd w:id="0"/>
            <w:r>
              <w:rPr>
                <w:rFonts w:hint="eastAsia" w:ascii="仿宋" w:hAnsi="仿宋" w:eastAsia="仿宋" w:cs="仿宋"/>
                <w:i w:val="0"/>
                <w:iCs w:val="0"/>
                <w:color w:val="000000"/>
                <w:kern w:val="0"/>
                <w:sz w:val="24"/>
                <w:szCs w:val="24"/>
                <w:u w:val="none"/>
                <w:lang w:val="en-US" w:eastAsia="zh-CN" w:bidi="ar"/>
              </w:rPr>
              <w:t>洁净区清场、清洁、消毒工作制度（1）</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25B53E34">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水平层流台使用与清洁消毒规程（2）</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9578214">
            <w:pPr>
              <w:jc w:val="left"/>
              <w:rPr>
                <w:rFonts w:hint="eastAsia" w:ascii="仿宋" w:hAnsi="仿宋" w:eastAsia="仿宋" w:cs="仿宋"/>
                <w:i w:val="0"/>
                <w:iCs w:val="0"/>
                <w:color w:val="000000"/>
                <w:sz w:val="24"/>
                <w:szCs w:val="24"/>
                <w:u w:val="none"/>
              </w:rPr>
            </w:pPr>
          </w:p>
        </w:tc>
      </w:tr>
      <w:tr w14:paraId="51752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879940">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795AF3">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B71BA6">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30923382">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高警示药品使用和管理制度（0.5）</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471D7056">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无菌调配规程（2）</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59B55F2">
            <w:pPr>
              <w:jc w:val="left"/>
              <w:rPr>
                <w:rFonts w:hint="eastAsia" w:ascii="仿宋" w:hAnsi="仿宋" w:eastAsia="仿宋" w:cs="仿宋"/>
                <w:i w:val="0"/>
                <w:iCs w:val="0"/>
                <w:color w:val="000000"/>
                <w:sz w:val="24"/>
                <w:szCs w:val="24"/>
                <w:u w:val="none"/>
              </w:rPr>
            </w:pPr>
          </w:p>
        </w:tc>
      </w:tr>
      <w:tr w14:paraId="0DF757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23120D">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AE0D0C">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517159">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00EB06FB">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易混淆药品管理制度（0.5）</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5BA31ADA">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肠外营养液加药混合调配规程（3）</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4090FA0">
            <w:pPr>
              <w:jc w:val="left"/>
              <w:rPr>
                <w:rFonts w:hint="eastAsia" w:ascii="仿宋" w:hAnsi="仿宋" w:eastAsia="仿宋" w:cs="仿宋"/>
                <w:i w:val="0"/>
                <w:iCs w:val="0"/>
                <w:color w:val="000000"/>
                <w:sz w:val="24"/>
                <w:szCs w:val="24"/>
                <w:u w:val="none"/>
              </w:rPr>
            </w:pPr>
          </w:p>
        </w:tc>
      </w:tr>
      <w:tr w14:paraId="78998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DF7FFF">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F6EA74">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5D92F7">
            <w:pPr>
              <w:jc w:val="center"/>
              <w:rPr>
                <w:rFonts w:hint="eastAsia" w:ascii="仿宋" w:hAnsi="仿宋" w:eastAsia="仿宋" w:cs="仿宋"/>
                <w:i w:val="0"/>
                <w:iCs w:val="0"/>
                <w:color w:val="000000"/>
                <w:sz w:val="24"/>
                <w:szCs w:val="24"/>
                <w:u w:val="none"/>
              </w:rPr>
            </w:pPr>
          </w:p>
        </w:tc>
        <w:tc>
          <w:tcPr>
            <w:tcW w:w="2455"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7C166AEB">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静配中心设施设备管理制度（1）</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0BC8F308">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危害药品加药混合调配规程（3）</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00ECEF2">
            <w:pPr>
              <w:jc w:val="left"/>
              <w:rPr>
                <w:rFonts w:hint="eastAsia" w:ascii="仿宋" w:hAnsi="仿宋" w:eastAsia="仿宋" w:cs="仿宋"/>
                <w:i w:val="0"/>
                <w:iCs w:val="0"/>
                <w:color w:val="000000"/>
                <w:sz w:val="24"/>
                <w:szCs w:val="24"/>
                <w:u w:val="none"/>
              </w:rPr>
            </w:pPr>
          </w:p>
        </w:tc>
      </w:tr>
      <w:tr w14:paraId="5BAC6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8"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2DFEDD">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AA5820">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127E0A">
            <w:pPr>
              <w:jc w:val="center"/>
              <w:rPr>
                <w:rFonts w:hint="eastAsia" w:ascii="仿宋" w:hAnsi="仿宋" w:eastAsia="仿宋" w:cs="仿宋"/>
                <w:i w:val="0"/>
                <w:iCs w:val="0"/>
                <w:color w:val="000000"/>
                <w:sz w:val="24"/>
                <w:szCs w:val="24"/>
                <w:u w:val="none"/>
              </w:rPr>
            </w:pPr>
          </w:p>
        </w:tc>
        <w:tc>
          <w:tcPr>
            <w:tcW w:w="245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5704D0D">
            <w:pPr>
              <w:jc w:val="left"/>
              <w:rPr>
                <w:rFonts w:hint="eastAsia" w:ascii="仿宋" w:hAnsi="仿宋" w:eastAsia="仿宋" w:cs="仿宋"/>
                <w:i w:val="0"/>
                <w:iCs w:val="0"/>
                <w:color w:val="000000"/>
                <w:sz w:val="24"/>
                <w:szCs w:val="24"/>
                <w:u w:val="none"/>
              </w:rPr>
            </w:pP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19FAC8D2">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洁净区清洁、消毒规程（2）</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E5BD7D4">
            <w:pPr>
              <w:jc w:val="left"/>
              <w:rPr>
                <w:rFonts w:hint="eastAsia" w:ascii="仿宋" w:hAnsi="仿宋" w:eastAsia="仿宋" w:cs="仿宋"/>
                <w:i w:val="0"/>
                <w:iCs w:val="0"/>
                <w:color w:val="000000"/>
                <w:sz w:val="24"/>
                <w:szCs w:val="24"/>
                <w:u w:val="none"/>
              </w:rPr>
            </w:pPr>
          </w:p>
        </w:tc>
      </w:tr>
      <w:tr w14:paraId="6E701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5EE773">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59E1AF">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C558B6">
            <w:pPr>
              <w:jc w:val="center"/>
              <w:rPr>
                <w:rFonts w:hint="eastAsia" w:ascii="仿宋" w:hAnsi="仿宋" w:eastAsia="仿宋" w:cs="仿宋"/>
                <w:i w:val="0"/>
                <w:iCs w:val="0"/>
                <w:color w:val="000000"/>
                <w:sz w:val="24"/>
                <w:szCs w:val="24"/>
                <w:u w:val="none"/>
              </w:rPr>
            </w:pPr>
          </w:p>
        </w:tc>
        <w:tc>
          <w:tcPr>
            <w:tcW w:w="245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F459E95">
            <w:pPr>
              <w:jc w:val="left"/>
              <w:rPr>
                <w:rFonts w:hint="eastAsia" w:ascii="仿宋" w:hAnsi="仿宋" w:eastAsia="仿宋" w:cs="仿宋"/>
                <w:i w:val="0"/>
                <w:iCs w:val="0"/>
                <w:color w:val="000000"/>
                <w:sz w:val="24"/>
                <w:szCs w:val="24"/>
                <w:u w:val="none"/>
              </w:rPr>
            </w:pP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62668932">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进出洁净区更衣及手卫生规程（1）</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C8FF550">
            <w:pPr>
              <w:jc w:val="left"/>
              <w:rPr>
                <w:rFonts w:hint="eastAsia" w:ascii="仿宋" w:hAnsi="仿宋" w:eastAsia="仿宋" w:cs="仿宋"/>
                <w:i w:val="0"/>
                <w:iCs w:val="0"/>
                <w:color w:val="000000"/>
                <w:sz w:val="24"/>
                <w:szCs w:val="24"/>
                <w:u w:val="none"/>
              </w:rPr>
            </w:pPr>
          </w:p>
        </w:tc>
      </w:tr>
      <w:tr w14:paraId="2960D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AFC8BC">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190EB2">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84E6A8">
            <w:pPr>
              <w:jc w:val="center"/>
              <w:rPr>
                <w:rFonts w:hint="eastAsia" w:ascii="仿宋" w:hAnsi="仿宋" w:eastAsia="仿宋" w:cs="仿宋"/>
                <w:i w:val="0"/>
                <w:iCs w:val="0"/>
                <w:color w:val="000000"/>
                <w:sz w:val="24"/>
                <w:szCs w:val="24"/>
                <w:u w:val="none"/>
              </w:rPr>
            </w:pPr>
          </w:p>
        </w:tc>
        <w:tc>
          <w:tcPr>
            <w:tcW w:w="245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DE5983D">
            <w:pPr>
              <w:jc w:val="left"/>
              <w:rPr>
                <w:rFonts w:hint="eastAsia" w:ascii="仿宋" w:hAnsi="仿宋" w:eastAsia="仿宋" w:cs="仿宋"/>
                <w:i w:val="0"/>
                <w:iCs w:val="0"/>
                <w:color w:val="000000"/>
                <w:sz w:val="24"/>
                <w:szCs w:val="24"/>
                <w:u w:val="none"/>
              </w:rPr>
            </w:pP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6C4AA09E">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洁净区仪器设备检测与维护规程（1）</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583E5F1">
            <w:pPr>
              <w:jc w:val="left"/>
              <w:rPr>
                <w:rFonts w:hint="eastAsia" w:ascii="仿宋" w:hAnsi="仿宋" w:eastAsia="仿宋" w:cs="仿宋"/>
                <w:i w:val="0"/>
                <w:iCs w:val="0"/>
                <w:color w:val="000000"/>
                <w:sz w:val="24"/>
                <w:szCs w:val="24"/>
                <w:u w:val="none"/>
              </w:rPr>
            </w:pPr>
          </w:p>
        </w:tc>
      </w:tr>
      <w:tr w14:paraId="4FA28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32583B">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78243E">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9EA30E">
            <w:pPr>
              <w:jc w:val="center"/>
              <w:rPr>
                <w:rFonts w:hint="eastAsia" w:ascii="仿宋" w:hAnsi="仿宋" w:eastAsia="仿宋" w:cs="仿宋"/>
                <w:i w:val="0"/>
                <w:iCs w:val="0"/>
                <w:color w:val="000000"/>
                <w:sz w:val="24"/>
                <w:szCs w:val="24"/>
                <w:u w:val="none"/>
              </w:rPr>
            </w:pPr>
          </w:p>
        </w:tc>
        <w:tc>
          <w:tcPr>
            <w:tcW w:w="245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A207FAE">
            <w:pPr>
              <w:jc w:val="left"/>
              <w:rPr>
                <w:rFonts w:hint="eastAsia" w:ascii="仿宋" w:hAnsi="仿宋" w:eastAsia="仿宋" w:cs="仿宋"/>
                <w:i w:val="0"/>
                <w:iCs w:val="0"/>
                <w:color w:val="000000"/>
                <w:sz w:val="24"/>
                <w:szCs w:val="24"/>
                <w:u w:val="none"/>
              </w:rPr>
            </w:pP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2F5401B7">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危害药品溢出处理规程（1）</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252F582">
            <w:pPr>
              <w:jc w:val="left"/>
              <w:rPr>
                <w:rFonts w:hint="eastAsia" w:ascii="仿宋" w:hAnsi="仿宋" w:eastAsia="仿宋" w:cs="仿宋"/>
                <w:i w:val="0"/>
                <w:iCs w:val="0"/>
                <w:color w:val="000000"/>
                <w:sz w:val="24"/>
                <w:szCs w:val="24"/>
                <w:u w:val="none"/>
              </w:rPr>
            </w:pPr>
          </w:p>
        </w:tc>
      </w:tr>
      <w:tr w14:paraId="53423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78F43E">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5006A9">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9164F5">
            <w:pPr>
              <w:jc w:val="center"/>
              <w:rPr>
                <w:rFonts w:hint="eastAsia" w:ascii="仿宋" w:hAnsi="仿宋" w:eastAsia="仿宋" w:cs="仿宋"/>
                <w:i w:val="0"/>
                <w:iCs w:val="0"/>
                <w:color w:val="000000"/>
                <w:sz w:val="24"/>
                <w:szCs w:val="24"/>
                <w:u w:val="none"/>
              </w:rPr>
            </w:pPr>
          </w:p>
        </w:tc>
        <w:tc>
          <w:tcPr>
            <w:tcW w:w="245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6754F4A">
            <w:pPr>
              <w:jc w:val="left"/>
              <w:rPr>
                <w:rFonts w:hint="eastAsia" w:ascii="仿宋" w:hAnsi="仿宋" w:eastAsia="仿宋" w:cs="仿宋"/>
                <w:i w:val="0"/>
                <w:iCs w:val="0"/>
                <w:color w:val="000000"/>
                <w:sz w:val="24"/>
                <w:szCs w:val="24"/>
                <w:u w:val="none"/>
              </w:rPr>
            </w:pP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68603D31">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锐器刺伤处理规程（0.5）</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DB14489">
            <w:pPr>
              <w:jc w:val="left"/>
              <w:rPr>
                <w:rFonts w:hint="eastAsia" w:ascii="仿宋" w:hAnsi="仿宋" w:eastAsia="仿宋" w:cs="仿宋"/>
                <w:i w:val="0"/>
                <w:iCs w:val="0"/>
                <w:color w:val="000000"/>
                <w:sz w:val="24"/>
                <w:szCs w:val="24"/>
                <w:u w:val="none"/>
              </w:rPr>
            </w:pPr>
          </w:p>
        </w:tc>
      </w:tr>
      <w:tr w14:paraId="7F4DE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4D63D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0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82EFC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成品输液核对</w:t>
            </w:r>
          </w:p>
        </w:tc>
        <w:tc>
          <w:tcPr>
            <w:tcW w:w="13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BAC5A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成品输液核对岗位职责（0.5）</w:t>
            </w: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2944CA6B">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医疗废物处理管理制度（0.5）</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737D6912">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成品输液核对规程（2）</w:t>
            </w:r>
          </w:p>
        </w:tc>
        <w:tc>
          <w:tcPr>
            <w:tcW w:w="2204"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20837694">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成品输液核对、危害药品溢出处理、锐器刺伤处理（3）</w:t>
            </w:r>
          </w:p>
        </w:tc>
      </w:tr>
      <w:tr w14:paraId="5F1B2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2E4A25">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F9DF0E">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E8DCD3">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5990FC80">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高警示药品使用和管理制度（0.5）</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105B0E6B">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成品输液分拣操作规程（2）</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694ACAC">
            <w:pPr>
              <w:jc w:val="left"/>
              <w:rPr>
                <w:rFonts w:hint="eastAsia" w:ascii="仿宋" w:hAnsi="仿宋" w:eastAsia="仿宋" w:cs="仿宋"/>
                <w:i w:val="0"/>
                <w:iCs w:val="0"/>
                <w:color w:val="000000"/>
                <w:sz w:val="24"/>
                <w:szCs w:val="24"/>
                <w:u w:val="none"/>
              </w:rPr>
            </w:pPr>
          </w:p>
        </w:tc>
      </w:tr>
      <w:tr w14:paraId="50D3D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223362">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A2F6F2">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C68E43">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782E4AF4">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易混淆药品管理制度（0.5）</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7AD65BD0">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危害药品溢出处理规程（1） </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85F8A55">
            <w:pPr>
              <w:jc w:val="left"/>
              <w:rPr>
                <w:rFonts w:hint="eastAsia" w:ascii="仿宋" w:hAnsi="仿宋" w:eastAsia="仿宋" w:cs="仿宋"/>
                <w:i w:val="0"/>
                <w:iCs w:val="0"/>
                <w:color w:val="000000"/>
                <w:sz w:val="24"/>
                <w:szCs w:val="24"/>
                <w:u w:val="none"/>
              </w:rPr>
            </w:pPr>
          </w:p>
        </w:tc>
      </w:tr>
      <w:tr w14:paraId="3E42C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DEADBC">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68E4E5">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5BFC7E">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146FA043">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静配中心设施设备管理制度（1）</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7CCF075D">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锐器刺伤处理规程（0.5）</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18ACEF7">
            <w:pPr>
              <w:jc w:val="left"/>
              <w:rPr>
                <w:rFonts w:hint="eastAsia" w:ascii="仿宋" w:hAnsi="仿宋" w:eastAsia="仿宋" w:cs="仿宋"/>
                <w:i w:val="0"/>
                <w:iCs w:val="0"/>
                <w:color w:val="000000"/>
                <w:sz w:val="24"/>
                <w:szCs w:val="24"/>
                <w:u w:val="none"/>
              </w:rPr>
            </w:pPr>
          </w:p>
        </w:tc>
      </w:tr>
      <w:tr w14:paraId="7A8770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2D8B2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10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0E013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成品输液包装</w:t>
            </w:r>
          </w:p>
        </w:tc>
        <w:tc>
          <w:tcPr>
            <w:tcW w:w="13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8C0A2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成品输液打包岗位职责（0.5）</w:t>
            </w: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6F969E99">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成品输液核对与包装管理制度（2）</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69199530">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成品输液包装发放规程（1） </w:t>
            </w:r>
          </w:p>
        </w:tc>
        <w:tc>
          <w:tcPr>
            <w:tcW w:w="2204"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1227B16C">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成品输液分拣、包装操作、危害药品溢出处理（3）</w:t>
            </w:r>
          </w:p>
        </w:tc>
      </w:tr>
      <w:tr w14:paraId="79CBE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2D04BC">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070637">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0CF9DE">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59AD8070">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高警示药品使用和管理制度（0.5）</w:t>
            </w:r>
          </w:p>
        </w:tc>
        <w:tc>
          <w:tcPr>
            <w:tcW w:w="1996"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11E74C43">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危害药品溢出处理规程（1）</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CD096A2">
            <w:pPr>
              <w:jc w:val="left"/>
              <w:rPr>
                <w:rFonts w:hint="eastAsia" w:ascii="仿宋" w:hAnsi="仿宋" w:eastAsia="仿宋" w:cs="仿宋"/>
                <w:i w:val="0"/>
                <w:iCs w:val="0"/>
                <w:color w:val="000000"/>
                <w:sz w:val="24"/>
                <w:szCs w:val="24"/>
                <w:u w:val="none"/>
              </w:rPr>
            </w:pPr>
          </w:p>
        </w:tc>
      </w:tr>
      <w:tr w14:paraId="6FDF72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95B399">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146E0C">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894CB6">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31C786C7">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静配中心设施设备管理制度（1）</w:t>
            </w:r>
          </w:p>
        </w:tc>
        <w:tc>
          <w:tcPr>
            <w:tcW w:w="1996"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F5F4DBE">
            <w:pPr>
              <w:jc w:val="left"/>
              <w:rPr>
                <w:rFonts w:hint="eastAsia" w:ascii="仿宋" w:hAnsi="仿宋" w:eastAsia="仿宋" w:cs="仿宋"/>
                <w:i w:val="0"/>
                <w:iCs w:val="0"/>
                <w:color w:val="000000"/>
                <w:sz w:val="24"/>
                <w:szCs w:val="24"/>
                <w:u w:val="none"/>
              </w:rPr>
            </w:pP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498D4A3">
            <w:pPr>
              <w:jc w:val="left"/>
              <w:rPr>
                <w:rFonts w:hint="eastAsia" w:ascii="仿宋" w:hAnsi="仿宋" w:eastAsia="仿宋" w:cs="仿宋"/>
                <w:i w:val="0"/>
                <w:iCs w:val="0"/>
                <w:color w:val="000000"/>
                <w:sz w:val="24"/>
                <w:szCs w:val="24"/>
                <w:u w:val="none"/>
              </w:rPr>
            </w:pPr>
          </w:p>
        </w:tc>
      </w:tr>
      <w:tr w14:paraId="18377C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D02FC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10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72442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教学</w:t>
            </w:r>
          </w:p>
        </w:tc>
        <w:tc>
          <w:tcPr>
            <w:tcW w:w="13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FBB18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教学岗位职责（0.5）</w:t>
            </w: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46482EAD">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静配中心人员岗前培训管理制度（2）</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4AD8BF23">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岗前培训规程（2）</w:t>
            </w:r>
          </w:p>
        </w:tc>
        <w:tc>
          <w:tcPr>
            <w:tcW w:w="2204"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7D012F13">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制订培训计划、编制教学材料和考核材料、组织教学和考核（7）</w:t>
            </w:r>
          </w:p>
        </w:tc>
      </w:tr>
      <w:tr w14:paraId="1180A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366CFE">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756006">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4B2125">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33AB6786">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周期性强化培训制度（2）</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6DD6BEE5">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周期性强化培训规程（2）</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A694B6B">
            <w:pPr>
              <w:jc w:val="left"/>
              <w:rPr>
                <w:rFonts w:hint="eastAsia" w:ascii="仿宋" w:hAnsi="仿宋" w:eastAsia="仿宋" w:cs="仿宋"/>
                <w:i w:val="0"/>
                <w:iCs w:val="0"/>
                <w:color w:val="000000"/>
                <w:sz w:val="24"/>
                <w:szCs w:val="24"/>
                <w:u w:val="none"/>
              </w:rPr>
            </w:pPr>
          </w:p>
        </w:tc>
      </w:tr>
      <w:tr w14:paraId="2D199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F97F2B">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F840B7">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1DF69F">
            <w:pPr>
              <w:jc w:val="center"/>
              <w:rPr>
                <w:rFonts w:hint="eastAsia" w:ascii="仿宋" w:hAnsi="仿宋" w:eastAsia="仿宋" w:cs="仿宋"/>
                <w:i w:val="0"/>
                <w:iCs w:val="0"/>
                <w:color w:val="000000"/>
                <w:sz w:val="24"/>
                <w:szCs w:val="24"/>
                <w:u w:val="none"/>
              </w:rPr>
            </w:pPr>
          </w:p>
        </w:tc>
        <w:tc>
          <w:tcPr>
            <w:tcW w:w="2455"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1D2C21FA">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静配中心人员继续教育培训管理制度（1）</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05B0FD50">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继续教育规程（2）</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484C00D">
            <w:pPr>
              <w:jc w:val="left"/>
              <w:rPr>
                <w:rFonts w:hint="eastAsia" w:ascii="仿宋" w:hAnsi="仿宋" w:eastAsia="仿宋" w:cs="仿宋"/>
                <w:i w:val="0"/>
                <w:iCs w:val="0"/>
                <w:color w:val="000000"/>
                <w:sz w:val="24"/>
                <w:szCs w:val="24"/>
                <w:u w:val="none"/>
              </w:rPr>
            </w:pPr>
          </w:p>
        </w:tc>
      </w:tr>
      <w:tr w14:paraId="6AEE0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8B0138">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3BAF96">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377656">
            <w:pPr>
              <w:jc w:val="center"/>
              <w:rPr>
                <w:rFonts w:hint="eastAsia" w:ascii="仿宋" w:hAnsi="仿宋" w:eastAsia="仿宋" w:cs="仿宋"/>
                <w:i w:val="0"/>
                <w:iCs w:val="0"/>
                <w:color w:val="000000"/>
                <w:sz w:val="24"/>
                <w:szCs w:val="24"/>
                <w:u w:val="none"/>
              </w:rPr>
            </w:pPr>
          </w:p>
        </w:tc>
        <w:tc>
          <w:tcPr>
            <w:tcW w:w="245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6EDEBBE">
            <w:pPr>
              <w:jc w:val="left"/>
              <w:rPr>
                <w:rFonts w:hint="eastAsia" w:ascii="仿宋" w:hAnsi="仿宋" w:eastAsia="仿宋" w:cs="仿宋"/>
                <w:i w:val="0"/>
                <w:iCs w:val="0"/>
                <w:color w:val="000000"/>
                <w:sz w:val="24"/>
                <w:szCs w:val="24"/>
                <w:u w:val="none"/>
              </w:rPr>
            </w:pP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05171EE5">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专项培训规程（2）</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CDCD02E">
            <w:pPr>
              <w:jc w:val="left"/>
              <w:rPr>
                <w:rFonts w:hint="eastAsia" w:ascii="仿宋" w:hAnsi="仿宋" w:eastAsia="仿宋" w:cs="仿宋"/>
                <w:i w:val="0"/>
                <w:iCs w:val="0"/>
                <w:color w:val="000000"/>
                <w:sz w:val="24"/>
                <w:szCs w:val="24"/>
                <w:u w:val="none"/>
              </w:rPr>
            </w:pPr>
          </w:p>
        </w:tc>
      </w:tr>
      <w:tr w14:paraId="5C8DA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75866C">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1FA6F5">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B4FD7B">
            <w:pPr>
              <w:jc w:val="center"/>
              <w:rPr>
                <w:rFonts w:hint="eastAsia" w:ascii="仿宋" w:hAnsi="仿宋" w:eastAsia="仿宋" w:cs="仿宋"/>
                <w:i w:val="0"/>
                <w:iCs w:val="0"/>
                <w:color w:val="000000"/>
                <w:sz w:val="24"/>
                <w:szCs w:val="24"/>
                <w:u w:val="none"/>
              </w:rPr>
            </w:pPr>
          </w:p>
        </w:tc>
        <w:tc>
          <w:tcPr>
            <w:tcW w:w="245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38433F0">
            <w:pPr>
              <w:jc w:val="left"/>
              <w:rPr>
                <w:rFonts w:hint="eastAsia" w:ascii="仿宋" w:hAnsi="仿宋" w:eastAsia="仿宋" w:cs="仿宋"/>
                <w:i w:val="0"/>
                <w:iCs w:val="0"/>
                <w:color w:val="000000"/>
                <w:sz w:val="24"/>
                <w:szCs w:val="24"/>
                <w:u w:val="none"/>
              </w:rPr>
            </w:pP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2EE1E6F4">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教学管理规程（2）</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D6D049D">
            <w:pPr>
              <w:jc w:val="left"/>
              <w:rPr>
                <w:rFonts w:hint="eastAsia" w:ascii="仿宋" w:hAnsi="仿宋" w:eastAsia="仿宋" w:cs="仿宋"/>
                <w:i w:val="0"/>
                <w:iCs w:val="0"/>
                <w:color w:val="000000"/>
                <w:sz w:val="24"/>
                <w:szCs w:val="24"/>
                <w:u w:val="none"/>
              </w:rPr>
            </w:pPr>
          </w:p>
        </w:tc>
      </w:tr>
      <w:tr w14:paraId="5EA4E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49699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10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4482D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考勤员</w:t>
            </w:r>
          </w:p>
        </w:tc>
        <w:tc>
          <w:tcPr>
            <w:tcW w:w="13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CF611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考勤岗位职责（0.5）</w:t>
            </w:r>
          </w:p>
        </w:tc>
        <w:tc>
          <w:tcPr>
            <w:tcW w:w="2455"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75B5EDC0">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静配中心人员考勤管理制度（1）</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5B96FC4A">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考勤规程（2）</w:t>
            </w:r>
          </w:p>
        </w:tc>
        <w:tc>
          <w:tcPr>
            <w:tcW w:w="2204"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588BE0EF">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编制班表、编制考勤表（7）</w:t>
            </w:r>
          </w:p>
        </w:tc>
      </w:tr>
      <w:tr w14:paraId="3F1D7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454C69">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ECB0EC">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4B68CB">
            <w:pPr>
              <w:jc w:val="center"/>
              <w:rPr>
                <w:rFonts w:hint="eastAsia" w:ascii="仿宋" w:hAnsi="仿宋" w:eastAsia="仿宋" w:cs="仿宋"/>
                <w:i w:val="0"/>
                <w:iCs w:val="0"/>
                <w:color w:val="000000"/>
                <w:sz w:val="24"/>
                <w:szCs w:val="24"/>
                <w:u w:val="none"/>
              </w:rPr>
            </w:pPr>
          </w:p>
        </w:tc>
        <w:tc>
          <w:tcPr>
            <w:tcW w:w="245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CA78583">
            <w:pPr>
              <w:jc w:val="left"/>
              <w:rPr>
                <w:rFonts w:hint="eastAsia" w:ascii="仿宋" w:hAnsi="仿宋" w:eastAsia="仿宋" w:cs="仿宋"/>
                <w:i w:val="0"/>
                <w:iCs w:val="0"/>
                <w:color w:val="000000"/>
                <w:sz w:val="24"/>
                <w:szCs w:val="24"/>
                <w:u w:val="none"/>
              </w:rPr>
            </w:pP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4C1A81AA">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员工健康监测和体检规程（1）</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29455FE">
            <w:pPr>
              <w:jc w:val="left"/>
              <w:rPr>
                <w:rFonts w:hint="eastAsia" w:ascii="仿宋" w:hAnsi="仿宋" w:eastAsia="仿宋" w:cs="仿宋"/>
                <w:i w:val="0"/>
                <w:iCs w:val="0"/>
                <w:color w:val="000000"/>
                <w:sz w:val="24"/>
                <w:szCs w:val="24"/>
                <w:u w:val="none"/>
              </w:rPr>
            </w:pPr>
          </w:p>
        </w:tc>
      </w:tr>
      <w:tr w14:paraId="3CB09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0A5D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6DDB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静脉用药管理与服务</w:t>
            </w:r>
          </w:p>
        </w:tc>
        <w:tc>
          <w:tcPr>
            <w:tcW w:w="13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71A47">
            <w:pPr>
              <w:keepNext w:val="0"/>
              <w:keepLines w:val="0"/>
              <w:widowControl/>
              <w:suppressLineNumbers w:val="0"/>
              <w:ind w:firstLineChars="10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静脉用药管理与服务岗位职责（0.5）</w:t>
            </w: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004E9743">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用药医嘱审核工作制度（2）</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774048D0">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药学服务规程（4）</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top"/>
          </w:tcPr>
          <w:p w14:paraId="4BD1B0C1">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成品输液稳定性和无菌检查研究、病区巡视、处理临床用药咨询（7）</w:t>
            </w:r>
          </w:p>
        </w:tc>
      </w:tr>
      <w:tr w14:paraId="0F4FD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220B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EB2C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处方点评</w:t>
            </w:r>
          </w:p>
        </w:tc>
        <w:tc>
          <w:tcPr>
            <w:tcW w:w="13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F7442">
            <w:pPr>
              <w:keepNext w:val="0"/>
              <w:keepLines w:val="0"/>
              <w:widowControl/>
              <w:suppressLineNumbers w:val="0"/>
              <w:ind w:firstLineChars="10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处方点评岗位职责（0.5）</w:t>
            </w: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0FF93AFD">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处方点评工作制度（2）</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6BBE7D00">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处方点评工作规程（3）</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top"/>
          </w:tcPr>
          <w:p w14:paraId="36DD580C">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处方点评（7）</w:t>
            </w:r>
          </w:p>
        </w:tc>
      </w:tr>
      <w:tr w14:paraId="6CD26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BA133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10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54BD3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质量控制</w:t>
            </w:r>
          </w:p>
        </w:tc>
        <w:tc>
          <w:tcPr>
            <w:tcW w:w="13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559DE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质量控制岗 位职责（0.5）</w:t>
            </w: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48F1374A">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药品不良事件报告制度（1）</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07F145CE">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药品不良事件报告规程（1）</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top"/>
          </w:tcPr>
          <w:p w14:paraId="635F2EE1">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药品不良反应报告、药品不良事件报告（1）</w:t>
            </w:r>
          </w:p>
        </w:tc>
      </w:tr>
      <w:tr w14:paraId="157F7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871DF2">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EF462B">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36A0E6">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7D1AE0A5">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差错管理制度（1）</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1C4F4344">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成品输液质量监测规程（建议）（1）</w:t>
            </w:r>
          </w:p>
        </w:tc>
        <w:tc>
          <w:tcPr>
            <w:tcW w:w="2204"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3802AA5D">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输液反应报告、“处方审核”质控、无菌操作质控、成品输液留样检测、空气监测、物体表面监测、手卫生监测和手套指尖监测（10）</w:t>
            </w:r>
          </w:p>
        </w:tc>
      </w:tr>
      <w:tr w14:paraId="596C3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F4AAF7">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798A57">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73C612">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007D4292">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绩效考核制度（2）</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45966185">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空气中微生物监测规程（2）</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6A6EF2C">
            <w:pPr>
              <w:jc w:val="left"/>
              <w:rPr>
                <w:rFonts w:hint="eastAsia" w:ascii="仿宋" w:hAnsi="仿宋" w:eastAsia="仿宋" w:cs="仿宋"/>
                <w:i w:val="0"/>
                <w:iCs w:val="0"/>
                <w:color w:val="000000"/>
                <w:sz w:val="24"/>
                <w:szCs w:val="24"/>
                <w:u w:val="none"/>
              </w:rPr>
            </w:pPr>
          </w:p>
        </w:tc>
      </w:tr>
      <w:tr w14:paraId="21A7E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22E4F7">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A60228">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6E0B91">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5C2806A2">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静配中心人员考勤管理制度（2）</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1C1D7BA7">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空气中尘埃粒子监测规程（2）</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C60424F">
            <w:pPr>
              <w:jc w:val="left"/>
              <w:rPr>
                <w:rFonts w:hint="eastAsia" w:ascii="仿宋" w:hAnsi="仿宋" w:eastAsia="仿宋" w:cs="仿宋"/>
                <w:i w:val="0"/>
                <w:iCs w:val="0"/>
                <w:color w:val="000000"/>
                <w:sz w:val="24"/>
                <w:szCs w:val="24"/>
                <w:u w:val="none"/>
              </w:rPr>
            </w:pPr>
          </w:p>
        </w:tc>
      </w:tr>
      <w:tr w14:paraId="2B7F2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1D91D0">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5E1ED3">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C04BA4">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003C9429">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洁净区清场、清洁、消毒工作 制度（2）</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27298A02">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物体表面监测规程（2）</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890DCDE">
            <w:pPr>
              <w:jc w:val="left"/>
              <w:rPr>
                <w:rFonts w:hint="eastAsia" w:ascii="仿宋" w:hAnsi="仿宋" w:eastAsia="仿宋" w:cs="仿宋"/>
                <w:i w:val="0"/>
                <w:iCs w:val="0"/>
                <w:color w:val="000000"/>
                <w:sz w:val="24"/>
                <w:szCs w:val="24"/>
                <w:u w:val="none"/>
              </w:rPr>
            </w:pPr>
          </w:p>
        </w:tc>
      </w:tr>
      <w:tr w14:paraId="3BA69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3467F6">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7E67BE">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1F12B5">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63933A6B">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洁净区环境监测管理制度（2）</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79CC960A">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手卫生监测和手套指尖监测（2）</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E9833EE">
            <w:pPr>
              <w:jc w:val="left"/>
              <w:rPr>
                <w:rFonts w:hint="eastAsia" w:ascii="仿宋" w:hAnsi="仿宋" w:eastAsia="仿宋" w:cs="仿宋"/>
                <w:i w:val="0"/>
                <w:iCs w:val="0"/>
                <w:color w:val="000000"/>
                <w:sz w:val="24"/>
                <w:szCs w:val="24"/>
                <w:u w:val="none"/>
              </w:rPr>
            </w:pPr>
          </w:p>
        </w:tc>
      </w:tr>
      <w:tr w14:paraId="7C037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7D76BB">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68BD9D">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644DED">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494B44D1">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高警示药品使用和管理制度（0.5）</w:t>
            </w:r>
          </w:p>
        </w:tc>
        <w:tc>
          <w:tcPr>
            <w:tcW w:w="1996"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1CCFCB96">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空气处理机组检测与维护规（1）</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B9E8B1E">
            <w:pPr>
              <w:jc w:val="left"/>
              <w:rPr>
                <w:rFonts w:hint="eastAsia" w:ascii="仿宋" w:hAnsi="仿宋" w:eastAsia="仿宋" w:cs="仿宋"/>
                <w:i w:val="0"/>
                <w:iCs w:val="0"/>
                <w:color w:val="000000"/>
                <w:sz w:val="24"/>
                <w:szCs w:val="24"/>
                <w:u w:val="none"/>
              </w:rPr>
            </w:pPr>
          </w:p>
        </w:tc>
      </w:tr>
      <w:tr w14:paraId="4616E9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B20758">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F83EDC">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A90EE0">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183BD350">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易混淆药品管理制度（0.5）</w:t>
            </w:r>
          </w:p>
        </w:tc>
        <w:tc>
          <w:tcPr>
            <w:tcW w:w="1996"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C5230B8">
            <w:pPr>
              <w:jc w:val="left"/>
              <w:rPr>
                <w:rFonts w:hint="eastAsia" w:ascii="仿宋" w:hAnsi="仿宋" w:eastAsia="仿宋" w:cs="仿宋"/>
                <w:i w:val="0"/>
                <w:iCs w:val="0"/>
                <w:color w:val="000000"/>
                <w:sz w:val="24"/>
                <w:szCs w:val="24"/>
                <w:u w:val="none"/>
              </w:rPr>
            </w:pP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913B2EC">
            <w:pPr>
              <w:jc w:val="left"/>
              <w:rPr>
                <w:rFonts w:hint="eastAsia" w:ascii="仿宋" w:hAnsi="仿宋" w:eastAsia="仿宋" w:cs="仿宋"/>
                <w:i w:val="0"/>
                <w:iCs w:val="0"/>
                <w:color w:val="000000"/>
                <w:sz w:val="24"/>
                <w:szCs w:val="24"/>
                <w:u w:val="none"/>
              </w:rPr>
            </w:pPr>
          </w:p>
        </w:tc>
      </w:tr>
      <w:tr w14:paraId="57638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CB229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10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C040E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药品管理</w:t>
            </w:r>
          </w:p>
        </w:tc>
        <w:tc>
          <w:tcPr>
            <w:tcW w:w="13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23368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药品管理岗位职责（0.5）</w:t>
            </w: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03729995">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药品管理法规（2）</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64F5AB6F">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药品管理规程（5）</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top"/>
          </w:tcPr>
          <w:p w14:paraId="60856CB1">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药品领用、验收、入库、盘点、养护（3）</w:t>
            </w:r>
          </w:p>
        </w:tc>
      </w:tr>
      <w:tr w14:paraId="337C7B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29CB86">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EFD9DD">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EE2C3D">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3E175AB8">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高警示药品使用和管理制（0.5）</w:t>
            </w:r>
          </w:p>
        </w:tc>
        <w:tc>
          <w:tcPr>
            <w:tcW w:w="1996"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43B4AD81">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危害药品溢出处理规程（1）</w:t>
            </w:r>
          </w:p>
        </w:tc>
        <w:tc>
          <w:tcPr>
            <w:tcW w:w="2204"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3827959F">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危害药品溢出处理（7）</w:t>
            </w:r>
          </w:p>
        </w:tc>
      </w:tr>
      <w:tr w14:paraId="6BB00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923714">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E11273">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CED39C">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3FE2A1B4">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易混淆药品管理制度（0.5）</w:t>
            </w:r>
          </w:p>
        </w:tc>
        <w:tc>
          <w:tcPr>
            <w:tcW w:w="1996"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95D998D">
            <w:pPr>
              <w:jc w:val="left"/>
              <w:rPr>
                <w:rFonts w:hint="eastAsia" w:ascii="仿宋" w:hAnsi="仿宋" w:eastAsia="仿宋" w:cs="仿宋"/>
                <w:i w:val="0"/>
                <w:iCs w:val="0"/>
                <w:color w:val="000000"/>
                <w:sz w:val="24"/>
                <w:szCs w:val="24"/>
                <w:u w:val="none"/>
              </w:rPr>
            </w:pP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3A02F60">
            <w:pPr>
              <w:jc w:val="left"/>
              <w:rPr>
                <w:rFonts w:hint="eastAsia" w:ascii="仿宋" w:hAnsi="仿宋" w:eastAsia="仿宋" w:cs="仿宋"/>
                <w:i w:val="0"/>
                <w:iCs w:val="0"/>
                <w:color w:val="000000"/>
                <w:sz w:val="24"/>
                <w:szCs w:val="24"/>
                <w:u w:val="none"/>
              </w:rPr>
            </w:pPr>
          </w:p>
        </w:tc>
      </w:tr>
      <w:tr w14:paraId="5CA55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4FC4EE">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F9F4F0">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C12C0E">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4B876424">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静配中心设施设备管理制度（1）</w:t>
            </w:r>
          </w:p>
        </w:tc>
        <w:tc>
          <w:tcPr>
            <w:tcW w:w="1996"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5E5ED0E">
            <w:pPr>
              <w:jc w:val="left"/>
              <w:rPr>
                <w:rFonts w:hint="eastAsia" w:ascii="仿宋" w:hAnsi="仿宋" w:eastAsia="仿宋" w:cs="仿宋"/>
                <w:i w:val="0"/>
                <w:iCs w:val="0"/>
                <w:color w:val="000000"/>
                <w:sz w:val="24"/>
                <w:szCs w:val="24"/>
                <w:u w:val="none"/>
              </w:rPr>
            </w:pP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F1490C2">
            <w:pPr>
              <w:jc w:val="left"/>
              <w:rPr>
                <w:rFonts w:hint="eastAsia" w:ascii="仿宋" w:hAnsi="仿宋" w:eastAsia="仿宋" w:cs="仿宋"/>
                <w:i w:val="0"/>
                <w:iCs w:val="0"/>
                <w:color w:val="000000"/>
                <w:sz w:val="24"/>
                <w:szCs w:val="24"/>
                <w:u w:val="none"/>
              </w:rPr>
            </w:pPr>
          </w:p>
        </w:tc>
      </w:tr>
      <w:tr w14:paraId="3D3ED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8EA2A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10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5FB00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耗材物料管理</w:t>
            </w:r>
          </w:p>
        </w:tc>
        <w:tc>
          <w:tcPr>
            <w:tcW w:w="13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C2167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耗材物料管理岗位职责（0.5）</w:t>
            </w: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21513AC8">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耗材物料管理制度（2）</w:t>
            </w:r>
          </w:p>
        </w:tc>
        <w:tc>
          <w:tcPr>
            <w:tcW w:w="1996"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0CD76C09">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普通耗材及物料管理规程（1） 无菌耗材管理规程（1）</w:t>
            </w:r>
          </w:p>
        </w:tc>
        <w:tc>
          <w:tcPr>
            <w:tcW w:w="2204"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7C35BB70">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耗材物料领用、验收、入库、盘点、养护（3）</w:t>
            </w:r>
          </w:p>
        </w:tc>
      </w:tr>
      <w:tr w14:paraId="25A7C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A6A72C">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47471B">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9560F0">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04EB8A73">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静配中心设施设备管理制度（1）</w:t>
            </w:r>
          </w:p>
        </w:tc>
        <w:tc>
          <w:tcPr>
            <w:tcW w:w="1996"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BEE6899">
            <w:pPr>
              <w:jc w:val="left"/>
              <w:rPr>
                <w:rFonts w:hint="eastAsia" w:ascii="仿宋" w:hAnsi="仿宋" w:eastAsia="仿宋" w:cs="仿宋"/>
                <w:i w:val="0"/>
                <w:iCs w:val="0"/>
                <w:color w:val="000000"/>
                <w:sz w:val="24"/>
                <w:szCs w:val="24"/>
                <w:u w:val="none"/>
              </w:rPr>
            </w:pP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0E13E5D">
            <w:pPr>
              <w:jc w:val="left"/>
              <w:rPr>
                <w:rFonts w:hint="eastAsia" w:ascii="仿宋" w:hAnsi="仿宋" w:eastAsia="仿宋" w:cs="仿宋"/>
                <w:i w:val="0"/>
                <w:iCs w:val="0"/>
                <w:color w:val="000000"/>
                <w:sz w:val="24"/>
                <w:szCs w:val="24"/>
                <w:u w:val="none"/>
              </w:rPr>
            </w:pPr>
          </w:p>
        </w:tc>
      </w:tr>
      <w:tr w14:paraId="5A909E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9008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1C57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文件保管员</w:t>
            </w:r>
          </w:p>
        </w:tc>
        <w:tc>
          <w:tcPr>
            <w:tcW w:w="13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5ED08">
            <w:pPr>
              <w:keepNext w:val="0"/>
              <w:keepLines w:val="0"/>
              <w:widowControl/>
              <w:suppressLineNumbers w:val="0"/>
              <w:ind w:firstLineChars="10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文件保管岗位职责（0.5）</w:t>
            </w: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03DFC480">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文件管理工作制度（2）</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22B0BD2D">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文件管理规程（2）</w:t>
            </w:r>
          </w:p>
        </w:tc>
        <w:tc>
          <w:tcPr>
            <w:tcW w:w="2204" w:type="dxa"/>
            <w:tcBorders>
              <w:top w:val="single" w:color="000000" w:sz="4" w:space="0"/>
              <w:left w:val="single" w:color="000000" w:sz="4" w:space="0"/>
              <w:bottom w:val="single" w:color="000000" w:sz="4" w:space="0"/>
              <w:right w:val="single" w:color="000000" w:sz="4" w:space="0"/>
            </w:tcBorders>
            <w:shd w:val="clear" w:color="auto" w:fill="auto"/>
            <w:vAlign w:val="top"/>
          </w:tcPr>
          <w:p w14:paraId="47E482A4">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文件归档整理（3）</w:t>
            </w:r>
          </w:p>
        </w:tc>
      </w:tr>
      <w:tr w14:paraId="0D9D1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31017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10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D61F1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药品物品脱外包装</w:t>
            </w:r>
          </w:p>
        </w:tc>
        <w:tc>
          <w:tcPr>
            <w:tcW w:w="13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2E239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药品物品脱外包装岗位职责（0.5）</w:t>
            </w: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7685AE6E">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药品管理制度（0.5）</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7D7B61BF">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药品物品脱外包装规程（1）</w:t>
            </w:r>
          </w:p>
        </w:tc>
        <w:tc>
          <w:tcPr>
            <w:tcW w:w="2204"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54ED9EBE">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药品物品脱外包装、危害药品溢出处理、锐器刺伤处理（1）</w:t>
            </w:r>
          </w:p>
        </w:tc>
      </w:tr>
      <w:tr w14:paraId="2EB87C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EA76D1">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DFDE2B">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19FA26">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750FACD1">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医疗废物处理管理制度（0.5）</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4A2E1F99">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危害药品溢出处理规程（1）</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9647EF7">
            <w:pPr>
              <w:jc w:val="left"/>
              <w:rPr>
                <w:rFonts w:hint="eastAsia" w:ascii="仿宋" w:hAnsi="仿宋" w:eastAsia="仿宋" w:cs="仿宋"/>
                <w:i w:val="0"/>
                <w:iCs w:val="0"/>
                <w:color w:val="000000"/>
                <w:sz w:val="24"/>
                <w:szCs w:val="24"/>
                <w:u w:val="none"/>
              </w:rPr>
            </w:pPr>
          </w:p>
        </w:tc>
      </w:tr>
      <w:tr w14:paraId="0D423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9EF7FD">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E85867">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F00E96">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48CE05AF">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高警示药品使用和管理制度（0.5）</w:t>
            </w:r>
          </w:p>
        </w:tc>
        <w:tc>
          <w:tcPr>
            <w:tcW w:w="1996"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5A2ACFDB">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锐器刺伤处理规程（0.5）</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5FE8A21">
            <w:pPr>
              <w:jc w:val="left"/>
              <w:rPr>
                <w:rFonts w:hint="eastAsia" w:ascii="仿宋" w:hAnsi="仿宋" w:eastAsia="仿宋" w:cs="仿宋"/>
                <w:i w:val="0"/>
                <w:iCs w:val="0"/>
                <w:color w:val="000000"/>
                <w:sz w:val="24"/>
                <w:szCs w:val="24"/>
                <w:u w:val="none"/>
              </w:rPr>
            </w:pPr>
          </w:p>
        </w:tc>
      </w:tr>
      <w:tr w14:paraId="72F11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54C213">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649693">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2EBFEB">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1773E096">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易混淆药品管理制度（0.5）</w:t>
            </w:r>
          </w:p>
        </w:tc>
        <w:tc>
          <w:tcPr>
            <w:tcW w:w="1996"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D276CC9">
            <w:pPr>
              <w:jc w:val="left"/>
              <w:rPr>
                <w:rFonts w:hint="eastAsia" w:ascii="仿宋" w:hAnsi="仿宋" w:eastAsia="仿宋" w:cs="仿宋"/>
                <w:i w:val="0"/>
                <w:iCs w:val="0"/>
                <w:color w:val="000000"/>
                <w:sz w:val="24"/>
                <w:szCs w:val="24"/>
                <w:u w:val="none"/>
              </w:rPr>
            </w:pP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F2CEDAD">
            <w:pPr>
              <w:jc w:val="left"/>
              <w:rPr>
                <w:rFonts w:hint="eastAsia" w:ascii="仿宋" w:hAnsi="仿宋" w:eastAsia="仿宋" w:cs="仿宋"/>
                <w:i w:val="0"/>
                <w:iCs w:val="0"/>
                <w:color w:val="000000"/>
                <w:sz w:val="24"/>
                <w:szCs w:val="24"/>
                <w:u w:val="none"/>
              </w:rPr>
            </w:pPr>
          </w:p>
        </w:tc>
      </w:tr>
      <w:tr w14:paraId="4DB23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F19E47">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855C51">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88EF09">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77DD332A">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静配中心设施设备管理制度（1）</w:t>
            </w:r>
          </w:p>
        </w:tc>
        <w:tc>
          <w:tcPr>
            <w:tcW w:w="1996"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027048A">
            <w:pPr>
              <w:jc w:val="left"/>
              <w:rPr>
                <w:rFonts w:hint="eastAsia" w:ascii="仿宋" w:hAnsi="仿宋" w:eastAsia="仿宋" w:cs="仿宋"/>
                <w:i w:val="0"/>
                <w:iCs w:val="0"/>
                <w:color w:val="000000"/>
                <w:sz w:val="24"/>
                <w:szCs w:val="24"/>
                <w:u w:val="none"/>
              </w:rPr>
            </w:pP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D8CCF27">
            <w:pPr>
              <w:jc w:val="left"/>
              <w:rPr>
                <w:rFonts w:hint="eastAsia" w:ascii="仿宋" w:hAnsi="仿宋" w:eastAsia="仿宋" w:cs="仿宋"/>
                <w:i w:val="0"/>
                <w:iCs w:val="0"/>
                <w:color w:val="000000"/>
                <w:sz w:val="24"/>
                <w:szCs w:val="24"/>
                <w:u w:val="none"/>
              </w:rPr>
            </w:pPr>
          </w:p>
        </w:tc>
      </w:tr>
      <w:tr w14:paraId="7BDCF0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87F79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c>
          <w:tcPr>
            <w:tcW w:w="10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5241B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清洁</w:t>
            </w:r>
          </w:p>
        </w:tc>
        <w:tc>
          <w:tcPr>
            <w:tcW w:w="13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73B4E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清洁岗位职 责（0.5）</w:t>
            </w: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05858B93">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非洁净区清场、清洁、消毒工作制度（1）</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38925F43">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非洁净控制区清洁、消毒规（1）</w:t>
            </w:r>
          </w:p>
        </w:tc>
        <w:tc>
          <w:tcPr>
            <w:tcW w:w="2204"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52C60D2C">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消毒液调配、环境清洁、篮筐清洗、医疗废物转运、危害药品溢出处理（1）</w:t>
            </w:r>
          </w:p>
        </w:tc>
      </w:tr>
      <w:tr w14:paraId="5F112C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D718FA">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26BD3E">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8A1AE7">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11AD262C">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医疗废物处理管理制度（0.5）</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4864F9D8">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辅助工作区清洁、消毒规程（1）</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E01C3E3">
            <w:pPr>
              <w:jc w:val="left"/>
              <w:rPr>
                <w:rFonts w:hint="eastAsia" w:ascii="仿宋" w:hAnsi="仿宋" w:eastAsia="仿宋" w:cs="仿宋"/>
                <w:i w:val="0"/>
                <w:iCs w:val="0"/>
                <w:color w:val="000000"/>
                <w:sz w:val="24"/>
                <w:szCs w:val="24"/>
                <w:u w:val="none"/>
              </w:rPr>
            </w:pPr>
          </w:p>
        </w:tc>
      </w:tr>
      <w:tr w14:paraId="14198E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76F588">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0FAAA1">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D044B1">
            <w:pPr>
              <w:jc w:val="center"/>
              <w:rPr>
                <w:rFonts w:hint="eastAsia" w:ascii="仿宋" w:hAnsi="仿宋" w:eastAsia="仿宋" w:cs="仿宋"/>
                <w:i w:val="0"/>
                <w:iCs w:val="0"/>
                <w:color w:val="000000"/>
                <w:sz w:val="24"/>
                <w:szCs w:val="24"/>
                <w:u w:val="none"/>
              </w:rPr>
            </w:pPr>
          </w:p>
        </w:tc>
        <w:tc>
          <w:tcPr>
            <w:tcW w:w="2455"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58C36138">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静配中心设施设备管理制度（1）</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641D220C">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清洁工具的清洁、消毒规程（1）</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A7A58FF">
            <w:pPr>
              <w:jc w:val="left"/>
              <w:rPr>
                <w:rFonts w:hint="eastAsia" w:ascii="仿宋" w:hAnsi="仿宋" w:eastAsia="仿宋" w:cs="仿宋"/>
                <w:i w:val="0"/>
                <w:iCs w:val="0"/>
                <w:color w:val="000000"/>
                <w:sz w:val="24"/>
                <w:szCs w:val="24"/>
                <w:u w:val="none"/>
              </w:rPr>
            </w:pPr>
          </w:p>
        </w:tc>
      </w:tr>
      <w:tr w14:paraId="46627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B6E856">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6056C4">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AF7EB9">
            <w:pPr>
              <w:jc w:val="center"/>
              <w:rPr>
                <w:rFonts w:hint="eastAsia" w:ascii="仿宋" w:hAnsi="仿宋" w:eastAsia="仿宋" w:cs="仿宋"/>
                <w:i w:val="0"/>
                <w:iCs w:val="0"/>
                <w:color w:val="000000"/>
                <w:sz w:val="24"/>
                <w:szCs w:val="24"/>
                <w:u w:val="none"/>
              </w:rPr>
            </w:pPr>
          </w:p>
        </w:tc>
        <w:tc>
          <w:tcPr>
            <w:tcW w:w="245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A20C812">
            <w:pPr>
              <w:jc w:val="left"/>
              <w:rPr>
                <w:rFonts w:hint="eastAsia" w:ascii="仿宋" w:hAnsi="仿宋" w:eastAsia="仿宋" w:cs="仿宋"/>
                <w:i w:val="0"/>
                <w:iCs w:val="0"/>
                <w:color w:val="000000"/>
                <w:sz w:val="24"/>
                <w:szCs w:val="24"/>
                <w:u w:val="none"/>
              </w:rPr>
            </w:pP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40292976">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危害药品溢出处理规程（1）</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55CAED9">
            <w:pPr>
              <w:jc w:val="left"/>
              <w:rPr>
                <w:rFonts w:hint="eastAsia" w:ascii="仿宋" w:hAnsi="仿宋" w:eastAsia="仿宋" w:cs="仿宋"/>
                <w:i w:val="0"/>
                <w:iCs w:val="0"/>
                <w:color w:val="000000"/>
                <w:sz w:val="24"/>
                <w:szCs w:val="24"/>
                <w:u w:val="none"/>
              </w:rPr>
            </w:pPr>
          </w:p>
        </w:tc>
      </w:tr>
      <w:tr w14:paraId="3E3D3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0A8B9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w:t>
            </w:r>
          </w:p>
        </w:tc>
        <w:tc>
          <w:tcPr>
            <w:tcW w:w="10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9D9FF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成品输液运送</w:t>
            </w:r>
          </w:p>
        </w:tc>
        <w:tc>
          <w:tcPr>
            <w:tcW w:w="13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B3D48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成品输液运 送岗位职责（0.5）</w:t>
            </w: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035097D4">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成品输液发放运送管理制度（1）</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top"/>
          </w:tcPr>
          <w:p w14:paraId="174CE5B6">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成品输液运送和交接操作规（1） </w:t>
            </w:r>
          </w:p>
        </w:tc>
        <w:tc>
          <w:tcPr>
            <w:tcW w:w="2204"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1AA0CD05">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成品输液交接、成品输液运送、危害药品溢出处理（1）</w:t>
            </w:r>
          </w:p>
        </w:tc>
      </w:tr>
      <w:tr w14:paraId="074BD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6A1B96">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4D27D2">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AA3D34">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2BA65E84">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高警示药品使用和管理制（0.5）</w:t>
            </w:r>
          </w:p>
        </w:tc>
        <w:tc>
          <w:tcPr>
            <w:tcW w:w="1996"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2F3C7BA1">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危害药品溢出处理规程（1）</w:t>
            </w: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3E419EB">
            <w:pPr>
              <w:jc w:val="left"/>
              <w:rPr>
                <w:rFonts w:hint="eastAsia" w:ascii="仿宋" w:hAnsi="仿宋" w:eastAsia="仿宋" w:cs="仿宋"/>
                <w:i w:val="0"/>
                <w:iCs w:val="0"/>
                <w:color w:val="000000"/>
                <w:sz w:val="24"/>
                <w:szCs w:val="24"/>
                <w:u w:val="none"/>
              </w:rPr>
            </w:pPr>
          </w:p>
        </w:tc>
      </w:tr>
      <w:tr w14:paraId="5EAC08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E52EDD">
            <w:pPr>
              <w:jc w:val="center"/>
              <w:rPr>
                <w:rFonts w:hint="eastAsia" w:ascii="仿宋" w:hAnsi="仿宋" w:eastAsia="仿宋" w:cs="仿宋"/>
                <w:i w:val="0"/>
                <w:iCs w:val="0"/>
                <w:color w:val="000000"/>
                <w:sz w:val="24"/>
                <w:szCs w:val="24"/>
                <w:u w:val="none"/>
              </w:rPr>
            </w:pPr>
          </w:p>
        </w:tc>
        <w:tc>
          <w:tcPr>
            <w:tcW w:w="10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165C2F">
            <w:pPr>
              <w:jc w:val="center"/>
              <w:rPr>
                <w:rFonts w:hint="eastAsia" w:ascii="仿宋" w:hAnsi="仿宋" w:eastAsia="仿宋" w:cs="仿宋"/>
                <w:i w:val="0"/>
                <w:iCs w:val="0"/>
                <w:color w:val="000000"/>
                <w:sz w:val="24"/>
                <w:szCs w:val="24"/>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449EF8">
            <w:pPr>
              <w:jc w:val="center"/>
              <w:rPr>
                <w:rFonts w:hint="eastAsia" w:ascii="仿宋" w:hAnsi="仿宋" w:eastAsia="仿宋" w:cs="仿宋"/>
                <w:i w:val="0"/>
                <w:iCs w:val="0"/>
                <w:color w:val="000000"/>
                <w:sz w:val="24"/>
                <w:szCs w:val="24"/>
                <w:u w:val="none"/>
              </w:rPr>
            </w:pP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top"/>
          </w:tcPr>
          <w:p w14:paraId="57667D6C">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静配中心设施设备管理制度（1）</w:t>
            </w:r>
          </w:p>
        </w:tc>
        <w:tc>
          <w:tcPr>
            <w:tcW w:w="1996"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B1558E9">
            <w:pPr>
              <w:jc w:val="left"/>
              <w:rPr>
                <w:rFonts w:hint="eastAsia" w:ascii="仿宋" w:hAnsi="仿宋" w:eastAsia="仿宋" w:cs="仿宋"/>
                <w:i w:val="0"/>
                <w:iCs w:val="0"/>
                <w:color w:val="000000"/>
                <w:sz w:val="24"/>
                <w:szCs w:val="24"/>
                <w:u w:val="none"/>
              </w:rPr>
            </w:pPr>
          </w:p>
        </w:tc>
        <w:tc>
          <w:tcPr>
            <w:tcW w:w="220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38FF259">
            <w:pPr>
              <w:jc w:val="left"/>
              <w:rPr>
                <w:rFonts w:hint="eastAsia" w:ascii="仿宋" w:hAnsi="仿宋" w:eastAsia="仿宋" w:cs="仿宋"/>
                <w:i w:val="0"/>
                <w:iCs w:val="0"/>
                <w:color w:val="000000"/>
                <w:sz w:val="24"/>
                <w:szCs w:val="24"/>
                <w:u w:val="none"/>
              </w:rPr>
            </w:pPr>
          </w:p>
        </w:tc>
      </w:tr>
      <w:tr w14:paraId="6A4D2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51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9408CA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注</w:t>
            </w:r>
            <w:r>
              <w:rPr>
                <w:rStyle w:val="7"/>
                <w:rFonts w:hint="eastAsia" w:ascii="仿宋" w:hAnsi="仿宋" w:eastAsia="仿宋" w:cs="仿宋"/>
                <w:sz w:val="24"/>
                <w:szCs w:val="24"/>
                <w:lang w:val="en-US" w:eastAsia="zh-CN" w:bidi="ar"/>
              </w:rPr>
              <w:t>：所有进入静配中心工作的人员需先学习《静配中心安全管理制度》和《突发事件应急处理制度》</w:t>
            </w:r>
          </w:p>
        </w:tc>
      </w:tr>
    </w:tbl>
    <w:p w14:paraId="51DB43D4">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p>
    <w:p w14:paraId="619D024F">
      <w:pPr>
        <w:pStyle w:val="2"/>
        <w:keepNext w:val="0"/>
        <w:keepLines w:val="0"/>
        <w:widowControl/>
        <w:suppressLineNumbers w:val="0"/>
        <w:spacing w:before="0" w:beforeAutospacing="0" w:after="0" w:afterAutospacing="0"/>
        <w:ind w:left="0" w:right="0"/>
        <w:jc w:val="both"/>
        <w:rPr>
          <w:rFonts w:hint="default" w:ascii="仿宋" w:hAnsi="仿宋" w:eastAsia="仿宋" w:cs="仿宋"/>
          <w:b/>
          <w:bCs/>
          <w:i w:val="0"/>
          <w:iCs w:val="0"/>
          <w:caps w:val="0"/>
          <w:color w:val="000000"/>
          <w:spacing w:val="0"/>
          <w:sz w:val="24"/>
          <w:szCs w:val="24"/>
          <w:vertAlign w:val="baseline"/>
          <w:lang w:val="en-US" w:eastAsia="zh-CN"/>
        </w:rPr>
      </w:pPr>
      <w:r>
        <w:rPr>
          <w:rFonts w:hint="eastAsia" w:ascii="仿宋" w:hAnsi="仿宋" w:eastAsia="仿宋" w:cs="仿宋"/>
          <w:b/>
          <w:bCs/>
          <w:i w:val="0"/>
          <w:iCs w:val="0"/>
          <w:caps w:val="0"/>
          <w:color w:val="000000"/>
          <w:spacing w:val="0"/>
          <w:sz w:val="24"/>
          <w:szCs w:val="24"/>
          <w:vertAlign w:val="baseline"/>
          <w:lang w:val="en-US" w:eastAsia="zh-CN"/>
        </w:rPr>
        <w:t>附表3 静配中心药学人员周期强化培训内容及考核方案</w:t>
      </w:r>
    </w:p>
    <w:tbl>
      <w:tblPr>
        <w:tblStyle w:val="3"/>
        <w:tblW w:w="9483"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69"/>
        <w:gridCol w:w="2552"/>
        <w:gridCol w:w="1447"/>
        <w:gridCol w:w="1812"/>
        <w:gridCol w:w="2403"/>
      </w:tblGrid>
      <w:tr w14:paraId="0E33E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2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D424D8">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培训形式</w:t>
            </w:r>
          </w:p>
        </w:tc>
        <w:tc>
          <w:tcPr>
            <w:tcW w:w="2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4C117E">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培训内容</w:t>
            </w:r>
          </w:p>
        </w:tc>
        <w:tc>
          <w:tcPr>
            <w:tcW w:w="56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4B2EAA">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考核方案</w:t>
            </w:r>
          </w:p>
        </w:tc>
      </w:tr>
      <w:tr w14:paraId="58E91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12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77DAAF">
            <w:pPr>
              <w:jc w:val="center"/>
              <w:rPr>
                <w:rFonts w:hint="eastAsia" w:ascii="仿宋" w:hAnsi="仿宋" w:eastAsia="仿宋" w:cs="仿宋"/>
                <w:b/>
                <w:bCs/>
                <w:i w:val="0"/>
                <w:iCs w:val="0"/>
                <w:color w:val="000000"/>
                <w:sz w:val="24"/>
                <w:szCs w:val="24"/>
                <w:u w:val="none"/>
              </w:rPr>
            </w:pPr>
          </w:p>
        </w:tc>
        <w:tc>
          <w:tcPr>
            <w:tcW w:w="2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168844">
            <w:pPr>
              <w:jc w:val="center"/>
              <w:rPr>
                <w:rFonts w:hint="eastAsia" w:ascii="仿宋" w:hAnsi="仿宋" w:eastAsia="仿宋" w:cs="仿宋"/>
                <w:b/>
                <w:bCs/>
                <w:i w:val="0"/>
                <w:iCs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A022D">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考核形式</w:t>
            </w:r>
          </w:p>
        </w:tc>
        <w:tc>
          <w:tcPr>
            <w:tcW w:w="1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A5072">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考核时机</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27E89">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主要考核指标</w:t>
            </w:r>
          </w:p>
        </w:tc>
      </w:tr>
      <w:tr w14:paraId="3E5EFD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0" w:hRule="atLeast"/>
        </w:trPr>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6A73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操作实践</w:t>
            </w:r>
          </w:p>
        </w:tc>
        <w:tc>
          <w:tcPr>
            <w:tcW w:w="25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83020">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①各岗位操作规程的规范性培训</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②不同药物品种调配技术的规范性、熟练性培训</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③洁净环境监测技术培训</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④医嘱审核与干预技能培训等</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03DA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技能考核</w:t>
            </w:r>
          </w:p>
        </w:tc>
        <w:tc>
          <w:tcPr>
            <w:tcW w:w="1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68B6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1次/年～2次/年</w:t>
            </w:r>
          </w:p>
        </w:tc>
        <w:tc>
          <w:tcPr>
            <w:tcW w:w="2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ECC07">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①操作规程</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②调配技术</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③无菌验证</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④医嘱审核</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⑤危害药品溢出处理等</w:t>
            </w:r>
          </w:p>
        </w:tc>
      </w:tr>
    </w:tbl>
    <w:p w14:paraId="2AFE9738">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p>
    <w:p w14:paraId="4F5FCC52">
      <w:pPr>
        <w:pStyle w:val="2"/>
        <w:keepNext w:val="0"/>
        <w:keepLines w:val="0"/>
        <w:widowControl/>
        <w:suppressLineNumbers w:val="0"/>
        <w:spacing w:before="0" w:beforeAutospacing="0" w:after="0" w:afterAutospacing="0"/>
        <w:ind w:left="0" w:right="0"/>
        <w:jc w:val="both"/>
        <w:rPr>
          <w:rFonts w:hint="default" w:ascii="仿宋" w:hAnsi="仿宋" w:eastAsia="仿宋" w:cs="仿宋"/>
          <w:b/>
          <w:bCs/>
          <w:i w:val="0"/>
          <w:iCs w:val="0"/>
          <w:caps w:val="0"/>
          <w:color w:val="000000"/>
          <w:spacing w:val="0"/>
          <w:sz w:val="24"/>
          <w:szCs w:val="24"/>
          <w:vertAlign w:val="baseline"/>
          <w:lang w:val="en-US" w:eastAsia="zh-CN"/>
        </w:rPr>
      </w:pPr>
      <w:r>
        <w:rPr>
          <w:rFonts w:hint="eastAsia" w:ascii="仿宋" w:hAnsi="仿宋" w:eastAsia="仿宋" w:cs="仿宋"/>
          <w:b/>
          <w:bCs/>
          <w:i w:val="0"/>
          <w:iCs w:val="0"/>
          <w:caps w:val="0"/>
          <w:color w:val="000000"/>
          <w:spacing w:val="0"/>
          <w:sz w:val="24"/>
          <w:szCs w:val="24"/>
          <w:vertAlign w:val="baseline"/>
          <w:lang w:val="en-US" w:eastAsia="zh-CN"/>
        </w:rPr>
        <w:t>附表4 静配中心药学人员继续教育培训内容及考核方案</w:t>
      </w:r>
    </w:p>
    <w:tbl>
      <w:tblPr>
        <w:tblStyle w:val="3"/>
        <w:tblW w:w="950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34"/>
        <w:gridCol w:w="2138"/>
        <w:gridCol w:w="1822"/>
        <w:gridCol w:w="1887"/>
        <w:gridCol w:w="2324"/>
      </w:tblGrid>
      <w:tr w14:paraId="5EED5D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3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A29FDE">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培训形式</w:t>
            </w:r>
          </w:p>
        </w:tc>
        <w:tc>
          <w:tcPr>
            <w:tcW w:w="21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4E4CD8">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培训内容</w:t>
            </w:r>
          </w:p>
        </w:tc>
        <w:tc>
          <w:tcPr>
            <w:tcW w:w="60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DFB761">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考核方案</w:t>
            </w:r>
          </w:p>
        </w:tc>
      </w:tr>
      <w:tr w14:paraId="751285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13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D1DB8B">
            <w:pPr>
              <w:jc w:val="center"/>
              <w:rPr>
                <w:rFonts w:hint="eastAsia" w:ascii="仿宋" w:hAnsi="仿宋" w:eastAsia="仿宋" w:cs="仿宋"/>
                <w:b/>
                <w:bCs/>
                <w:i w:val="0"/>
                <w:iCs w:val="0"/>
                <w:color w:val="000000"/>
                <w:sz w:val="24"/>
                <w:szCs w:val="24"/>
                <w:u w:val="none"/>
              </w:rPr>
            </w:pPr>
          </w:p>
        </w:tc>
        <w:tc>
          <w:tcPr>
            <w:tcW w:w="21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897096">
            <w:pPr>
              <w:jc w:val="center"/>
              <w:rPr>
                <w:rFonts w:hint="eastAsia" w:ascii="仿宋" w:hAnsi="仿宋" w:eastAsia="仿宋" w:cs="仿宋"/>
                <w:b/>
                <w:bCs/>
                <w:i w:val="0"/>
                <w:iCs w:val="0"/>
                <w:color w:val="000000"/>
                <w:sz w:val="24"/>
                <w:szCs w:val="24"/>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E11FD">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考核形式</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60A36">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考核时机</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063A7">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主要考核指标</w:t>
            </w:r>
          </w:p>
        </w:tc>
      </w:tr>
      <w:tr w14:paraId="333DE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13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563BA6">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科室内学习与培训</w:t>
            </w:r>
          </w:p>
        </w:tc>
        <w:tc>
          <w:tcPr>
            <w:tcW w:w="21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1823C6">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根据不同岗位要求，专业理论知识和操作技能培训</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86EE8">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理论考核</w:t>
            </w:r>
          </w:p>
        </w:tc>
        <w:tc>
          <w:tcPr>
            <w:tcW w:w="1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BD1E1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1次/年～2次/年</w:t>
            </w:r>
          </w:p>
        </w:tc>
        <w:tc>
          <w:tcPr>
            <w:tcW w:w="23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D012CD">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①相关政策、法规与岗位相关制度、职责等；②专业理论知识；③临床新药信息；④不适宜医嘱分析；⑤组织相关技能比赛等</w:t>
            </w:r>
          </w:p>
        </w:tc>
      </w:tr>
      <w:tr w14:paraId="101CC4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13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BD93AE">
            <w:pPr>
              <w:jc w:val="left"/>
              <w:rPr>
                <w:rFonts w:hint="eastAsia" w:ascii="仿宋" w:hAnsi="仿宋" w:eastAsia="仿宋" w:cs="仿宋"/>
                <w:i w:val="0"/>
                <w:iCs w:val="0"/>
                <w:color w:val="000000"/>
                <w:sz w:val="24"/>
                <w:szCs w:val="24"/>
                <w:u w:val="none"/>
              </w:rPr>
            </w:pPr>
          </w:p>
        </w:tc>
        <w:tc>
          <w:tcPr>
            <w:tcW w:w="21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E348A6">
            <w:pPr>
              <w:jc w:val="left"/>
              <w:rPr>
                <w:rFonts w:hint="eastAsia" w:ascii="仿宋" w:hAnsi="仿宋" w:eastAsia="仿宋" w:cs="仿宋"/>
                <w:i w:val="0"/>
                <w:iCs w:val="0"/>
                <w:color w:val="000000"/>
                <w:sz w:val="24"/>
                <w:szCs w:val="24"/>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5F41C">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操作技能</w:t>
            </w:r>
          </w:p>
        </w:tc>
        <w:tc>
          <w:tcPr>
            <w:tcW w:w="1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4084D1">
            <w:pPr>
              <w:jc w:val="center"/>
              <w:rPr>
                <w:rFonts w:hint="eastAsia" w:ascii="仿宋" w:hAnsi="仿宋" w:eastAsia="仿宋" w:cs="仿宋"/>
                <w:i w:val="0"/>
                <w:iCs w:val="0"/>
                <w:color w:val="000000"/>
                <w:sz w:val="24"/>
                <w:szCs w:val="24"/>
                <w:u w:val="none"/>
              </w:rPr>
            </w:pPr>
          </w:p>
        </w:tc>
        <w:tc>
          <w:tcPr>
            <w:tcW w:w="23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5D5112">
            <w:pPr>
              <w:jc w:val="left"/>
              <w:rPr>
                <w:rFonts w:hint="eastAsia" w:ascii="仿宋" w:hAnsi="仿宋" w:eastAsia="仿宋" w:cs="仿宋"/>
                <w:i w:val="0"/>
                <w:iCs w:val="0"/>
                <w:color w:val="000000"/>
                <w:sz w:val="24"/>
                <w:szCs w:val="24"/>
                <w:u w:val="none"/>
              </w:rPr>
            </w:pPr>
          </w:p>
        </w:tc>
      </w:tr>
      <w:tr w14:paraId="60E70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813CF">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继续药学教育</w:t>
            </w:r>
          </w:p>
        </w:tc>
        <w:tc>
          <w:tcPr>
            <w:tcW w:w="2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6E233">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与医院药学相关的专业知识、政策法规、前沿技术等培训</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1D887">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年度学分达标</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35D2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每年度</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D0D8E">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继教学分达到国家要求</w:t>
            </w:r>
          </w:p>
        </w:tc>
      </w:tr>
    </w:tbl>
    <w:p w14:paraId="497E280C">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p>
    <w:p w14:paraId="5BC0A984">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r>
        <w:rPr>
          <w:rFonts w:hint="eastAsia" w:ascii="仿宋" w:hAnsi="仿宋" w:eastAsia="仿宋" w:cs="仿宋"/>
          <w:b/>
          <w:bCs/>
          <w:i w:val="0"/>
          <w:iCs w:val="0"/>
          <w:caps w:val="0"/>
          <w:color w:val="000000"/>
          <w:spacing w:val="0"/>
          <w:sz w:val="24"/>
          <w:szCs w:val="24"/>
          <w:vertAlign w:val="baseline"/>
          <w:lang w:val="en-US" w:eastAsia="zh-CN"/>
        </w:rPr>
        <w:t>附表5 水平层流台和生物安全柜检测指标及标准</w:t>
      </w:r>
    </w:p>
    <w:tbl>
      <w:tblPr>
        <w:tblStyle w:val="3"/>
        <w:tblW w:w="685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60"/>
        <w:gridCol w:w="1740"/>
        <w:gridCol w:w="2076"/>
        <w:gridCol w:w="2076"/>
      </w:tblGrid>
      <w:tr w14:paraId="507F83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2700"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1DF77A94">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检测指标</w:t>
            </w:r>
          </w:p>
        </w:tc>
        <w:tc>
          <w:tcPr>
            <w:tcW w:w="2076"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88394B8">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水平层流台</w:t>
            </w:r>
          </w:p>
        </w:tc>
        <w:tc>
          <w:tcPr>
            <w:tcW w:w="2076"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443BD37">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生物安全柜</w:t>
            </w:r>
          </w:p>
        </w:tc>
      </w:tr>
      <w:tr w14:paraId="24481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2700" w:type="dxa"/>
            <w:gridSpan w:val="2"/>
            <w:tcBorders>
              <w:top w:val="nil"/>
              <w:left w:val="single" w:color="000000" w:sz="8" w:space="0"/>
              <w:bottom w:val="single" w:color="000000" w:sz="8" w:space="0"/>
              <w:right w:val="single" w:color="000000" w:sz="8" w:space="0"/>
            </w:tcBorders>
            <w:shd w:val="clear" w:color="auto" w:fill="auto"/>
            <w:vAlign w:val="center"/>
          </w:tcPr>
          <w:p w14:paraId="6FE0A94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设备噪音 dB</w:t>
            </w:r>
          </w:p>
        </w:tc>
        <w:tc>
          <w:tcPr>
            <w:tcW w:w="2076" w:type="dxa"/>
            <w:tcBorders>
              <w:top w:val="nil"/>
              <w:left w:val="single" w:color="000000" w:sz="8" w:space="0"/>
              <w:bottom w:val="single" w:color="000000" w:sz="8" w:space="0"/>
              <w:right w:val="single" w:color="000000" w:sz="8" w:space="0"/>
            </w:tcBorders>
            <w:shd w:val="clear" w:color="auto" w:fill="auto"/>
            <w:vAlign w:val="center"/>
          </w:tcPr>
          <w:p w14:paraId="59EAD7B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≤65</w:t>
            </w:r>
          </w:p>
        </w:tc>
        <w:tc>
          <w:tcPr>
            <w:tcW w:w="2076" w:type="dxa"/>
            <w:tcBorders>
              <w:top w:val="nil"/>
              <w:left w:val="single" w:color="000000" w:sz="8" w:space="0"/>
              <w:bottom w:val="single" w:color="000000" w:sz="8" w:space="0"/>
              <w:right w:val="single" w:color="000000" w:sz="8" w:space="0"/>
            </w:tcBorders>
            <w:shd w:val="clear" w:color="auto" w:fill="auto"/>
            <w:vAlign w:val="center"/>
          </w:tcPr>
          <w:p w14:paraId="20CA292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≤67</w:t>
            </w:r>
          </w:p>
        </w:tc>
      </w:tr>
      <w:tr w14:paraId="1507A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2700" w:type="dxa"/>
            <w:gridSpan w:val="2"/>
            <w:tcBorders>
              <w:top w:val="nil"/>
              <w:left w:val="single" w:color="000000" w:sz="8" w:space="0"/>
              <w:bottom w:val="single" w:color="000000" w:sz="8" w:space="0"/>
              <w:right w:val="single" w:color="000000" w:sz="8" w:space="0"/>
            </w:tcBorders>
            <w:shd w:val="clear" w:color="auto" w:fill="auto"/>
            <w:vAlign w:val="center"/>
          </w:tcPr>
          <w:p w14:paraId="2D283A2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工作区亮度 Lx</w:t>
            </w:r>
          </w:p>
        </w:tc>
        <w:tc>
          <w:tcPr>
            <w:tcW w:w="2076" w:type="dxa"/>
            <w:tcBorders>
              <w:top w:val="nil"/>
              <w:left w:val="single" w:color="000000" w:sz="8" w:space="0"/>
              <w:bottom w:val="single" w:color="000000" w:sz="8" w:space="0"/>
              <w:right w:val="single" w:color="000000" w:sz="8" w:space="0"/>
            </w:tcBorders>
            <w:shd w:val="clear" w:color="auto" w:fill="auto"/>
            <w:vAlign w:val="center"/>
          </w:tcPr>
          <w:p w14:paraId="0F7B193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≥300</w:t>
            </w:r>
          </w:p>
        </w:tc>
        <w:tc>
          <w:tcPr>
            <w:tcW w:w="2076" w:type="dxa"/>
            <w:tcBorders>
              <w:top w:val="nil"/>
              <w:left w:val="single" w:color="000000" w:sz="8" w:space="0"/>
              <w:bottom w:val="single" w:color="000000" w:sz="8" w:space="0"/>
              <w:right w:val="single" w:color="000000" w:sz="8" w:space="0"/>
            </w:tcBorders>
            <w:shd w:val="clear" w:color="auto" w:fill="auto"/>
            <w:vAlign w:val="center"/>
          </w:tcPr>
          <w:p w14:paraId="0784C64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≥650</w:t>
            </w:r>
          </w:p>
        </w:tc>
      </w:tr>
      <w:tr w14:paraId="4521D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2700" w:type="dxa"/>
            <w:gridSpan w:val="2"/>
            <w:tcBorders>
              <w:top w:val="nil"/>
              <w:left w:val="single" w:color="000000" w:sz="8" w:space="0"/>
              <w:bottom w:val="single" w:color="000000" w:sz="8" w:space="0"/>
              <w:right w:val="single" w:color="000000" w:sz="8" w:space="0"/>
            </w:tcBorders>
            <w:shd w:val="clear" w:color="auto" w:fill="auto"/>
            <w:vAlign w:val="center"/>
          </w:tcPr>
          <w:p w14:paraId="2094DD4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吸入风速 m/s</w:t>
            </w:r>
          </w:p>
        </w:tc>
        <w:tc>
          <w:tcPr>
            <w:tcW w:w="2076" w:type="dxa"/>
            <w:tcBorders>
              <w:top w:val="nil"/>
              <w:left w:val="single" w:color="000000" w:sz="8" w:space="0"/>
              <w:bottom w:val="single" w:color="000000" w:sz="8" w:space="0"/>
              <w:right w:val="single" w:color="000000" w:sz="8" w:space="0"/>
            </w:tcBorders>
            <w:shd w:val="clear" w:color="auto" w:fill="auto"/>
            <w:vAlign w:val="center"/>
          </w:tcPr>
          <w:p w14:paraId="2FE150F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2076" w:type="dxa"/>
            <w:tcBorders>
              <w:top w:val="nil"/>
              <w:left w:val="single" w:color="000000" w:sz="8" w:space="0"/>
              <w:bottom w:val="single" w:color="000000" w:sz="8" w:space="0"/>
              <w:right w:val="single" w:color="000000" w:sz="8" w:space="0"/>
            </w:tcBorders>
            <w:shd w:val="clear" w:color="auto" w:fill="auto"/>
            <w:vAlign w:val="center"/>
          </w:tcPr>
          <w:p w14:paraId="6C43DF8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≥0.5</w:t>
            </w:r>
          </w:p>
        </w:tc>
      </w:tr>
      <w:tr w14:paraId="7E019D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jc w:val="center"/>
        </w:trPr>
        <w:tc>
          <w:tcPr>
            <w:tcW w:w="2700" w:type="dxa"/>
            <w:gridSpan w:val="2"/>
            <w:tcBorders>
              <w:top w:val="nil"/>
              <w:left w:val="single" w:color="000000" w:sz="8" w:space="0"/>
              <w:bottom w:val="single" w:color="000000" w:sz="8" w:space="0"/>
              <w:right w:val="single" w:color="000000" w:sz="8" w:space="0"/>
            </w:tcBorders>
            <w:shd w:val="clear" w:color="auto" w:fill="auto"/>
            <w:vAlign w:val="center"/>
          </w:tcPr>
          <w:p w14:paraId="0C93D1A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下降风速 m/s</w:t>
            </w:r>
          </w:p>
        </w:tc>
        <w:tc>
          <w:tcPr>
            <w:tcW w:w="2076" w:type="dxa"/>
            <w:tcBorders>
              <w:top w:val="nil"/>
              <w:left w:val="single" w:color="000000" w:sz="8" w:space="0"/>
              <w:bottom w:val="single" w:color="000000" w:sz="8" w:space="0"/>
              <w:right w:val="single" w:color="000000" w:sz="8" w:space="0"/>
            </w:tcBorders>
            <w:shd w:val="clear" w:color="auto" w:fill="auto"/>
            <w:vAlign w:val="center"/>
          </w:tcPr>
          <w:p w14:paraId="10D4AC7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0.2～0.5</w:t>
            </w:r>
          </w:p>
        </w:tc>
        <w:tc>
          <w:tcPr>
            <w:tcW w:w="2076" w:type="dxa"/>
            <w:tcBorders>
              <w:top w:val="nil"/>
              <w:left w:val="single" w:color="000000" w:sz="8" w:space="0"/>
              <w:bottom w:val="single" w:color="000000" w:sz="8" w:space="0"/>
              <w:right w:val="single" w:color="000000" w:sz="8" w:space="0"/>
            </w:tcBorders>
            <w:shd w:val="clear" w:color="auto" w:fill="auto"/>
            <w:vAlign w:val="center"/>
          </w:tcPr>
          <w:p w14:paraId="6F4E128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0.25～0.5</w:t>
            </w:r>
          </w:p>
        </w:tc>
      </w:tr>
      <w:tr w14:paraId="76996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2700" w:type="dxa"/>
            <w:gridSpan w:val="2"/>
            <w:tcBorders>
              <w:top w:val="nil"/>
              <w:left w:val="single" w:color="000000" w:sz="8" w:space="0"/>
              <w:bottom w:val="single" w:color="000000" w:sz="8" w:space="0"/>
              <w:right w:val="single" w:color="000000" w:sz="8" w:space="0"/>
            </w:tcBorders>
            <w:shd w:val="clear" w:color="auto" w:fill="auto"/>
            <w:vAlign w:val="center"/>
          </w:tcPr>
          <w:p w14:paraId="469106E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沉降菌（个/皿）（静态）</w:t>
            </w:r>
          </w:p>
        </w:tc>
        <w:tc>
          <w:tcPr>
            <w:tcW w:w="2076" w:type="dxa"/>
            <w:tcBorders>
              <w:top w:val="nil"/>
              <w:left w:val="single" w:color="000000" w:sz="8" w:space="0"/>
              <w:bottom w:val="single" w:color="000000" w:sz="8" w:space="0"/>
              <w:right w:val="single" w:color="000000" w:sz="8" w:space="0"/>
            </w:tcBorders>
            <w:shd w:val="clear" w:color="auto" w:fill="auto"/>
            <w:vAlign w:val="center"/>
          </w:tcPr>
          <w:p w14:paraId="6AFD5C5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2076" w:type="dxa"/>
            <w:tcBorders>
              <w:top w:val="nil"/>
              <w:left w:val="single" w:color="000000" w:sz="8" w:space="0"/>
              <w:bottom w:val="single" w:color="000000" w:sz="8" w:space="0"/>
              <w:right w:val="single" w:color="000000" w:sz="8" w:space="0"/>
            </w:tcBorders>
            <w:shd w:val="clear" w:color="auto" w:fill="auto"/>
            <w:vAlign w:val="center"/>
          </w:tcPr>
          <w:p w14:paraId="760458DF">
            <w:pPr>
              <w:keepNext w:val="0"/>
              <w:keepLines w:val="0"/>
              <w:widowControl/>
              <w:suppressLineNumbers w:val="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3B0F0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jc w:val="center"/>
        </w:trPr>
        <w:tc>
          <w:tcPr>
            <w:tcW w:w="960" w:type="dxa"/>
            <w:vMerge w:val="restart"/>
            <w:tcBorders>
              <w:top w:val="nil"/>
              <w:left w:val="single" w:color="000000" w:sz="8" w:space="0"/>
              <w:bottom w:val="single" w:color="000000" w:sz="8" w:space="0"/>
              <w:right w:val="single" w:color="000000" w:sz="8" w:space="0"/>
            </w:tcBorders>
            <w:shd w:val="clear" w:color="auto" w:fill="auto"/>
            <w:vAlign w:val="center"/>
          </w:tcPr>
          <w:p w14:paraId="03A758A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尘埃粒子/m</w:t>
            </w:r>
            <w:r>
              <w:rPr>
                <w:rFonts w:hint="eastAsia" w:ascii="仿宋" w:hAnsi="仿宋" w:eastAsia="仿宋" w:cs="仿宋"/>
                <w:i w:val="0"/>
                <w:iCs w:val="0"/>
                <w:color w:val="000000"/>
                <w:kern w:val="0"/>
                <w:sz w:val="24"/>
                <w:szCs w:val="24"/>
                <w:u w:val="none"/>
                <w:vertAlign w:val="superscript"/>
                <w:lang w:val="en-US" w:eastAsia="zh-CN" w:bidi="ar"/>
              </w:rPr>
              <w:t>3</w:t>
            </w:r>
          </w:p>
        </w:tc>
        <w:tc>
          <w:tcPr>
            <w:tcW w:w="1740" w:type="dxa"/>
            <w:tcBorders>
              <w:top w:val="nil"/>
              <w:left w:val="single" w:color="000000" w:sz="8" w:space="0"/>
              <w:bottom w:val="single" w:color="000000" w:sz="8" w:space="0"/>
              <w:right w:val="single" w:color="000000" w:sz="8" w:space="0"/>
            </w:tcBorders>
            <w:shd w:val="clear" w:color="auto" w:fill="auto"/>
            <w:vAlign w:val="top"/>
          </w:tcPr>
          <w:p w14:paraId="68A6B212">
            <w:pPr>
              <w:keepNext w:val="0"/>
              <w:keepLines w:val="0"/>
              <w:widowControl/>
              <w:suppressLineNumbers w:val="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0.5µm</w:t>
            </w:r>
          </w:p>
        </w:tc>
        <w:tc>
          <w:tcPr>
            <w:tcW w:w="2076" w:type="dxa"/>
            <w:tcBorders>
              <w:top w:val="nil"/>
              <w:left w:val="single" w:color="000000" w:sz="8" w:space="0"/>
              <w:bottom w:val="single" w:color="000000" w:sz="8" w:space="0"/>
              <w:right w:val="single" w:color="000000" w:sz="8" w:space="0"/>
            </w:tcBorders>
            <w:shd w:val="clear" w:color="auto" w:fill="auto"/>
            <w:vAlign w:val="center"/>
          </w:tcPr>
          <w:p w14:paraId="241FD79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≤3500</w:t>
            </w:r>
          </w:p>
        </w:tc>
        <w:tc>
          <w:tcPr>
            <w:tcW w:w="2076"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D76348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≤3500</w:t>
            </w:r>
          </w:p>
        </w:tc>
      </w:tr>
      <w:tr w14:paraId="7E72A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3" w:hRule="atLeast"/>
          <w:jc w:val="center"/>
        </w:trPr>
        <w:tc>
          <w:tcPr>
            <w:tcW w:w="960" w:type="dxa"/>
            <w:vMerge w:val="continue"/>
            <w:tcBorders>
              <w:top w:val="nil"/>
              <w:left w:val="single" w:color="000000" w:sz="8" w:space="0"/>
              <w:bottom w:val="single" w:color="000000" w:sz="8" w:space="0"/>
              <w:right w:val="single" w:color="000000" w:sz="8" w:space="0"/>
            </w:tcBorders>
            <w:shd w:val="clear" w:color="auto" w:fill="auto"/>
            <w:vAlign w:val="center"/>
          </w:tcPr>
          <w:p w14:paraId="44D35ACC">
            <w:pPr>
              <w:jc w:val="center"/>
              <w:rPr>
                <w:rFonts w:hint="eastAsia" w:ascii="仿宋" w:hAnsi="仿宋" w:eastAsia="仿宋" w:cs="仿宋"/>
                <w:i w:val="0"/>
                <w:iCs w:val="0"/>
                <w:color w:val="000000"/>
                <w:sz w:val="24"/>
                <w:szCs w:val="24"/>
                <w:u w:val="none"/>
              </w:rPr>
            </w:pPr>
          </w:p>
        </w:tc>
        <w:tc>
          <w:tcPr>
            <w:tcW w:w="1740" w:type="dxa"/>
            <w:tcBorders>
              <w:top w:val="nil"/>
              <w:left w:val="single" w:color="000000" w:sz="8" w:space="0"/>
              <w:bottom w:val="single" w:color="000000" w:sz="8" w:space="0"/>
              <w:right w:val="single" w:color="000000" w:sz="8" w:space="0"/>
            </w:tcBorders>
            <w:shd w:val="clear" w:color="auto" w:fill="auto"/>
            <w:vAlign w:val="top"/>
          </w:tcPr>
          <w:p w14:paraId="4C15DED0">
            <w:pPr>
              <w:keepNext w:val="0"/>
              <w:keepLines w:val="0"/>
              <w:widowControl/>
              <w:suppressLineNumbers w:val="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5µm</w:t>
            </w:r>
          </w:p>
        </w:tc>
        <w:tc>
          <w:tcPr>
            <w:tcW w:w="2076" w:type="dxa"/>
            <w:tcBorders>
              <w:top w:val="nil"/>
              <w:left w:val="single" w:color="000000" w:sz="8" w:space="0"/>
              <w:bottom w:val="single" w:color="000000" w:sz="8" w:space="0"/>
              <w:right w:val="single" w:color="000000" w:sz="8" w:space="0"/>
            </w:tcBorders>
            <w:shd w:val="clear" w:color="auto" w:fill="auto"/>
            <w:vAlign w:val="center"/>
          </w:tcPr>
          <w:p w14:paraId="72FBB57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2076" w:type="dxa"/>
            <w:tcBorders>
              <w:top w:val="nil"/>
              <w:left w:val="single" w:color="000000" w:sz="8" w:space="0"/>
              <w:bottom w:val="single" w:color="000000" w:sz="8" w:space="0"/>
              <w:right w:val="single" w:color="000000" w:sz="8" w:space="0"/>
            </w:tcBorders>
            <w:shd w:val="clear" w:color="auto" w:fill="auto"/>
            <w:vAlign w:val="center"/>
          </w:tcPr>
          <w:p w14:paraId="5155CA9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r>
    </w:tbl>
    <w:p w14:paraId="53F42244">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p>
    <w:p w14:paraId="34449B94">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r>
        <w:rPr>
          <w:rFonts w:hint="eastAsia" w:ascii="仿宋" w:hAnsi="仿宋" w:eastAsia="仿宋" w:cs="仿宋"/>
          <w:b/>
          <w:bCs/>
          <w:i w:val="0"/>
          <w:iCs w:val="0"/>
          <w:caps w:val="0"/>
          <w:color w:val="000000"/>
          <w:spacing w:val="0"/>
          <w:sz w:val="24"/>
          <w:szCs w:val="24"/>
          <w:vertAlign w:val="baseline"/>
          <w:lang w:val="en-US" w:eastAsia="zh-CN"/>
        </w:rPr>
        <w:t>附表6 静脉用药调配中心装修材料示例</w:t>
      </w:r>
    </w:p>
    <w:tbl>
      <w:tblPr>
        <w:tblStyle w:val="3"/>
        <w:tblW w:w="948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36"/>
        <w:gridCol w:w="2105"/>
        <w:gridCol w:w="1571"/>
        <w:gridCol w:w="1266"/>
        <w:gridCol w:w="1298"/>
        <w:gridCol w:w="1211"/>
        <w:gridCol w:w="1396"/>
      </w:tblGrid>
      <w:tr w14:paraId="595A8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C1E23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序 号</w:t>
            </w:r>
          </w:p>
        </w:tc>
        <w:tc>
          <w:tcPr>
            <w:tcW w:w="21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85CD8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房间名称</w:t>
            </w:r>
          </w:p>
        </w:tc>
        <w:tc>
          <w:tcPr>
            <w:tcW w:w="534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0096AF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材料</w:t>
            </w:r>
          </w:p>
        </w:tc>
        <w:tc>
          <w:tcPr>
            <w:tcW w:w="1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08204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洁净级别</w:t>
            </w:r>
          </w:p>
        </w:tc>
      </w:tr>
      <w:tr w14:paraId="7CD7C2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140784">
            <w:pPr>
              <w:jc w:val="center"/>
              <w:rPr>
                <w:rFonts w:hint="eastAsia" w:ascii="仿宋" w:hAnsi="仿宋" w:eastAsia="仿宋" w:cs="仿宋"/>
                <w:i w:val="0"/>
                <w:iCs w:val="0"/>
                <w:color w:val="000000"/>
                <w:sz w:val="24"/>
                <w:szCs w:val="24"/>
                <w:u w:val="none"/>
              </w:rPr>
            </w:pPr>
          </w:p>
        </w:tc>
        <w:tc>
          <w:tcPr>
            <w:tcW w:w="21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48B84B">
            <w:pPr>
              <w:jc w:val="center"/>
              <w:rPr>
                <w:rFonts w:hint="eastAsia" w:ascii="仿宋" w:hAnsi="仿宋" w:eastAsia="仿宋" w:cs="仿宋"/>
                <w:i w:val="0"/>
                <w:iCs w:val="0"/>
                <w:color w:val="000000"/>
                <w:sz w:val="24"/>
                <w:szCs w:val="24"/>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1640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地面</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1804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墙体</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E337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吊顶</w:t>
            </w:r>
          </w:p>
        </w:tc>
        <w:tc>
          <w:tcPr>
            <w:tcW w:w="1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4EAC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灯具</w:t>
            </w:r>
          </w:p>
        </w:tc>
        <w:tc>
          <w:tcPr>
            <w:tcW w:w="1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17851C">
            <w:pPr>
              <w:jc w:val="center"/>
              <w:rPr>
                <w:rFonts w:hint="eastAsia" w:ascii="仿宋" w:hAnsi="仿宋" w:eastAsia="仿宋" w:cs="仿宋"/>
                <w:i w:val="0"/>
                <w:iCs w:val="0"/>
                <w:color w:val="000000"/>
                <w:sz w:val="24"/>
                <w:szCs w:val="24"/>
                <w:u w:val="none"/>
              </w:rPr>
            </w:pPr>
          </w:p>
        </w:tc>
      </w:tr>
      <w:tr w14:paraId="2C443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391B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6376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抗生素药品调配操作间</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8555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抗菌PVC卷材</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17FD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快装彩钢板</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A836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快装彩钢板</w:t>
            </w:r>
          </w:p>
        </w:tc>
        <w:tc>
          <w:tcPr>
            <w:tcW w:w="1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D80B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LED平板</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净化灯</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A89A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C级（万级）</w:t>
            </w:r>
          </w:p>
        </w:tc>
      </w:tr>
      <w:tr w14:paraId="5E938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8A03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8B85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危害药品调配操作间</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1902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抗菌PVC卷材</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1D6B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快装彩钢板</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55A5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快装彩钢板</w:t>
            </w:r>
          </w:p>
        </w:tc>
        <w:tc>
          <w:tcPr>
            <w:tcW w:w="1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944C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LED平板</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净化灯</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499A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C级（万级）</w:t>
            </w:r>
          </w:p>
        </w:tc>
      </w:tr>
      <w:tr w14:paraId="2AC61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8C73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B9B5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抗生素和危害药品调配操作间洁净区二次更衣室</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79E8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抗菌PVC卷材</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B46A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快装彩钢板</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38DD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快装彩钢板</w:t>
            </w:r>
          </w:p>
        </w:tc>
        <w:tc>
          <w:tcPr>
            <w:tcW w:w="1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3C09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LED平板</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净化灯</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EADA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C级（万级）</w:t>
            </w:r>
          </w:p>
        </w:tc>
      </w:tr>
      <w:tr w14:paraId="76E4C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87D2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C494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抗生素和危害药品调配操作间洁净区一次更衣室</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4227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抗菌PVC卷材</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FF05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快装彩钢板</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ED51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快装彩钢板</w:t>
            </w:r>
          </w:p>
        </w:tc>
        <w:tc>
          <w:tcPr>
            <w:tcW w:w="1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78AA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LED平板</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净化灯</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9945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D级（十万级）</w:t>
            </w:r>
          </w:p>
        </w:tc>
      </w:tr>
      <w:tr w14:paraId="7C83A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8A37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DA57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抗生素和危害药品调配操作间洗衣洁具间</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6F50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抗菌PVC卷材</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C14D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快装彩钢板</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8031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快装彩钢板</w:t>
            </w:r>
          </w:p>
        </w:tc>
        <w:tc>
          <w:tcPr>
            <w:tcW w:w="1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B149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LED平板</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净化灯</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351D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D级（十万级）</w:t>
            </w:r>
          </w:p>
        </w:tc>
      </w:tr>
      <w:tr w14:paraId="03911A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CBDF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7536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普通输液和肠外营养液调配操作间</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5B7A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抗菌PVC卷材</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7268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快装彩钢板</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43D8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快装彩钢板</w:t>
            </w:r>
          </w:p>
        </w:tc>
        <w:tc>
          <w:tcPr>
            <w:tcW w:w="1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DDD8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LED平板</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净化灯</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F1D4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C级（万级）</w:t>
            </w:r>
          </w:p>
        </w:tc>
      </w:tr>
      <w:tr w14:paraId="24417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7CE9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B0C0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普通输液和肠外营养液调配操作间洁净区二次更衣室</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9FC2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抗菌PVC卷材</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AD3E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快装彩钢板</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F738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快装彩钢板</w:t>
            </w:r>
          </w:p>
        </w:tc>
        <w:tc>
          <w:tcPr>
            <w:tcW w:w="1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F12F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LED平板</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净化灯</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912E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C级（万级）</w:t>
            </w:r>
          </w:p>
        </w:tc>
      </w:tr>
      <w:tr w14:paraId="1AAEC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0CA5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0790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普通输液和肠外营养液调配操作间洁净区一次更衣室</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0320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抗菌PVC卷材</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489A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快装彩钢板</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8BB8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快装彩钢板</w:t>
            </w:r>
          </w:p>
        </w:tc>
        <w:tc>
          <w:tcPr>
            <w:tcW w:w="1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0E58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LED平板</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净化灯</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0C97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D级（十万级）</w:t>
            </w:r>
          </w:p>
        </w:tc>
      </w:tr>
      <w:tr w14:paraId="5C895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45E2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4AAD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普通输液和肠外营养液调配操作间洗衣洁具间</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C13D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抗菌PVC卷材</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4F7E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快装彩钢板</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AC50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快装彩钢板</w:t>
            </w:r>
          </w:p>
        </w:tc>
        <w:tc>
          <w:tcPr>
            <w:tcW w:w="1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E62E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LED平板</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净化灯</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EEBE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D级（十万级）</w:t>
            </w:r>
          </w:p>
        </w:tc>
      </w:tr>
      <w:tr w14:paraId="40736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E00A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4E59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贴签摆药核对区</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E2EF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抗菌PVC卷材</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F34F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快装彩钢板</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ED12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铝合金扣板</w:t>
            </w:r>
          </w:p>
        </w:tc>
        <w:tc>
          <w:tcPr>
            <w:tcW w:w="1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F2C0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LED平板</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净化灯</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B51D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r>
    </w:tbl>
    <w:p w14:paraId="4022A39E">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p>
    <w:p w14:paraId="01AE1585">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r>
        <w:rPr>
          <w:rFonts w:hint="eastAsia" w:ascii="仿宋" w:hAnsi="仿宋" w:eastAsia="仿宋" w:cs="仿宋"/>
          <w:b/>
          <w:bCs/>
          <w:i w:val="0"/>
          <w:iCs w:val="0"/>
          <w:caps w:val="0"/>
          <w:color w:val="000000"/>
          <w:spacing w:val="0"/>
          <w:sz w:val="24"/>
          <w:szCs w:val="24"/>
          <w:vertAlign w:val="baseline"/>
          <w:lang w:val="en-US" w:eastAsia="zh-CN"/>
        </w:rPr>
        <w:t>附表7 静配中心核心制度示例</w:t>
      </w:r>
    </w:p>
    <w:tbl>
      <w:tblPr>
        <w:tblStyle w:val="3"/>
        <w:tblW w:w="91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04"/>
        <w:gridCol w:w="2794"/>
        <w:gridCol w:w="5891"/>
      </w:tblGrid>
      <w:tr w14:paraId="39681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53D5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序号</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3029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制度名称</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844E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制度内容范围</w:t>
            </w:r>
          </w:p>
        </w:tc>
      </w:tr>
      <w:tr w14:paraId="15E85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4FBA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2551A">
            <w:pPr>
              <w:keepNext w:val="0"/>
              <w:keepLines w:val="0"/>
              <w:widowControl/>
              <w:suppressLineNumbers w:val="0"/>
              <w:ind w:left="0" w:leftChars="0" w:firstLine="0" w:firstLineChars="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用药医嘱审核工作制度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02264">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规范医嘱审核、问题处理、请示报告等工作</w:t>
            </w:r>
          </w:p>
        </w:tc>
      </w:tr>
      <w:tr w14:paraId="52D2FA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EB06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B6BA2">
            <w:pPr>
              <w:keepNext w:val="0"/>
              <w:keepLines w:val="0"/>
              <w:widowControl/>
              <w:suppressLineNumbers w:val="0"/>
              <w:ind w:left="0" w:leftChars="0" w:firstLine="0" w:firstLineChars="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摆药贴签核对管理制度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7796B">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规范摆药贴签及其核对工作</w:t>
            </w:r>
          </w:p>
        </w:tc>
      </w:tr>
      <w:tr w14:paraId="5E018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FBAF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AF8C2">
            <w:pPr>
              <w:keepNext w:val="0"/>
              <w:keepLines w:val="0"/>
              <w:widowControl/>
              <w:suppressLineNumbers w:val="0"/>
              <w:ind w:left="0" w:leftChars="0" w:firstLine="0" w:firstLineChars="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加药混合调配管理制度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122E3">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规范加药混合调配工作，尤其是肠外营养液和危害药品的混合调配</w:t>
            </w:r>
          </w:p>
        </w:tc>
      </w:tr>
      <w:tr w14:paraId="1CE9D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7279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B8179">
            <w:pPr>
              <w:keepNext w:val="0"/>
              <w:keepLines w:val="0"/>
              <w:widowControl/>
              <w:suppressLineNumbers w:val="0"/>
              <w:ind w:left="0" w:leftChars="0" w:firstLine="0" w:firstLineChars="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成品输液核对与包装管理制度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3A994">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规范成品输液包装和交接给运送工勤人员的工作</w:t>
            </w:r>
          </w:p>
        </w:tc>
      </w:tr>
      <w:tr w14:paraId="21BEA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D520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82683">
            <w:pPr>
              <w:keepNext w:val="0"/>
              <w:keepLines w:val="0"/>
              <w:widowControl/>
              <w:suppressLineNumbers w:val="0"/>
              <w:ind w:left="0" w:leftChars="0" w:firstLine="0" w:firstLineChars="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成品输液发放运送管理制度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5DC5E">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规范成品输液运送和工勤人员与病区护士的交接工作</w:t>
            </w:r>
          </w:p>
        </w:tc>
      </w:tr>
      <w:tr w14:paraId="0DB4C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C8D7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C54A4">
            <w:pPr>
              <w:keepNext w:val="0"/>
              <w:keepLines w:val="0"/>
              <w:widowControl/>
              <w:suppressLineNumbers w:val="0"/>
              <w:ind w:left="0" w:leftChars="0" w:firstLine="0" w:firstLineChars="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药品管理制度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C7155">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规范药品请领、验收、入库、储存、养护、效期管理、不合格药品或成品输液退回等工作</w:t>
            </w:r>
          </w:p>
        </w:tc>
      </w:tr>
      <w:tr w14:paraId="6B3D8C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2DE9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AA43C">
            <w:pPr>
              <w:keepNext w:val="0"/>
              <w:keepLines w:val="0"/>
              <w:widowControl/>
              <w:suppressLineNumbers w:val="0"/>
              <w:ind w:left="0" w:leftChars="0" w:firstLine="0" w:firstLineChars="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高警示药品使用和管理制度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843B2">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规范高警示药品的使用和管理工作</w:t>
            </w:r>
          </w:p>
        </w:tc>
      </w:tr>
      <w:tr w14:paraId="4298F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7689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BA907">
            <w:pPr>
              <w:keepNext w:val="0"/>
              <w:keepLines w:val="0"/>
              <w:widowControl/>
              <w:suppressLineNumbers w:val="0"/>
              <w:ind w:left="0" w:leftChars="0" w:firstLine="0" w:firstLineChars="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易混淆药品管理制度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8885C">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规范易混淆药品的使用和管理工作</w:t>
            </w:r>
          </w:p>
        </w:tc>
      </w:tr>
      <w:tr w14:paraId="50A41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6EA7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593F5">
            <w:pPr>
              <w:keepNext w:val="0"/>
              <w:keepLines w:val="0"/>
              <w:widowControl/>
              <w:suppressLineNumbers w:val="0"/>
              <w:ind w:left="0" w:leftChars="0" w:firstLine="0" w:firstLineChars="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耗材物料管理制度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C71C7">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规范物料（推车、家具等）、普通耗材（口罩、发帽、消毒剂）和无菌耗材（注射器、三升袋、无菌手套等无菌耗材等）的请领、验收、入库、使用管理工作</w:t>
            </w:r>
          </w:p>
        </w:tc>
      </w:tr>
      <w:tr w14:paraId="47BB8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5033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06E6A">
            <w:pPr>
              <w:keepNext w:val="0"/>
              <w:keepLines w:val="0"/>
              <w:widowControl/>
              <w:suppressLineNumbers w:val="0"/>
              <w:ind w:left="0" w:leftChars="0" w:firstLine="0" w:firstLineChars="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医疗废物处理管理制度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D28A8">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规范医疗废物的分类和处置工作</w:t>
            </w:r>
          </w:p>
        </w:tc>
      </w:tr>
      <w:tr w14:paraId="280F3F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1618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ED844">
            <w:pPr>
              <w:keepNext w:val="0"/>
              <w:keepLines w:val="0"/>
              <w:widowControl/>
              <w:suppressLineNumbers w:val="0"/>
              <w:ind w:left="0" w:leftChars="0" w:firstLine="0" w:firstLineChars="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洁净区清场、清洁、消毒工作制度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AAACB">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规范洁净区的清洁消毒工作，包括时间、频次、用具和消毒剂等</w:t>
            </w:r>
          </w:p>
        </w:tc>
      </w:tr>
      <w:tr w14:paraId="1B96D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76C9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9DEDC">
            <w:pPr>
              <w:keepNext w:val="0"/>
              <w:keepLines w:val="0"/>
              <w:widowControl/>
              <w:suppressLineNumbers w:val="0"/>
              <w:ind w:left="0" w:leftChars="0" w:firstLine="0" w:firstLineChars="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洁净区环境监测管理制度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5E990">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规范温湿度、洁净度、压差等项目的检测和记录等工作</w:t>
            </w:r>
          </w:p>
        </w:tc>
      </w:tr>
      <w:tr w14:paraId="3AB41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48BB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66CE0">
            <w:pPr>
              <w:keepNext w:val="0"/>
              <w:keepLines w:val="0"/>
              <w:widowControl/>
              <w:suppressLineNumbers w:val="0"/>
              <w:ind w:left="0" w:leftChars="0" w:firstLine="0" w:firstLineChars="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非洁净控制区清场、清洁、消毒工作制度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5F6EB">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规范非洁净控制区和辅助工作区的清洁消毒，包括时间、频次、用具和消毒剂等</w:t>
            </w:r>
          </w:p>
        </w:tc>
      </w:tr>
      <w:tr w14:paraId="66612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7133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E8318">
            <w:pPr>
              <w:keepNext w:val="0"/>
              <w:keepLines w:val="0"/>
              <w:widowControl/>
              <w:suppressLineNumbers w:val="0"/>
              <w:ind w:left="0" w:leftChars="0" w:firstLine="0" w:firstLineChars="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设施设备管理制度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16241">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规范设施、设备的使用、维护、保养和安全管理</w:t>
            </w:r>
          </w:p>
        </w:tc>
      </w:tr>
      <w:tr w14:paraId="6EF7E1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4970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A921E">
            <w:pPr>
              <w:keepNext w:val="0"/>
              <w:keepLines w:val="0"/>
              <w:widowControl/>
              <w:suppressLineNumbers w:val="0"/>
              <w:ind w:left="0" w:leftChars="0" w:firstLine="0" w:firstLineChars="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信息系统管理制度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6DAFA">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规范信息系统的管理人员、对信息系统进行维护升级的 程序、标签内容和医嘱审核规则等的制定修改原则和程序等</w:t>
            </w:r>
          </w:p>
        </w:tc>
      </w:tr>
      <w:tr w14:paraId="45AE4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D4BB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51800">
            <w:pPr>
              <w:keepNext w:val="0"/>
              <w:keepLines w:val="0"/>
              <w:widowControl/>
              <w:suppressLineNumbers w:val="0"/>
              <w:ind w:left="0" w:leftChars="0" w:firstLine="0" w:firstLineChars="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处方点评工作制度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38F55">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规范处方点评工作</w:t>
            </w:r>
          </w:p>
        </w:tc>
      </w:tr>
      <w:tr w14:paraId="6EB18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E90C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2D38D">
            <w:pPr>
              <w:keepNext w:val="0"/>
              <w:keepLines w:val="0"/>
              <w:widowControl/>
              <w:suppressLineNumbers w:val="0"/>
              <w:ind w:left="0" w:leftChars="0" w:firstLine="0" w:firstLineChars="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药品不良事件报告制度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6369F">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规范药品质量问题、调配差错、药品不良反应和输液反应等药品不良事件的报告处置工作</w:t>
            </w:r>
          </w:p>
        </w:tc>
      </w:tr>
      <w:tr w14:paraId="6D773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8D68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5E186">
            <w:pPr>
              <w:keepNext w:val="0"/>
              <w:keepLines w:val="0"/>
              <w:widowControl/>
              <w:suppressLineNumbers w:val="0"/>
              <w:ind w:left="0" w:leftChars="0" w:firstLine="0" w:firstLineChars="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安全管理制度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AC867">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规范安全保卫、人员进出管理、消防安全管理等工作</w:t>
            </w:r>
          </w:p>
        </w:tc>
      </w:tr>
      <w:tr w14:paraId="430D0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7B80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11491">
            <w:pPr>
              <w:keepNext w:val="0"/>
              <w:keepLines w:val="0"/>
              <w:widowControl/>
              <w:suppressLineNumbers w:val="0"/>
              <w:ind w:left="0" w:leftChars="0" w:firstLine="0" w:firstLineChars="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突发事件应急处理制度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DCE00">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规范各类突发事件（包括危害药品溢出、设备故障等）的应急预案（详见附录H）制定流程和应急预案的定期演练工作</w:t>
            </w:r>
          </w:p>
        </w:tc>
      </w:tr>
      <w:tr w14:paraId="61555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325D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457AA">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差错管理制度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C3426">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规范对各类型差错的补救、事后分析处理和检讨改进工作</w:t>
            </w:r>
          </w:p>
        </w:tc>
      </w:tr>
      <w:tr w14:paraId="1F7F0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FD64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21</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B1884">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绩效考核制度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8F614">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规范绩效考核、促进多劳多得和优劳优得</w:t>
            </w:r>
          </w:p>
        </w:tc>
      </w:tr>
      <w:tr w14:paraId="6EBF0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2046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22</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3EE74">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人员考勤管理制度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0AD5E">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规范考勤工作</w:t>
            </w:r>
          </w:p>
        </w:tc>
      </w:tr>
      <w:tr w14:paraId="57EBF0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A950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23</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6079E">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文件管理工作制度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07AA5">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规范静配中心文件的保密安全级别，分别制定不同的管 理方法，规范纸质文档、电子文档的归档、保管和查阅制度</w:t>
            </w:r>
          </w:p>
        </w:tc>
      </w:tr>
      <w:tr w14:paraId="672E2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D30D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24</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05142">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人员岗前培训管理制度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2AFC4">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规范各岗位人员上岗前的培训内容、时间和考核指标等</w:t>
            </w:r>
          </w:p>
        </w:tc>
      </w:tr>
      <w:tr w14:paraId="176D2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7F8E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25</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E8F02">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周期性强化培训制度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3E254">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规范各岗位人员上岗后的专业培训，提高各项专业技能的规范性、标准性及熟练性</w:t>
            </w:r>
          </w:p>
        </w:tc>
      </w:tr>
      <w:tr w14:paraId="2D55C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590A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w:t>
            </w:r>
          </w:p>
        </w:tc>
        <w:tc>
          <w:tcPr>
            <w:tcW w:w="2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CF1F8">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继续教育培训管理制度</w:t>
            </w:r>
          </w:p>
        </w:tc>
        <w:tc>
          <w:tcPr>
            <w:tcW w:w="5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EC22D">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规范各岗位人员相关知识的学习，包括内容、时间和考 核指标以及上级要求的继续教育如“三基三严”的管理工作</w:t>
            </w:r>
          </w:p>
        </w:tc>
      </w:tr>
    </w:tbl>
    <w:p w14:paraId="24C9FEAD">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p>
    <w:p w14:paraId="2D771F74">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r>
        <w:rPr>
          <w:rFonts w:hint="eastAsia" w:ascii="仿宋" w:hAnsi="仿宋" w:eastAsia="仿宋" w:cs="仿宋"/>
          <w:b/>
          <w:bCs/>
          <w:i w:val="0"/>
          <w:iCs w:val="0"/>
          <w:caps w:val="0"/>
          <w:color w:val="000000"/>
          <w:spacing w:val="0"/>
          <w:sz w:val="24"/>
          <w:szCs w:val="24"/>
          <w:vertAlign w:val="baseline"/>
          <w:lang w:val="en-US" w:eastAsia="zh-CN"/>
        </w:rPr>
        <w:t>附表8 静配中心人员职责和岗位职责目录清单示例</w:t>
      </w:r>
    </w:p>
    <w:tbl>
      <w:tblPr>
        <w:tblStyle w:val="3"/>
        <w:tblW w:w="9211"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00"/>
        <w:gridCol w:w="7811"/>
      </w:tblGrid>
      <w:tr w14:paraId="35A1C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92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B97436">
            <w:pPr>
              <w:jc w:val="both"/>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一、人员职责</w:t>
            </w:r>
          </w:p>
        </w:tc>
      </w:tr>
      <w:tr w14:paraId="392AE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BDAF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DDBA1">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主任药师/副主任药师职责</w:t>
            </w:r>
          </w:p>
        </w:tc>
      </w:tr>
      <w:tr w14:paraId="430F3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25C0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92A33">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主管药师职责</w:t>
            </w:r>
          </w:p>
        </w:tc>
      </w:tr>
      <w:tr w14:paraId="1E186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9030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7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DB189">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药师职责</w:t>
            </w:r>
          </w:p>
        </w:tc>
      </w:tr>
      <w:tr w14:paraId="0D62BB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60CC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7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40FA8">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药士职责</w:t>
            </w:r>
          </w:p>
        </w:tc>
      </w:tr>
      <w:tr w14:paraId="2C102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92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AA3376">
            <w:pPr>
              <w:jc w:val="both"/>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二、岗位职责</w:t>
            </w:r>
          </w:p>
        </w:tc>
      </w:tr>
      <w:tr w14:paraId="042F9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27E6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538C7">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主任岗位职责</w:t>
            </w:r>
          </w:p>
        </w:tc>
      </w:tr>
      <w:tr w14:paraId="1C300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2CA7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2A0F6">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组长岗位职责</w:t>
            </w:r>
          </w:p>
        </w:tc>
      </w:tr>
      <w:tr w14:paraId="113F4E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44E3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7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43A93">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用药医嘱审核岗位职责</w:t>
            </w:r>
          </w:p>
        </w:tc>
      </w:tr>
      <w:tr w14:paraId="477A2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2DF3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7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62975">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摆药贴签核对岗位职责</w:t>
            </w:r>
          </w:p>
        </w:tc>
      </w:tr>
      <w:tr w14:paraId="55C89F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D6AD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DAE91">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加药混合调配岗位职责</w:t>
            </w:r>
          </w:p>
        </w:tc>
      </w:tr>
      <w:tr w14:paraId="33FB7D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80D8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7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B9D78">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成品输液核对岗位职责</w:t>
            </w:r>
          </w:p>
        </w:tc>
      </w:tr>
      <w:tr w14:paraId="12530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484A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7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03C30">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成品输液包装岗位职责</w:t>
            </w:r>
          </w:p>
        </w:tc>
      </w:tr>
      <w:tr w14:paraId="21C90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E489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7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6A8BF">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处方点评岗位职责</w:t>
            </w:r>
          </w:p>
        </w:tc>
      </w:tr>
      <w:tr w14:paraId="7D08CA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D093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7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E10EE">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教学岗位职责</w:t>
            </w:r>
          </w:p>
        </w:tc>
      </w:tr>
      <w:tr w14:paraId="088B7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1BC0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7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68B79">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考勤岗位职责</w:t>
            </w:r>
          </w:p>
        </w:tc>
      </w:tr>
      <w:tr w14:paraId="2733C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C6BB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7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694F7">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静脉用药管理与服务岗位职责</w:t>
            </w:r>
          </w:p>
        </w:tc>
      </w:tr>
      <w:tr w14:paraId="6E355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7720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7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CCB95">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质量控制岗位职责</w:t>
            </w:r>
          </w:p>
        </w:tc>
      </w:tr>
      <w:tr w14:paraId="17C10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7AB9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7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153B4">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药品管理岗位职责</w:t>
            </w:r>
          </w:p>
        </w:tc>
      </w:tr>
      <w:tr w14:paraId="3845FB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2E0B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w:t>
            </w:r>
          </w:p>
        </w:tc>
        <w:tc>
          <w:tcPr>
            <w:tcW w:w="7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3BA36">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耗材物料管理岗位职责</w:t>
            </w:r>
          </w:p>
        </w:tc>
      </w:tr>
      <w:tr w14:paraId="783338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0FB8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7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1924A">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文件保管岗位职责</w:t>
            </w:r>
          </w:p>
        </w:tc>
      </w:tr>
      <w:tr w14:paraId="65A3B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CC9E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c>
          <w:tcPr>
            <w:tcW w:w="7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455E1">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药品物品脱外包装岗位职责</w:t>
            </w:r>
          </w:p>
        </w:tc>
      </w:tr>
      <w:tr w14:paraId="0E974A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8FC8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w:t>
            </w:r>
          </w:p>
        </w:tc>
        <w:tc>
          <w:tcPr>
            <w:tcW w:w="7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D865A">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清洁岗位职责</w:t>
            </w:r>
          </w:p>
        </w:tc>
      </w:tr>
      <w:tr w14:paraId="142024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F2A7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c>
          <w:tcPr>
            <w:tcW w:w="7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E35C8">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成品输液运送岗位职责</w:t>
            </w:r>
          </w:p>
        </w:tc>
      </w:tr>
    </w:tbl>
    <w:p w14:paraId="310750E3">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p>
    <w:p w14:paraId="5F4136ED">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r>
        <w:rPr>
          <w:rFonts w:hint="eastAsia" w:ascii="仿宋" w:hAnsi="仿宋" w:eastAsia="仿宋" w:cs="仿宋"/>
          <w:b/>
          <w:bCs/>
          <w:i w:val="0"/>
          <w:iCs w:val="0"/>
          <w:caps w:val="0"/>
          <w:color w:val="000000"/>
          <w:spacing w:val="0"/>
          <w:sz w:val="24"/>
          <w:szCs w:val="24"/>
          <w:vertAlign w:val="baseline"/>
          <w:lang w:val="en-US" w:eastAsia="zh-CN"/>
        </w:rPr>
        <w:t>附表9 静配中心操作规程目录清单示例</w:t>
      </w:r>
    </w:p>
    <w:tbl>
      <w:tblPr>
        <w:tblStyle w:val="3"/>
        <w:tblW w:w="922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11"/>
        <w:gridCol w:w="7811"/>
      </w:tblGrid>
      <w:tr w14:paraId="3C027D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F6B4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EF657">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静脉用药医嘱审核规程</w:t>
            </w:r>
          </w:p>
        </w:tc>
      </w:tr>
      <w:tr w14:paraId="4B973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FA73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F08A3">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输液贴签规程</w:t>
            </w:r>
          </w:p>
        </w:tc>
      </w:tr>
      <w:tr w14:paraId="76AAF4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7242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726EF">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摆药规程</w:t>
            </w:r>
          </w:p>
        </w:tc>
      </w:tr>
      <w:tr w14:paraId="197B1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9512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2762F">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摆药核对规程（包括常规药品、冷藏药品、麻精毒等特殊管理药品静配中心操作规程目录清单示例）</w:t>
            </w:r>
          </w:p>
        </w:tc>
      </w:tr>
      <w:tr w14:paraId="3A028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58F2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EED36">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生物安全柜使用与清洁消毒规程</w:t>
            </w:r>
          </w:p>
        </w:tc>
      </w:tr>
      <w:tr w14:paraId="0C3B2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186A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036D9">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水平层流台使用与清洁消毒规程</w:t>
            </w:r>
          </w:p>
        </w:tc>
      </w:tr>
      <w:tr w14:paraId="0E4AF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6A0B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27878">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无菌调配规程</w:t>
            </w:r>
          </w:p>
        </w:tc>
      </w:tr>
      <w:tr w14:paraId="3F11F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1A8D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EB157">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肠外营养液加药混合调配规程</w:t>
            </w:r>
          </w:p>
        </w:tc>
      </w:tr>
      <w:tr w14:paraId="30D0A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C017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B4B65">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危害药品加药混合调配规程</w:t>
            </w:r>
          </w:p>
        </w:tc>
      </w:tr>
      <w:tr w14:paraId="64F9A4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26D0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6C196">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成品输液核对规程</w:t>
            </w:r>
          </w:p>
        </w:tc>
      </w:tr>
      <w:tr w14:paraId="3FDAE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52E2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CEE48">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成品输液分拣操作规程</w:t>
            </w:r>
          </w:p>
        </w:tc>
      </w:tr>
      <w:tr w14:paraId="0A411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2584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B1D8A">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成品输液包装发放规程</w:t>
            </w:r>
          </w:p>
        </w:tc>
      </w:tr>
      <w:tr w14:paraId="48340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40CE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898E7">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成品输液运送和交接规程</w:t>
            </w:r>
          </w:p>
        </w:tc>
      </w:tr>
      <w:tr w14:paraId="3727C5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41EC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2CDAC">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空气中微生物监测规程</w:t>
            </w:r>
          </w:p>
        </w:tc>
      </w:tr>
      <w:tr w14:paraId="076F34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7216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DAA57">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空气中尘埃粒子监测规程</w:t>
            </w:r>
          </w:p>
        </w:tc>
      </w:tr>
      <w:tr w14:paraId="482A7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1F2F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03F3F">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物体表面监测规程</w:t>
            </w:r>
          </w:p>
        </w:tc>
      </w:tr>
      <w:tr w14:paraId="2E492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9E0B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612E4">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手卫生监测和手套指尖监测规程</w:t>
            </w:r>
          </w:p>
        </w:tc>
      </w:tr>
      <w:tr w14:paraId="416CC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F30D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0A16E">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进出洁净区更衣及手卫生规程</w:t>
            </w:r>
          </w:p>
        </w:tc>
      </w:tr>
      <w:tr w14:paraId="70C26B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4A01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11191">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洁净区仪器设备检测与维护规程</w:t>
            </w:r>
          </w:p>
        </w:tc>
      </w:tr>
      <w:tr w14:paraId="794E5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30DC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65E80">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空气处理机组检测与维护规程</w:t>
            </w:r>
          </w:p>
        </w:tc>
      </w:tr>
      <w:tr w14:paraId="430239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85FC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21</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31F81">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成品输液质量监测规程</w:t>
            </w:r>
          </w:p>
        </w:tc>
      </w:tr>
      <w:tr w14:paraId="13727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7E0F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22</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F8EAA">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药品管理规程（领用、验收、入库、养护、效期管理等）</w:t>
            </w:r>
          </w:p>
        </w:tc>
      </w:tr>
      <w:tr w14:paraId="48749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23CE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23</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4C2B2">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普通耗材及物料管理规程（领用、验收、入库、养护、效期管理等）</w:t>
            </w:r>
          </w:p>
        </w:tc>
      </w:tr>
      <w:tr w14:paraId="7839D8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B443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24</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25FB6">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无菌耗材管理规程（领用、验收、入库、养护、效期管理等）</w:t>
            </w:r>
          </w:p>
        </w:tc>
      </w:tr>
      <w:tr w14:paraId="1F245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3340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25</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9AF1C">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岗前培训规程</w:t>
            </w:r>
          </w:p>
        </w:tc>
      </w:tr>
      <w:tr w14:paraId="3A6FD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43B7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A71F2">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周期性强化培训规程</w:t>
            </w:r>
          </w:p>
        </w:tc>
      </w:tr>
      <w:tr w14:paraId="4DF15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BC59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27</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4B1C1">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继续教育规程</w:t>
            </w:r>
          </w:p>
        </w:tc>
      </w:tr>
      <w:tr w14:paraId="0D208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3233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1D32E">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专项培训规程</w:t>
            </w:r>
          </w:p>
        </w:tc>
      </w:tr>
      <w:tr w14:paraId="58D35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7C32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76841">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教学管理规程</w:t>
            </w:r>
          </w:p>
        </w:tc>
      </w:tr>
      <w:tr w14:paraId="65DFC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3383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1EE0C">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药品不良事件报告规程</w:t>
            </w:r>
          </w:p>
        </w:tc>
      </w:tr>
      <w:tr w14:paraId="5F436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D0D8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31</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3DAFC">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药学服务规程</w:t>
            </w:r>
          </w:p>
        </w:tc>
      </w:tr>
      <w:tr w14:paraId="24AC7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F08D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32</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CEEBB">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考勤规程</w:t>
            </w:r>
          </w:p>
        </w:tc>
      </w:tr>
      <w:tr w14:paraId="776A9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7B6F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33</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29024">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员工健康监测和体检规程</w:t>
            </w:r>
          </w:p>
        </w:tc>
      </w:tr>
      <w:tr w14:paraId="7C658D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890A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34</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96687">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处方点评工作规程</w:t>
            </w:r>
          </w:p>
        </w:tc>
      </w:tr>
      <w:tr w14:paraId="65BB2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2E73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35</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B5383">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文件管理规程</w:t>
            </w:r>
          </w:p>
        </w:tc>
      </w:tr>
      <w:tr w14:paraId="13656B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2934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36</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3D902">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绩效管理规程</w:t>
            </w:r>
          </w:p>
        </w:tc>
      </w:tr>
      <w:tr w14:paraId="2856C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B9C2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37</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4F788">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洁净区清洁、消毒规程</w:t>
            </w:r>
          </w:p>
        </w:tc>
      </w:tr>
      <w:tr w14:paraId="60135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03E8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38</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53DD9">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药品物品脱外包装规程</w:t>
            </w:r>
          </w:p>
        </w:tc>
      </w:tr>
      <w:tr w14:paraId="7C824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FAF9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39</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4026E">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非洁净控制区清洁、消毒规程</w:t>
            </w:r>
          </w:p>
        </w:tc>
      </w:tr>
      <w:tr w14:paraId="5F966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62AC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40</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F3FE4">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辅助工作区清洁、消毒规程</w:t>
            </w:r>
          </w:p>
        </w:tc>
      </w:tr>
      <w:tr w14:paraId="28F2E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13EF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41</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D886C">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清洁工具的清洁、消毒操作规程</w:t>
            </w:r>
          </w:p>
        </w:tc>
      </w:tr>
      <w:tr w14:paraId="12F802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6B40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42</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829C2">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危害药品溢出处理规程</w:t>
            </w:r>
          </w:p>
        </w:tc>
      </w:tr>
      <w:tr w14:paraId="4F585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AC61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43</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38108">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设备故障处理规程</w:t>
            </w:r>
          </w:p>
        </w:tc>
      </w:tr>
      <w:tr w14:paraId="5E0376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4B59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44</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707FE">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信息系统故障处理规程</w:t>
            </w:r>
          </w:p>
        </w:tc>
      </w:tr>
      <w:tr w14:paraId="600F6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C720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12087">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停电、停水处理规程</w:t>
            </w:r>
          </w:p>
        </w:tc>
      </w:tr>
      <w:tr w14:paraId="0B34A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6B52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46</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003B8">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锐器刺伤处理规程</w:t>
            </w:r>
          </w:p>
        </w:tc>
      </w:tr>
      <w:tr w14:paraId="7E5C2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CA51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47</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F5A3D">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泛水处理规程</w:t>
            </w:r>
          </w:p>
        </w:tc>
      </w:tr>
      <w:tr w14:paraId="3FD804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140D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48</w:t>
            </w:r>
          </w:p>
        </w:tc>
        <w:tc>
          <w:tcPr>
            <w:tcW w:w="7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D6E29">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火警火灾处理规程</w:t>
            </w:r>
          </w:p>
        </w:tc>
      </w:tr>
    </w:tbl>
    <w:p w14:paraId="45C03B16">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p>
    <w:p w14:paraId="198E04A4">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r>
        <w:rPr>
          <w:rFonts w:hint="eastAsia" w:ascii="仿宋" w:hAnsi="仿宋" w:eastAsia="仿宋" w:cs="仿宋"/>
          <w:b/>
          <w:bCs/>
          <w:i w:val="0"/>
          <w:iCs w:val="0"/>
          <w:caps w:val="0"/>
          <w:color w:val="000000"/>
          <w:spacing w:val="0"/>
          <w:sz w:val="24"/>
          <w:szCs w:val="24"/>
          <w:vertAlign w:val="baseline"/>
          <w:lang w:val="en-US" w:eastAsia="zh-CN"/>
        </w:rPr>
        <w:t>附表10 静配中心工作记录及归档资料目录清单示例</w:t>
      </w:r>
    </w:p>
    <w:tbl>
      <w:tblPr>
        <w:tblStyle w:val="3"/>
        <w:tblW w:w="923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60"/>
        <w:gridCol w:w="8272"/>
      </w:tblGrid>
      <w:tr w14:paraId="4729D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B3A3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8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9C776">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静配中心建设项目设计文件、装修施工合同、图纸、验收文件</w:t>
            </w:r>
          </w:p>
        </w:tc>
      </w:tr>
      <w:tr w14:paraId="3BC9A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B155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8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271A5">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静配中心建筑装修和设备、设施安装竣工的工程验收记录</w:t>
            </w:r>
          </w:p>
        </w:tc>
      </w:tr>
      <w:tr w14:paraId="48577E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6301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8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736DD">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经法定单位检测环境合格记录</w:t>
            </w:r>
          </w:p>
        </w:tc>
      </w:tr>
      <w:tr w14:paraId="60699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CE71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8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93CCB">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设备、设施的合格证、说明书</w:t>
            </w:r>
          </w:p>
        </w:tc>
      </w:tr>
      <w:tr w14:paraId="0DA17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9101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8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00CDE">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尚未有国家部门技术规范的自动化设备，应有生产企业的详细操作说明和验证报告或验收报告，报告应包括该设备的设定工作要求（如工作电压、温度等）、工作效率（如成品输液分拣机的分拣速度、自动摆药机的储存容量等）以及上述项目的验收结果和结论，验证或验收合格的方可投入使用；设备、设施应保障安全生产、有发生意外事件时的紧急处置措施；与输液调配有关的设备应该有保证输液质量的实验数据。</w:t>
            </w:r>
          </w:p>
        </w:tc>
      </w:tr>
      <w:tr w14:paraId="5D27B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75BA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8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144E5">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工作人员资料（包括专业资格证、职称证明的复印件）</w:t>
            </w:r>
          </w:p>
        </w:tc>
      </w:tr>
      <w:tr w14:paraId="128064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A290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8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AB7A4">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工作人员体检档案（至少保存1年内的体检结果）</w:t>
            </w:r>
          </w:p>
        </w:tc>
      </w:tr>
      <w:tr w14:paraId="2A0987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ABB0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8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4F415">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无菌耗材的质量文件（三证齐全）</w:t>
            </w:r>
          </w:p>
        </w:tc>
      </w:tr>
      <w:tr w14:paraId="030568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CBC8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8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D07E5">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药品管理、调配管理与各环节质控工作记录</w:t>
            </w:r>
          </w:p>
        </w:tc>
      </w:tr>
      <w:tr w14:paraId="2BDA1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2850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8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B64B3">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督导检查记录</w:t>
            </w:r>
          </w:p>
        </w:tc>
      </w:tr>
      <w:tr w14:paraId="2F390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F44D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8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BD0DA">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审方药师与临床沟通记录（不合理用药医嘱的干预与结果）</w:t>
            </w:r>
          </w:p>
        </w:tc>
      </w:tr>
      <w:tr w14:paraId="44A1D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7C41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8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B32F6">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药学服务记录（为医务人员提供相关药品信息与咨询服务宣传合理用药知识、外部相关科室和患者意见的信息记录）</w:t>
            </w:r>
          </w:p>
        </w:tc>
      </w:tr>
      <w:tr w14:paraId="2AA0B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3AEC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8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9B5C3">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药品说明书集</w:t>
            </w:r>
          </w:p>
        </w:tc>
      </w:tr>
      <w:tr w14:paraId="2D480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37AE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w:t>
            </w:r>
          </w:p>
        </w:tc>
        <w:tc>
          <w:tcPr>
            <w:tcW w:w="8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CE475">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处方（医嘱）点评记录</w:t>
            </w:r>
          </w:p>
        </w:tc>
      </w:tr>
      <w:tr w14:paraId="56A19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0611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8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C54FC">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空气监测记录（空气中沉降菌至少每3个月检测1次，尘埃离子至少每年检测1次）</w:t>
            </w:r>
          </w:p>
        </w:tc>
      </w:tr>
      <w:tr w14:paraId="503D32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25D5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c>
          <w:tcPr>
            <w:tcW w:w="8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F0578">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物体表面监测记录（每3个月对水平层流台、生物安全柜等物体表面进行1次微生物检测）</w:t>
            </w:r>
          </w:p>
        </w:tc>
      </w:tr>
      <w:tr w14:paraId="32FBCF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B391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w:t>
            </w:r>
          </w:p>
        </w:tc>
        <w:tc>
          <w:tcPr>
            <w:tcW w:w="8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3507E">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手卫生监测和手套指尖监测记录（至少每3个月检测1次）</w:t>
            </w:r>
          </w:p>
        </w:tc>
      </w:tr>
      <w:tr w14:paraId="39614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55AA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c>
          <w:tcPr>
            <w:tcW w:w="8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DDC0F">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消毒液配制记录.</w:t>
            </w:r>
          </w:p>
        </w:tc>
      </w:tr>
      <w:tr w14:paraId="69B3AC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A5D4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w:t>
            </w:r>
          </w:p>
        </w:tc>
        <w:tc>
          <w:tcPr>
            <w:tcW w:w="8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C8854">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成品输液留样检测报告</w:t>
            </w:r>
          </w:p>
        </w:tc>
      </w:tr>
      <w:tr w14:paraId="3F027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417D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8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C67D1">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洁净区仪器设备检测与维护记录（每年1次）</w:t>
            </w:r>
          </w:p>
        </w:tc>
      </w:tr>
      <w:tr w14:paraId="0FD85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C09E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21</w:t>
            </w:r>
          </w:p>
        </w:tc>
        <w:tc>
          <w:tcPr>
            <w:tcW w:w="8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F081C">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洁净区仪器设备常规性巡视检查（每日1次）</w:t>
            </w:r>
          </w:p>
        </w:tc>
      </w:tr>
      <w:tr w14:paraId="3C11D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B835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22</w:t>
            </w:r>
          </w:p>
        </w:tc>
        <w:tc>
          <w:tcPr>
            <w:tcW w:w="8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1E768">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水平层流台和生物安全柜检测（每年1次）</w:t>
            </w:r>
          </w:p>
        </w:tc>
      </w:tr>
      <w:tr w14:paraId="28C98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E7DB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23</w:t>
            </w:r>
          </w:p>
        </w:tc>
        <w:tc>
          <w:tcPr>
            <w:tcW w:w="8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C6B22">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水平层流台和生物安全柜的预过滤器的无纺布滤材及高效空气过滤器检测和更换记录</w:t>
            </w:r>
          </w:p>
        </w:tc>
      </w:tr>
      <w:tr w14:paraId="05484E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89A6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24</w:t>
            </w:r>
          </w:p>
        </w:tc>
        <w:tc>
          <w:tcPr>
            <w:tcW w:w="8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2F6AB">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检测仪器校正记录（每年1次）</w:t>
            </w:r>
          </w:p>
        </w:tc>
      </w:tr>
      <w:tr w14:paraId="4C8B8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2"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FE51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25</w:t>
            </w:r>
          </w:p>
        </w:tc>
        <w:tc>
          <w:tcPr>
            <w:tcW w:w="8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33D8C">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空气处理机组检测与维护记录（新风机组风口滤网，每个月清洁1次至3次；初效过滤器，每个月清洁检查1次，至少2个月~4个月更换1次；中效过滤器，每2个月清洁检查1次、至少3个月~6个月更换1次；末端高效过滤器，每年检查1次，使用2年~3年应更换；定期检查回风口过滤网，每日擦拭回风口，每周清洁1次，每年更换1次）</w:t>
            </w:r>
          </w:p>
        </w:tc>
      </w:tr>
    </w:tbl>
    <w:p w14:paraId="47D4BE33">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p>
    <w:p w14:paraId="13415E01">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r>
        <w:rPr>
          <w:rFonts w:hint="eastAsia" w:ascii="仿宋" w:hAnsi="仿宋" w:eastAsia="仿宋" w:cs="仿宋"/>
          <w:b/>
          <w:bCs/>
          <w:i w:val="0"/>
          <w:iCs w:val="0"/>
          <w:caps w:val="0"/>
          <w:color w:val="000000"/>
          <w:spacing w:val="0"/>
          <w:sz w:val="24"/>
          <w:szCs w:val="24"/>
          <w:vertAlign w:val="baseline"/>
          <w:lang w:val="en-US" w:eastAsia="zh-CN"/>
        </w:rPr>
        <w:t xml:space="preserve">附表11 洁净环境空气微生物监测方法与注意事项 </w:t>
      </w:r>
    </w:p>
    <w:tbl>
      <w:tblPr>
        <w:tblStyle w:val="3"/>
        <w:tblW w:w="896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24"/>
        <w:gridCol w:w="2460"/>
        <w:gridCol w:w="4981"/>
      </w:tblGrid>
      <w:tr w14:paraId="27D49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765F0">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项目</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A3A79">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要求</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365ED">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注意事项</w:t>
            </w:r>
          </w:p>
        </w:tc>
      </w:tr>
      <w:tr w14:paraId="57ACE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2" w:hRule="atLeast"/>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E589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监测方法</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72992">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沉降菌（静态）采样法</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top"/>
          </w:tcPr>
          <w:p w14:paraId="3E77F81C">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①检测用具应进行灭菌处理，以保证检测结果的准确性</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②采样前应仔细检查每个培养基平皿的质量，如发现变质、破损或污染的，应剔除</w:t>
            </w:r>
          </w:p>
        </w:tc>
      </w:tr>
      <w:tr w14:paraId="1AE369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93DF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仪器与材料</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6817C">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培养基、培养皿、恒温培养箱、高压蒸汽灭菌器等</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top"/>
          </w:tcPr>
          <w:p w14:paraId="4A3A7DD0">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③采样全过程应采取无菌操作，防止人为因素对培养基或培养基平皿的污染</w:t>
            </w:r>
          </w:p>
        </w:tc>
      </w:tr>
      <w:tr w14:paraId="23DEC2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F648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采样点的位置</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76BBA">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采样高度为距地面0.8m～1.5m位置；三点采用内中外摆放</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top"/>
          </w:tcPr>
          <w:p w14:paraId="14CE9A30">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④应在关键设备或者关键工作活动范围处增加采样点</w:t>
            </w:r>
          </w:p>
        </w:tc>
      </w:tr>
      <w:tr w14:paraId="27E03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2" w:hRule="atLeast"/>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4E43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培养基平皿摆放</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20C9C">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从里到外打开培养基平皿盖，将平皿盖扣放平皿旁，使培养基表面暴露在空气中</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top"/>
          </w:tcPr>
          <w:p w14:paraId="0B657DEA">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⑤布置采样点时，应尽量避开尘粒较集中的回风口</w:t>
            </w:r>
          </w:p>
        </w:tc>
      </w:tr>
      <w:tr w14:paraId="093F2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0DA3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平皿静态暴露时间</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170D6">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≥30min</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top"/>
          </w:tcPr>
          <w:p w14:paraId="0490E0FB">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⑥采样时，测试人员应站在采样点的下风侧，并尽量减少走动</w:t>
            </w:r>
          </w:p>
        </w:tc>
      </w:tr>
      <w:tr w14:paraId="5955F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2" w:hRule="atLeast"/>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EF59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采样时间</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E9FD3">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在操作全部结束、操作人员离开现场后，净化系统开启至少30min后开始采样</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top"/>
          </w:tcPr>
          <w:p w14:paraId="06C7D552">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⑦对单向流洁净台/间，培养基平皿布置在正对气流方向；对非单向流洁净台/间，采样口应向上</w:t>
            </w:r>
          </w:p>
        </w:tc>
      </w:tr>
      <w:tr w14:paraId="0A17D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8" w:hRule="atLeast"/>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7413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采样次数</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CA473">
            <w:pPr>
              <w:keepNext w:val="0"/>
              <w:keepLines w:val="0"/>
              <w:widowControl/>
              <w:suppressLineNumbers w:val="0"/>
              <w:ind w:firstLineChars="10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每个采样点采样一次</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top"/>
          </w:tcPr>
          <w:p w14:paraId="64D644D7">
            <w:pPr>
              <w:keepNext w:val="0"/>
              <w:keepLines w:val="0"/>
              <w:widowControl/>
              <w:suppressLineNumbers w:val="0"/>
              <w:ind w:firstLineChars="100"/>
              <w:jc w:val="left"/>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⑧为排除培养基平皿因质量问题造成假阳性结果，在洁净区采样时，应同时进行对照试验，每次每个区域，取1个对照培养基平皿,与采样培养基平皿同法操作、但不打开培养基平皿盖，然后与采样后的培养基平皿一起放入培养箱内培养，结果对照培养基平皿，应无菌落生长</w:t>
            </w:r>
          </w:p>
        </w:tc>
      </w:tr>
    </w:tbl>
    <w:p w14:paraId="0BE53F43">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p>
    <w:p w14:paraId="1B8C2023">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r>
        <w:rPr>
          <w:rFonts w:hint="eastAsia" w:ascii="仿宋" w:hAnsi="仿宋" w:eastAsia="仿宋" w:cs="仿宋"/>
          <w:b/>
          <w:bCs/>
          <w:i w:val="0"/>
          <w:iCs w:val="0"/>
          <w:caps w:val="0"/>
          <w:color w:val="000000"/>
          <w:spacing w:val="0"/>
          <w:sz w:val="24"/>
          <w:szCs w:val="24"/>
          <w:vertAlign w:val="baseline"/>
          <w:lang w:val="en-US" w:eastAsia="zh-CN"/>
        </w:rPr>
        <w:t>附表12最少采样点数目标准</w:t>
      </w:r>
    </w:p>
    <w:tbl>
      <w:tblPr>
        <w:tblStyle w:val="3"/>
        <w:tblW w:w="902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96"/>
        <w:gridCol w:w="2172"/>
        <w:gridCol w:w="2268"/>
        <w:gridCol w:w="2689"/>
      </w:tblGrid>
      <w:tr w14:paraId="5CC312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25" w:type="dxa"/>
            <w:gridSpan w:val="4"/>
            <w:tcBorders>
              <w:top w:val="nil"/>
              <w:left w:val="nil"/>
              <w:bottom w:val="nil"/>
              <w:right w:val="nil"/>
            </w:tcBorders>
            <w:shd w:val="clear" w:color="auto" w:fill="auto"/>
            <w:noWrap/>
            <w:vAlign w:val="center"/>
          </w:tcPr>
          <w:p w14:paraId="66BD732F">
            <w:pPr>
              <w:jc w:val="both"/>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最少采样点数目标准</w:t>
            </w:r>
          </w:p>
        </w:tc>
      </w:tr>
      <w:tr w14:paraId="7BC5C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8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8AD718">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面积 m</w:t>
            </w:r>
            <w:r>
              <w:rPr>
                <w:rStyle w:val="8"/>
                <w:rFonts w:hint="eastAsia" w:ascii="仿宋" w:hAnsi="仿宋" w:eastAsia="仿宋" w:cs="仿宋"/>
                <w:sz w:val="24"/>
                <w:szCs w:val="24"/>
                <w:lang w:val="en-US" w:eastAsia="zh-CN" w:bidi="ar"/>
              </w:rPr>
              <w:t>2</w:t>
            </w:r>
            <w:r>
              <w:rPr>
                <w:rFonts w:hint="eastAsia" w:ascii="仿宋" w:hAnsi="仿宋" w:eastAsia="仿宋" w:cs="仿宋"/>
                <w:b/>
                <w:bCs/>
                <w:i w:val="0"/>
                <w:iCs w:val="0"/>
                <w:color w:val="000000"/>
                <w:kern w:val="0"/>
                <w:sz w:val="24"/>
                <w:szCs w:val="24"/>
                <w:u w:val="none"/>
                <w:lang w:val="en-US" w:eastAsia="zh-CN" w:bidi="ar"/>
              </w:rPr>
              <w:t xml:space="preserve"> </w:t>
            </w:r>
          </w:p>
        </w:tc>
        <w:tc>
          <w:tcPr>
            <w:tcW w:w="712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89C9FA">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洁净度级别/采样点数目</w:t>
            </w:r>
            <w:r>
              <w:rPr>
                <w:rStyle w:val="8"/>
                <w:rFonts w:hint="eastAsia" w:ascii="仿宋" w:hAnsi="仿宋" w:eastAsia="仿宋" w:cs="仿宋"/>
                <w:sz w:val="24"/>
                <w:szCs w:val="24"/>
                <w:lang w:val="en-US" w:eastAsia="zh-CN" w:bidi="ar"/>
              </w:rPr>
              <w:t>a</w:t>
            </w:r>
          </w:p>
        </w:tc>
      </w:tr>
      <w:tr w14:paraId="35BAB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8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25AFC2">
            <w:pPr>
              <w:jc w:val="center"/>
              <w:rPr>
                <w:rFonts w:hint="eastAsia" w:ascii="仿宋" w:hAnsi="仿宋" w:eastAsia="仿宋" w:cs="仿宋"/>
                <w:b/>
                <w:bCs/>
                <w:i w:val="0"/>
                <w:iCs w:val="0"/>
                <w:color w:val="000000"/>
                <w:sz w:val="24"/>
                <w:szCs w:val="24"/>
                <w:u w:val="none"/>
              </w:rPr>
            </w:pPr>
          </w:p>
        </w:tc>
        <w:tc>
          <w:tcPr>
            <w:tcW w:w="2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10331">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A(100)级</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AFC48">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C(10000)级</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D9D4C">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D(100000)级</w:t>
            </w:r>
          </w:p>
        </w:tc>
      </w:tr>
      <w:tr w14:paraId="338B3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CF27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&lt;10</w:t>
            </w:r>
          </w:p>
        </w:tc>
        <w:tc>
          <w:tcPr>
            <w:tcW w:w="2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CD5F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2～3</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68EC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3CDF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6E527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4AC4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≥10～&lt;20</w:t>
            </w:r>
          </w:p>
        </w:tc>
        <w:tc>
          <w:tcPr>
            <w:tcW w:w="2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627A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7765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6B26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75641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46AF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≥20～&lt;40</w:t>
            </w:r>
          </w:p>
        </w:tc>
        <w:tc>
          <w:tcPr>
            <w:tcW w:w="2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8E9F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8903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D154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54BFC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960E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≥40～&lt;100</w:t>
            </w:r>
          </w:p>
        </w:tc>
        <w:tc>
          <w:tcPr>
            <w:tcW w:w="2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4230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5F4F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83AA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4CEC7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7394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≥100～&lt;200</w:t>
            </w:r>
          </w:p>
        </w:tc>
        <w:tc>
          <w:tcPr>
            <w:tcW w:w="2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EB5F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40</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7C21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9C9B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r>
      <w:tr w14:paraId="1B4C9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02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CE5481D">
            <w:pPr>
              <w:keepNext w:val="0"/>
              <w:keepLines w:val="0"/>
              <w:widowControl/>
              <w:suppressLineNumbers w:val="0"/>
              <w:jc w:val="left"/>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a：</w:t>
            </w:r>
            <w:r>
              <w:rPr>
                <w:rStyle w:val="9"/>
                <w:rFonts w:hint="eastAsia" w:ascii="仿宋" w:hAnsi="仿宋" w:eastAsia="仿宋" w:cs="仿宋"/>
                <w:sz w:val="24"/>
                <w:szCs w:val="24"/>
                <w:lang w:val="en-US" w:eastAsia="zh-CN" w:bidi="ar"/>
              </w:rPr>
              <w:t>对于A(100)级的单向流洁净室/区，包括A(100)级洁净工作台，其面积指的是送风覆盖面积；对于C(10000)级以上的非单向流洁净间/区，其面积指的是房间面积；C(10000)级为调配操作间和二次更衣室</w:t>
            </w:r>
          </w:p>
        </w:tc>
      </w:tr>
      <w:tr w14:paraId="11E05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896" w:type="dxa"/>
            <w:tcBorders>
              <w:top w:val="nil"/>
              <w:left w:val="nil"/>
              <w:bottom w:val="nil"/>
              <w:right w:val="nil"/>
            </w:tcBorders>
            <w:shd w:val="clear" w:color="auto" w:fill="auto"/>
            <w:noWrap/>
            <w:vAlign w:val="center"/>
          </w:tcPr>
          <w:p w14:paraId="26FE2046">
            <w:pPr>
              <w:rPr>
                <w:rFonts w:hint="eastAsia" w:ascii="仿宋" w:hAnsi="仿宋" w:eastAsia="仿宋" w:cs="仿宋"/>
                <w:i w:val="0"/>
                <w:iCs w:val="0"/>
                <w:color w:val="000000"/>
                <w:sz w:val="24"/>
                <w:szCs w:val="24"/>
                <w:u w:val="none"/>
              </w:rPr>
            </w:pPr>
          </w:p>
        </w:tc>
        <w:tc>
          <w:tcPr>
            <w:tcW w:w="2172" w:type="dxa"/>
            <w:tcBorders>
              <w:top w:val="nil"/>
              <w:left w:val="nil"/>
              <w:bottom w:val="nil"/>
              <w:right w:val="nil"/>
            </w:tcBorders>
            <w:shd w:val="clear" w:color="auto" w:fill="auto"/>
            <w:noWrap/>
            <w:vAlign w:val="center"/>
          </w:tcPr>
          <w:p w14:paraId="1200E58E">
            <w:pPr>
              <w:rPr>
                <w:rFonts w:hint="eastAsia" w:ascii="仿宋" w:hAnsi="仿宋" w:eastAsia="仿宋" w:cs="仿宋"/>
                <w:i w:val="0"/>
                <w:iCs w:val="0"/>
                <w:color w:val="000000"/>
                <w:sz w:val="24"/>
                <w:szCs w:val="24"/>
                <w:u w:val="none"/>
              </w:rPr>
            </w:pPr>
          </w:p>
        </w:tc>
        <w:tc>
          <w:tcPr>
            <w:tcW w:w="2268" w:type="dxa"/>
            <w:tcBorders>
              <w:top w:val="nil"/>
              <w:left w:val="nil"/>
              <w:bottom w:val="nil"/>
              <w:right w:val="nil"/>
            </w:tcBorders>
            <w:shd w:val="clear" w:color="auto" w:fill="auto"/>
            <w:noWrap/>
            <w:vAlign w:val="center"/>
          </w:tcPr>
          <w:p w14:paraId="750369FF">
            <w:pPr>
              <w:rPr>
                <w:rFonts w:hint="eastAsia" w:ascii="仿宋" w:hAnsi="仿宋" w:eastAsia="仿宋" w:cs="仿宋"/>
                <w:i w:val="0"/>
                <w:iCs w:val="0"/>
                <w:color w:val="000000"/>
                <w:sz w:val="24"/>
                <w:szCs w:val="24"/>
                <w:u w:val="none"/>
              </w:rPr>
            </w:pPr>
          </w:p>
        </w:tc>
        <w:tc>
          <w:tcPr>
            <w:tcW w:w="2689" w:type="dxa"/>
            <w:tcBorders>
              <w:top w:val="nil"/>
              <w:left w:val="nil"/>
              <w:bottom w:val="nil"/>
              <w:right w:val="nil"/>
            </w:tcBorders>
            <w:shd w:val="clear" w:color="auto" w:fill="auto"/>
            <w:noWrap/>
            <w:vAlign w:val="center"/>
          </w:tcPr>
          <w:p w14:paraId="48B3F1FB">
            <w:pPr>
              <w:rPr>
                <w:rFonts w:hint="eastAsia" w:ascii="仿宋" w:hAnsi="仿宋" w:eastAsia="仿宋" w:cs="仿宋"/>
                <w:i w:val="0"/>
                <w:iCs w:val="0"/>
                <w:color w:val="000000"/>
                <w:sz w:val="24"/>
                <w:szCs w:val="24"/>
                <w:u w:val="none"/>
              </w:rPr>
            </w:pPr>
          </w:p>
        </w:tc>
      </w:tr>
      <w:tr w14:paraId="29398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9025" w:type="dxa"/>
            <w:gridSpan w:val="4"/>
            <w:tcBorders>
              <w:top w:val="nil"/>
              <w:left w:val="nil"/>
              <w:bottom w:val="nil"/>
              <w:right w:val="nil"/>
            </w:tcBorders>
            <w:shd w:val="clear" w:color="auto" w:fill="auto"/>
            <w:noWrap/>
            <w:vAlign w:val="center"/>
          </w:tcPr>
          <w:p w14:paraId="05A34FAF">
            <w:pPr>
              <w:jc w:val="both"/>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最少培养基平皿数</w:t>
            </w:r>
          </w:p>
        </w:tc>
      </w:tr>
      <w:tr w14:paraId="66693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4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91BEE5">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洁净度级别</w:t>
            </w:r>
          </w:p>
        </w:tc>
        <w:tc>
          <w:tcPr>
            <w:tcW w:w="49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49130E">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最少培养皿数（φ90mm）</w:t>
            </w:r>
          </w:p>
        </w:tc>
      </w:tr>
      <w:tr w14:paraId="31598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7" w:hRule="atLeast"/>
        </w:trPr>
        <w:tc>
          <w:tcPr>
            <w:tcW w:w="4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1CF289">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A(100)级</w:t>
            </w:r>
          </w:p>
        </w:tc>
        <w:tc>
          <w:tcPr>
            <w:tcW w:w="49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D879AA">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3</w:t>
            </w:r>
          </w:p>
        </w:tc>
      </w:tr>
      <w:tr w14:paraId="1E53A8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2F790D">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C(10000)级</w:t>
            </w:r>
          </w:p>
        </w:tc>
        <w:tc>
          <w:tcPr>
            <w:tcW w:w="49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4B407F">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3</w:t>
            </w:r>
          </w:p>
        </w:tc>
      </w:tr>
      <w:tr w14:paraId="19F6A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4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A8B982">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D(100000)级</w:t>
            </w:r>
          </w:p>
        </w:tc>
        <w:tc>
          <w:tcPr>
            <w:tcW w:w="49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1011FD">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3</w:t>
            </w:r>
          </w:p>
        </w:tc>
      </w:tr>
    </w:tbl>
    <w:p w14:paraId="36D0D6F9">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p>
    <w:p w14:paraId="53C1CA47">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r>
        <w:rPr>
          <w:rFonts w:hint="eastAsia" w:ascii="仿宋" w:hAnsi="仿宋" w:eastAsia="仿宋" w:cs="仿宋"/>
          <w:b/>
          <w:bCs/>
          <w:i w:val="0"/>
          <w:iCs w:val="0"/>
          <w:caps w:val="0"/>
          <w:color w:val="000000"/>
          <w:spacing w:val="0"/>
          <w:sz w:val="24"/>
          <w:szCs w:val="24"/>
          <w:vertAlign w:val="baseline"/>
          <w:lang w:val="en-US" w:eastAsia="zh-CN"/>
        </w:rPr>
        <w:t>附表13 静配中心洁净环境检测指标及标准（静态）</w:t>
      </w:r>
    </w:p>
    <w:tbl>
      <w:tblPr>
        <w:tblStyle w:val="3"/>
        <w:tblW w:w="903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16"/>
        <w:gridCol w:w="804"/>
        <w:gridCol w:w="1018"/>
        <w:gridCol w:w="1647"/>
        <w:gridCol w:w="1309"/>
        <w:gridCol w:w="1429"/>
        <w:gridCol w:w="1713"/>
      </w:tblGrid>
      <w:tr w14:paraId="06771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1116"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5004317">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洁净级别</w:t>
            </w:r>
          </w:p>
        </w:tc>
        <w:tc>
          <w:tcPr>
            <w:tcW w:w="1822" w:type="dxa"/>
            <w:gridSpan w:val="2"/>
            <w:tcBorders>
              <w:top w:val="single" w:color="000000" w:sz="8" w:space="0"/>
              <w:left w:val="nil"/>
              <w:bottom w:val="single" w:color="000000" w:sz="8" w:space="0"/>
              <w:right w:val="single" w:color="000000" w:sz="8" w:space="0"/>
            </w:tcBorders>
            <w:shd w:val="clear" w:color="auto" w:fill="auto"/>
            <w:vAlign w:val="center"/>
          </w:tcPr>
          <w:p w14:paraId="22E7ECB0">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净化工作台</w:t>
            </w:r>
          </w:p>
        </w:tc>
        <w:tc>
          <w:tcPr>
            <w:tcW w:w="1647" w:type="dxa"/>
            <w:tcBorders>
              <w:top w:val="single" w:color="000000" w:sz="8" w:space="0"/>
              <w:left w:val="nil"/>
              <w:bottom w:val="single" w:color="000000" w:sz="8" w:space="0"/>
              <w:right w:val="single" w:color="000000" w:sz="8" w:space="0"/>
            </w:tcBorders>
            <w:shd w:val="clear" w:color="auto" w:fill="auto"/>
            <w:vAlign w:val="center"/>
          </w:tcPr>
          <w:p w14:paraId="324D589F">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二次更衣室</w:t>
            </w:r>
          </w:p>
        </w:tc>
        <w:tc>
          <w:tcPr>
            <w:tcW w:w="1309" w:type="dxa"/>
            <w:tcBorders>
              <w:top w:val="single" w:color="000000" w:sz="8" w:space="0"/>
              <w:left w:val="nil"/>
              <w:bottom w:val="single" w:color="000000" w:sz="8" w:space="0"/>
              <w:right w:val="single" w:color="000000" w:sz="8" w:space="0"/>
            </w:tcBorders>
            <w:shd w:val="clear" w:color="auto" w:fill="auto"/>
            <w:vAlign w:val="center"/>
          </w:tcPr>
          <w:p w14:paraId="6567D96F">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调配操作间</w:t>
            </w:r>
          </w:p>
        </w:tc>
        <w:tc>
          <w:tcPr>
            <w:tcW w:w="1429" w:type="dxa"/>
            <w:tcBorders>
              <w:top w:val="single" w:color="000000" w:sz="8" w:space="0"/>
              <w:left w:val="nil"/>
              <w:bottom w:val="single" w:color="000000" w:sz="8" w:space="0"/>
              <w:right w:val="single" w:color="000000" w:sz="8" w:space="0"/>
            </w:tcBorders>
            <w:shd w:val="clear" w:color="auto" w:fill="auto"/>
            <w:vAlign w:val="center"/>
          </w:tcPr>
          <w:p w14:paraId="1DBEEF06">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一次更衣室</w:t>
            </w:r>
          </w:p>
        </w:tc>
        <w:tc>
          <w:tcPr>
            <w:tcW w:w="1713" w:type="dxa"/>
            <w:tcBorders>
              <w:top w:val="single" w:color="000000" w:sz="8" w:space="0"/>
              <w:left w:val="nil"/>
              <w:bottom w:val="single" w:color="000000" w:sz="8" w:space="0"/>
              <w:right w:val="single" w:color="000000" w:sz="8" w:space="0"/>
            </w:tcBorders>
            <w:shd w:val="clear" w:color="auto" w:fill="auto"/>
            <w:vAlign w:val="center"/>
          </w:tcPr>
          <w:p w14:paraId="2D9D2C68">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洗衣洁具间</w:t>
            </w:r>
          </w:p>
        </w:tc>
      </w:tr>
      <w:tr w14:paraId="2AC09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trPr>
        <w:tc>
          <w:tcPr>
            <w:tcW w:w="1116"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78C1330">
            <w:pPr>
              <w:jc w:val="center"/>
              <w:rPr>
                <w:rFonts w:hint="eastAsia" w:ascii="仿宋" w:hAnsi="仿宋" w:eastAsia="仿宋" w:cs="仿宋"/>
                <w:b/>
                <w:bCs/>
                <w:i w:val="0"/>
                <w:iCs w:val="0"/>
                <w:color w:val="000000"/>
                <w:sz w:val="24"/>
                <w:szCs w:val="24"/>
                <w:u w:val="none"/>
              </w:rPr>
            </w:pPr>
          </w:p>
        </w:tc>
        <w:tc>
          <w:tcPr>
            <w:tcW w:w="1822" w:type="dxa"/>
            <w:gridSpan w:val="2"/>
            <w:tcBorders>
              <w:top w:val="nil"/>
              <w:left w:val="nil"/>
              <w:bottom w:val="single" w:color="000000" w:sz="8" w:space="0"/>
              <w:right w:val="single" w:color="000000" w:sz="8" w:space="0"/>
            </w:tcBorders>
            <w:shd w:val="clear" w:color="auto" w:fill="auto"/>
            <w:vAlign w:val="center"/>
          </w:tcPr>
          <w:p w14:paraId="426C4FCB">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A（100）级</w:t>
            </w:r>
          </w:p>
        </w:tc>
        <w:tc>
          <w:tcPr>
            <w:tcW w:w="2956" w:type="dxa"/>
            <w:gridSpan w:val="2"/>
            <w:tcBorders>
              <w:top w:val="nil"/>
              <w:left w:val="nil"/>
              <w:bottom w:val="single" w:color="000000" w:sz="8" w:space="0"/>
              <w:right w:val="single" w:color="000000" w:sz="8" w:space="0"/>
            </w:tcBorders>
            <w:shd w:val="clear" w:color="auto" w:fill="auto"/>
            <w:vAlign w:val="center"/>
          </w:tcPr>
          <w:p w14:paraId="21333545">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C(10000)级</w:t>
            </w:r>
          </w:p>
        </w:tc>
        <w:tc>
          <w:tcPr>
            <w:tcW w:w="3142" w:type="dxa"/>
            <w:gridSpan w:val="2"/>
            <w:tcBorders>
              <w:top w:val="nil"/>
              <w:left w:val="nil"/>
              <w:bottom w:val="single" w:color="000000" w:sz="8" w:space="0"/>
              <w:right w:val="single" w:color="000000" w:sz="8" w:space="0"/>
            </w:tcBorders>
            <w:shd w:val="clear" w:color="auto" w:fill="auto"/>
            <w:vAlign w:val="center"/>
          </w:tcPr>
          <w:p w14:paraId="2787F13A">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D(100000)级</w:t>
            </w:r>
          </w:p>
        </w:tc>
      </w:tr>
      <w:tr w14:paraId="59628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trPr>
        <w:tc>
          <w:tcPr>
            <w:tcW w:w="1116" w:type="dxa"/>
            <w:vMerge w:val="restart"/>
            <w:tcBorders>
              <w:top w:val="nil"/>
              <w:left w:val="single" w:color="000000" w:sz="8" w:space="0"/>
              <w:bottom w:val="single" w:color="000000" w:sz="8" w:space="0"/>
              <w:right w:val="single" w:color="000000" w:sz="8" w:space="0"/>
            </w:tcBorders>
            <w:shd w:val="clear" w:color="auto" w:fill="auto"/>
            <w:vAlign w:val="center"/>
          </w:tcPr>
          <w:p w14:paraId="2F4992DF">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悬浮粒子最多允许数</w:t>
            </w:r>
          </w:p>
        </w:tc>
        <w:tc>
          <w:tcPr>
            <w:tcW w:w="804" w:type="dxa"/>
            <w:tcBorders>
              <w:top w:val="nil"/>
              <w:left w:val="nil"/>
              <w:bottom w:val="nil"/>
              <w:right w:val="single" w:color="000000" w:sz="8" w:space="0"/>
            </w:tcBorders>
            <w:shd w:val="clear" w:color="auto" w:fill="auto"/>
            <w:vAlign w:val="center"/>
          </w:tcPr>
          <w:p w14:paraId="7544C29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≥0.5</w:t>
            </w:r>
          </w:p>
        </w:tc>
        <w:tc>
          <w:tcPr>
            <w:tcW w:w="1018" w:type="dxa"/>
            <w:tcBorders>
              <w:top w:val="nil"/>
              <w:left w:val="nil"/>
              <w:bottom w:val="nil"/>
              <w:right w:val="single" w:color="000000" w:sz="8" w:space="0"/>
            </w:tcBorders>
            <w:shd w:val="clear" w:color="auto" w:fill="auto"/>
            <w:vAlign w:val="center"/>
          </w:tcPr>
          <w:p w14:paraId="4352C00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647" w:type="dxa"/>
            <w:tcBorders>
              <w:top w:val="nil"/>
              <w:left w:val="nil"/>
              <w:bottom w:val="nil"/>
              <w:right w:val="single" w:color="000000" w:sz="8" w:space="0"/>
            </w:tcBorders>
            <w:shd w:val="clear" w:color="auto" w:fill="auto"/>
            <w:vAlign w:val="center"/>
          </w:tcPr>
          <w:p w14:paraId="5C144DD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≥0.5</w:t>
            </w:r>
          </w:p>
        </w:tc>
        <w:tc>
          <w:tcPr>
            <w:tcW w:w="1309" w:type="dxa"/>
            <w:tcBorders>
              <w:top w:val="single" w:color="000000" w:sz="8" w:space="0"/>
              <w:left w:val="nil"/>
              <w:bottom w:val="nil"/>
              <w:right w:val="single" w:color="000000" w:sz="8" w:space="0"/>
            </w:tcBorders>
            <w:shd w:val="clear" w:color="auto" w:fill="auto"/>
            <w:vAlign w:val="center"/>
          </w:tcPr>
          <w:p w14:paraId="1CC26D3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429" w:type="dxa"/>
            <w:tcBorders>
              <w:top w:val="single" w:color="000000" w:sz="8" w:space="0"/>
              <w:left w:val="nil"/>
              <w:bottom w:val="nil"/>
              <w:right w:val="single" w:color="000000" w:sz="8" w:space="0"/>
            </w:tcBorders>
            <w:shd w:val="clear" w:color="auto" w:fill="auto"/>
            <w:vAlign w:val="center"/>
          </w:tcPr>
          <w:p w14:paraId="13608F9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≥0.5</w:t>
            </w:r>
          </w:p>
        </w:tc>
        <w:tc>
          <w:tcPr>
            <w:tcW w:w="1713" w:type="dxa"/>
            <w:tcBorders>
              <w:top w:val="single" w:color="000000" w:sz="8" w:space="0"/>
              <w:left w:val="nil"/>
              <w:bottom w:val="nil"/>
              <w:right w:val="single" w:color="000000" w:sz="8" w:space="0"/>
            </w:tcBorders>
            <w:shd w:val="clear" w:color="auto" w:fill="auto"/>
            <w:vAlign w:val="center"/>
          </w:tcPr>
          <w:p w14:paraId="413A338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r>
      <w:tr w14:paraId="18D5F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1116" w:type="dxa"/>
            <w:vMerge w:val="continue"/>
            <w:tcBorders>
              <w:top w:val="nil"/>
              <w:left w:val="single" w:color="000000" w:sz="8" w:space="0"/>
              <w:bottom w:val="single" w:color="000000" w:sz="8" w:space="0"/>
              <w:right w:val="single" w:color="000000" w:sz="8" w:space="0"/>
            </w:tcBorders>
            <w:shd w:val="clear" w:color="auto" w:fill="auto"/>
            <w:vAlign w:val="center"/>
          </w:tcPr>
          <w:p w14:paraId="31D091C9">
            <w:pPr>
              <w:jc w:val="center"/>
              <w:rPr>
                <w:rFonts w:hint="eastAsia" w:ascii="仿宋" w:hAnsi="仿宋" w:eastAsia="仿宋" w:cs="仿宋"/>
                <w:b/>
                <w:bCs/>
                <w:i w:val="0"/>
                <w:iCs w:val="0"/>
                <w:color w:val="000000"/>
                <w:sz w:val="24"/>
                <w:szCs w:val="24"/>
                <w:u w:val="none"/>
              </w:rPr>
            </w:pPr>
          </w:p>
        </w:tc>
        <w:tc>
          <w:tcPr>
            <w:tcW w:w="804" w:type="dxa"/>
            <w:tcBorders>
              <w:top w:val="nil"/>
              <w:left w:val="nil"/>
              <w:bottom w:val="single" w:color="000000" w:sz="8" w:space="0"/>
              <w:right w:val="single" w:color="000000" w:sz="8" w:space="0"/>
            </w:tcBorders>
            <w:shd w:val="clear" w:color="auto" w:fill="auto"/>
            <w:vAlign w:val="center"/>
          </w:tcPr>
          <w:p w14:paraId="62B2E96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μm/m</w:t>
            </w:r>
            <w:r>
              <w:rPr>
                <w:rFonts w:hint="eastAsia" w:ascii="仿宋" w:hAnsi="仿宋" w:eastAsia="仿宋" w:cs="仿宋"/>
                <w:i w:val="0"/>
                <w:iCs w:val="0"/>
                <w:color w:val="000000"/>
                <w:kern w:val="0"/>
                <w:sz w:val="24"/>
                <w:szCs w:val="24"/>
                <w:u w:val="none"/>
                <w:vertAlign w:val="superscript"/>
                <w:lang w:val="en-US" w:eastAsia="zh-CN" w:bidi="ar"/>
              </w:rPr>
              <w:t>3</w:t>
            </w:r>
          </w:p>
        </w:tc>
        <w:tc>
          <w:tcPr>
            <w:tcW w:w="1018" w:type="dxa"/>
            <w:tcBorders>
              <w:top w:val="nil"/>
              <w:left w:val="nil"/>
              <w:bottom w:val="single" w:color="000000" w:sz="8" w:space="0"/>
              <w:right w:val="single" w:color="000000" w:sz="8" w:space="0"/>
            </w:tcBorders>
            <w:shd w:val="clear" w:color="auto" w:fill="auto"/>
            <w:vAlign w:val="center"/>
          </w:tcPr>
          <w:p w14:paraId="455FB70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μm/m</w:t>
            </w:r>
            <w:r>
              <w:rPr>
                <w:rFonts w:hint="eastAsia" w:ascii="仿宋" w:hAnsi="仿宋" w:eastAsia="仿宋" w:cs="仿宋"/>
                <w:i w:val="0"/>
                <w:iCs w:val="0"/>
                <w:color w:val="000000"/>
                <w:kern w:val="0"/>
                <w:sz w:val="24"/>
                <w:szCs w:val="24"/>
                <w:u w:val="none"/>
                <w:vertAlign w:val="superscript"/>
                <w:lang w:val="en-US" w:eastAsia="zh-CN" w:bidi="ar"/>
              </w:rPr>
              <w:t>3</w:t>
            </w:r>
          </w:p>
        </w:tc>
        <w:tc>
          <w:tcPr>
            <w:tcW w:w="1647" w:type="dxa"/>
            <w:tcBorders>
              <w:top w:val="nil"/>
              <w:left w:val="nil"/>
              <w:bottom w:val="single" w:color="000000" w:sz="8" w:space="0"/>
              <w:right w:val="single" w:color="000000" w:sz="8" w:space="0"/>
            </w:tcBorders>
            <w:shd w:val="clear" w:color="auto" w:fill="auto"/>
            <w:vAlign w:val="center"/>
          </w:tcPr>
          <w:p w14:paraId="13464B9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μm/m</w:t>
            </w:r>
            <w:r>
              <w:rPr>
                <w:rFonts w:hint="eastAsia" w:ascii="仿宋" w:hAnsi="仿宋" w:eastAsia="仿宋" w:cs="仿宋"/>
                <w:i w:val="0"/>
                <w:iCs w:val="0"/>
                <w:color w:val="000000"/>
                <w:kern w:val="0"/>
                <w:sz w:val="24"/>
                <w:szCs w:val="24"/>
                <w:u w:val="none"/>
                <w:vertAlign w:val="superscript"/>
                <w:lang w:val="en-US" w:eastAsia="zh-CN" w:bidi="ar"/>
              </w:rPr>
              <w:t>3</w:t>
            </w:r>
          </w:p>
        </w:tc>
        <w:tc>
          <w:tcPr>
            <w:tcW w:w="1309" w:type="dxa"/>
            <w:tcBorders>
              <w:top w:val="nil"/>
              <w:left w:val="nil"/>
              <w:bottom w:val="single" w:color="000000" w:sz="8" w:space="0"/>
              <w:right w:val="single" w:color="000000" w:sz="8" w:space="0"/>
            </w:tcBorders>
            <w:shd w:val="clear" w:color="auto" w:fill="auto"/>
            <w:vAlign w:val="center"/>
          </w:tcPr>
          <w:p w14:paraId="4C8ABB4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μm/m</w:t>
            </w:r>
            <w:r>
              <w:rPr>
                <w:rFonts w:hint="eastAsia" w:ascii="仿宋" w:hAnsi="仿宋" w:eastAsia="仿宋" w:cs="仿宋"/>
                <w:i w:val="0"/>
                <w:iCs w:val="0"/>
                <w:color w:val="000000"/>
                <w:kern w:val="0"/>
                <w:sz w:val="24"/>
                <w:szCs w:val="24"/>
                <w:u w:val="none"/>
                <w:vertAlign w:val="superscript"/>
                <w:lang w:val="en-US" w:eastAsia="zh-CN" w:bidi="ar"/>
              </w:rPr>
              <w:t>3</w:t>
            </w:r>
          </w:p>
        </w:tc>
        <w:tc>
          <w:tcPr>
            <w:tcW w:w="1429" w:type="dxa"/>
            <w:tcBorders>
              <w:top w:val="nil"/>
              <w:left w:val="nil"/>
              <w:bottom w:val="single" w:color="000000" w:sz="8" w:space="0"/>
              <w:right w:val="single" w:color="000000" w:sz="8" w:space="0"/>
            </w:tcBorders>
            <w:shd w:val="clear" w:color="auto" w:fill="auto"/>
            <w:vAlign w:val="center"/>
          </w:tcPr>
          <w:p w14:paraId="76BCA6D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μm/m</w:t>
            </w:r>
            <w:r>
              <w:rPr>
                <w:rFonts w:hint="eastAsia" w:ascii="仿宋" w:hAnsi="仿宋" w:eastAsia="仿宋" w:cs="仿宋"/>
                <w:i w:val="0"/>
                <w:iCs w:val="0"/>
                <w:color w:val="000000"/>
                <w:kern w:val="0"/>
                <w:sz w:val="24"/>
                <w:szCs w:val="24"/>
                <w:u w:val="none"/>
                <w:vertAlign w:val="superscript"/>
                <w:lang w:val="en-US" w:eastAsia="zh-CN" w:bidi="ar"/>
              </w:rPr>
              <w:t>3</w:t>
            </w:r>
          </w:p>
        </w:tc>
        <w:tc>
          <w:tcPr>
            <w:tcW w:w="1713" w:type="dxa"/>
            <w:tcBorders>
              <w:top w:val="nil"/>
              <w:left w:val="nil"/>
              <w:bottom w:val="single" w:color="000000" w:sz="8" w:space="0"/>
              <w:right w:val="single" w:color="000000" w:sz="8" w:space="0"/>
            </w:tcBorders>
            <w:shd w:val="clear" w:color="auto" w:fill="auto"/>
            <w:vAlign w:val="center"/>
          </w:tcPr>
          <w:p w14:paraId="3978924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μm/m</w:t>
            </w:r>
            <w:r>
              <w:rPr>
                <w:rFonts w:hint="eastAsia" w:ascii="仿宋" w:hAnsi="仿宋" w:eastAsia="仿宋" w:cs="仿宋"/>
                <w:i w:val="0"/>
                <w:iCs w:val="0"/>
                <w:color w:val="000000"/>
                <w:kern w:val="0"/>
                <w:sz w:val="24"/>
                <w:szCs w:val="24"/>
                <w:u w:val="none"/>
                <w:vertAlign w:val="superscript"/>
                <w:lang w:val="en-US" w:eastAsia="zh-CN" w:bidi="ar"/>
              </w:rPr>
              <w:t>3</w:t>
            </w:r>
          </w:p>
        </w:tc>
      </w:tr>
      <w:tr w14:paraId="3B188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1116" w:type="dxa"/>
            <w:vMerge w:val="continue"/>
            <w:tcBorders>
              <w:top w:val="nil"/>
              <w:left w:val="single" w:color="000000" w:sz="8" w:space="0"/>
              <w:bottom w:val="single" w:color="000000" w:sz="8" w:space="0"/>
              <w:right w:val="single" w:color="000000" w:sz="8" w:space="0"/>
            </w:tcBorders>
            <w:shd w:val="clear" w:color="auto" w:fill="auto"/>
            <w:vAlign w:val="center"/>
          </w:tcPr>
          <w:p w14:paraId="1A74A1F1">
            <w:pPr>
              <w:jc w:val="center"/>
              <w:rPr>
                <w:rFonts w:hint="eastAsia" w:ascii="仿宋" w:hAnsi="仿宋" w:eastAsia="仿宋" w:cs="仿宋"/>
                <w:b/>
                <w:bCs/>
                <w:i w:val="0"/>
                <w:iCs w:val="0"/>
                <w:color w:val="000000"/>
                <w:sz w:val="24"/>
                <w:szCs w:val="24"/>
                <w:u w:val="none"/>
              </w:rPr>
            </w:pPr>
          </w:p>
        </w:tc>
        <w:tc>
          <w:tcPr>
            <w:tcW w:w="804" w:type="dxa"/>
            <w:tcBorders>
              <w:top w:val="nil"/>
              <w:left w:val="nil"/>
              <w:bottom w:val="single" w:color="000000" w:sz="8" w:space="0"/>
              <w:right w:val="single" w:color="000000" w:sz="8" w:space="0"/>
            </w:tcBorders>
            <w:shd w:val="clear" w:color="auto" w:fill="auto"/>
            <w:vAlign w:val="center"/>
          </w:tcPr>
          <w:p w14:paraId="52E487E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3500</w:t>
            </w:r>
          </w:p>
        </w:tc>
        <w:tc>
          <w:tcPr>
            <w:tcW w:w="1018" w:type="dxa"/>
            <w:tcBorders>
              <w:top w:val="nil"/>
              <w:left w:val="nil"/>
              <w:bottom w:val="single" w:color="000000" w:sz="8" w:space="0"/>
              <w:right w:val="single" w:color="000000" w:sz="8" w:space="0"/>
            </w:tcBorders>
            <w:shd w:val="clear" w:color="auto" w:fill="auto"/>
            <w:vAlign w:val="center"/>
          </w:tcPr>
          <w:p w14:paraId="2110A9F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1647" w:type="dxa"/>
            <w:tcBorders>
              <w:top w:val="nil"/>
              <w:left w:val="nil"/>
              <w:bottom w:val="single" w:color="000000" w:sz="8" w:space="0"/>
              <w:right w:val="single" w:color="000000" w:sz="8" w:space="0"/>
            </w:tcBorders>
            <w:shd w:val="clear" w:color="auto" w:fill="auto"/>
            <w:vAlign w:val="center"/>
          </w:tcPr>
          <w:p w14:paraId="58836C4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≤350000</w:t>
            </w:r>
          </w:p>
        </w:tc>
        <w:tc>
          <w:tcPr>
            <w:tcW w:w="1309" w:type="dxa"/>
            <w:tcBorders>
              <w:top w:val="nil"/>
              <w:left w:val="nil"/>
              <w:bottom w:val="single" w:color="000000" w:sz="8" w:space="0"/>
              <w:right w:val="single" w:color="000000" w:sz="8" w:space="0"/>
            </w:tcBorders>
            <w:shd w:val="clear" w:color="auto" w:fill="auto"/>
            <w:vAlign w:val="center"/>
          </w:tcPr>
          <w:p w14:paraId="2A0FF82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≤2000</w:t>
            </w:r>
          </w:p>
        </w:tc>
        <w:tc>
          <w:tcPr>
            <w:tcW w:w="1429" w:type="dxa"/>
            <w:tcBorders>
              <w:top w:val="nil"/>
              <w:left w:val="nil"/>
              <w:bottom w:val="single" w:color="000000" w:sz="8" w:space="0"/>
              <w:right w:val="single" w:color="000000" w:sz="8" w:space="0"/>
            </w:tcBorders>
            <w:shd w:val="clear" w:color="auto" w:fill="auto"/>
            <w:vAlign w:val="center"/>
          </w:tcPr>
          <w:p w14:paraId="15AB442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≤3500000</w:t>
            </w:r>
          </w:p>
        </w:tc>
        <w:tc>
          <w:tcPr>
            <w:tcW w:w="1713" w:type="dxa"/>
            <w:tcBorders>
              <w:top w:val="nil"/>
              <w:left w:val="nil"/>
              <w:bottom w:val="single" w:color="000000" w:sz="8" w:space="0"/>
              <w:right w:val="single" w:color="000000" w:sz="8" w:space="0"/>
            </w:tcBorders>
            <w:shd w:val="clear" w:color="auto" w:fill="auto"/>
            <w:vAlign w:val="center"/>
          </w:tcPr>
          <w:p w14:paraId="1C8064E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≤20000</w:t>
            </w:r>
          </w:p>
        </w:tc>
      </w:tr>
      <w:tr w14:paraId="68492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trPr>
        <w:tc>
          <w:tcPr>
            <w:tcW w:w="1116" w:type="dxa"/>
            <w:vMerge w:val="restart"/>
            <w:tcBorders>
              <w:top w:val="nil"/>
              <w:left w:val="single" w:color="000000" w:sz="8" w:space="0"/>
              <w:bottom w:val="single" w:color="000000" w:sz="8" w:space="0"/>
              <w:right w:val="single" w:color="000000" w:sz="8" w:space="0"/>
            </w:tcBorders>
            <w:shd w:val="clear" w:color="auto" w:fill="auto"/>
            <w:vAlign w:val="center"/>
          </w:tcPr>
          <w:p w14:paraId="09A44D75">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细菌测试</w:t>
            </w:r>
          </w:p>
        </w:tc>
        <w:tc>
          <w:tcPr>
            <w:tcW w:w="1822" w:type="dxa"/>
            <w:gridSpan w:val="2"/>
            <w:tcBorders>
              <w:top w:val="nil"/>
              <w:left w:val="nil"/>
              <w:bottom w:val="single" w:color="000000" w:sz="8" w:space="0"/>
              <w:right w:val="single" w:color="000000" w:sz="8" w:space="0"/>
            </w:tcBorders>
            <w:shd w:val="clear" w:color="auto" w:fill="auto"/>
            <w:vAlign w:val="center"/>
          </w:tcPr>
          <w:p w14:paraId="50D449D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沉降菌</w:t>
            </w:r>
          </w:p>
        </w:tc>
        <w:tc>
          <w:tcPr>
            <w:tcW w:w="2956" w:type="dxa"/>
            <w:gridSpan w:val="2"/>
            <w:tcBorders>
              <w:top w:val="nil"/>
              <w:left w:val="nil"/>
              <w:bottom w:val="single" w:color="000000" w:sz="8" w:space="0"/>
              <w:right w:val="single" w:color="000000" w:sz="8" w:space="0"/>
            </w:tcBorders>
            <w:shd w:val="clear" w:color="auto" w:fill="auto"/>
            <w:vAlign w:val="center"/>
          </w:tcPr>
          <w:p w14:paraId="3241E76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沉降菌</w:t>
            </w:r>
          </w:p>
        </w:tc>
        <w:tc>
          <w:tcPr>
            <w:tcW w:w="3142" w:type="dxa"/>
            <w:gridSpan w:val="2"/>
            <w:tcBorders>
              <w:top w:val="nil"/>
              <w:left w:val="nil"/>
              <w:bottom w:val="single" w:color="000000" w:sz="8" w:space="0"/>
              <w:right w:val="single" w:color="000000" w:sz="8" w:space="0"/>
            </w:tcBorders>
            <w:shd w:val="clear" w:color="auto" w:fill="auto"/>
            <w:vAlign w:val="center"/>
          </w:tcPr>
          <w:p w14:paraId="6FCEDAF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沉降菌</w:t>
            </w:r>
          </w:p>
        </w:tc>
      </w:tr>
      <w:tr w14:paraId="32E48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trPr>
        <w:tc>
          <w:tcPr>
            <w:tcW w:w="1116" w:type="dxa"/>
            <w:vMerge w:val="continue"/>
            <w:tcBorders>
              <w:top w:val="nil"/>
              <w:left w:val="single" w:color="000000" w:sz="8" w:space="0"/>
              <w:bottom w:val="single" w:color="000000" w:sz="8" w:space="0"/>
              <w:right w:val="single" w:color="000000" w:sz="8" w:space="0"/>
            </w:tcBorders>
            <w:shd w:val="clear" w:color="auto" w:fill="auto"/>
            <w:vAlign w:val="center"/>
          </w:tcPr>
          <w:p w14:paraId="19DBF9F2">
            <w:pPr>
              <w:jc w:val="center"/>
              <w:rPr>
                <w:rFonts w:hint="eastAsia" w:ascii="仿宋" w:hAnsi="仿宋" w:eastAsia="仿宋" w:cs="仿宋"/>
                <w:b/>
                <w:bCs/>
                <w:i w:val="0"/>
                <w:iCs w:val="0"/>
                <w:color w:val="000000"/>
                <w:sz w:val="24"/>
                <w:szCs w:val="24"/>
                <w:u w:val="none"/>
              </w:rPr>
            </w:pPr>
          </w:p>
        </w:tc>
        <w:tc>
          <w:tcPr>
            <w:tcW w:w="1822" w:type="dxa"/>
            <w:gridSpan w:val="2"/>
            <w:tcBorders>
              <w:top w:val="nil"/>
              <w:left w:val="nil"/>
              <w:bottom w:val="single" w:color="000000" w:sz="8" w:space="0"/>
              <w:right w:val="single" w:color="000000" w:sz="8" w:space="0"/>
            </w:tcBorders>
            <w:shd w:val="clear" w:color="auto" w:fill="auto"/>
            <w:vAlign w:val="center"/>
          </w:tcPr>
          <w:p w14:paraId="395996D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 cfu/皿·0.5h</w:t>
            </w:r>
          </w:p>
        </w:tc>
        <w:tc>
          <w:tcPr>
            <w:tcW w:w="2956" w:type="dxa"/>
            <w:gridSpan w:val="2"/>
            <w:tcBorders>
              <w:top w:val="nil"/>
              <w:left w:val="nil"/>
              <w:bottom w:val="single" w:color="000000" w:sz="8" w:space="0"/>
              <w:right w:val="single" w:color="000000" w:sz="8" w:space="0"/>
            </w:tcBorders>
            <w:shd w:val="clear" w:color="auto" w:fill="auto"/>
            <w:vAlign w:val="center"/>
          </w:tcPr>
          <w:p w14:paraId="5AA34D6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 cfu/皿·0.5h</w:t>
            </w:r>
          </w:p>
        </w:tc>
        <w:tc>
          <w:tcPr>
            <w:tcW w:w="3142" w:type="dxa"/>
            <w:gridSpan w:val="2"/>
            <w:tcBorders>
              <w:top w:val="nil"/>
              <w:left w:val="nil"/>
              <w:bottom w:val="single" w:color="000000" w:sz="8" w:space="0"/>
              <w:right w:val="single" w:color="000000" w:sz="8" w:space="0"/>
            </w:tcBorders>
            <w:shd w:val="clear" w:color="auto" w:fill="auto"/>
            <w:vAlign w:val="center"/>
          </w:tcPr>
          <w:p w14:paraId="170A4C3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 cfu/皿·0.5h</w:t>
            </w:r>
          </w:p>
        </w:tc>
      </w:tr>
      <w:tr w14:paraId="20EAF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1116" w:type="dxa"/>
            <w:tcBorders>
              <w:top w:val="nil"/>
              <w:left w:val="single" w:color="000000" w:sz="8" w:space="0"/>
              <w:bottom w:val="single" w:color="000000" w:sz="8" w:space="0"/>
              <w:right w:val="single" w:color="000000" w:sz="8" w:space="0"/>
            </w:tcBorders>
            <w:shd w:val="clear" w:color="auto" w:fill="auto"/>
            <w:vAlign w:val="center"/>
          </w:tcPr>
          <w:p w14:paraId="2FB4534B">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换气次数</w:t>
            </w:r>
          </w:p>
        </w:tc>
        <w:tc>
          <w:tcPr>
            <w:tcW w:w="1822" w:type="dxa"/>
            <w:gridSpan w:val="2"/>
            <w:tcBorders>
              <w:top w:val="nil"/>
              <w:left w:val="nil"/>
              <w:bottom w:val="single" w:color="000000" w:sz="8" w:space="0"/>
              <w:right w:val="single" w:color="000000" w:sz="8" w:space="0"/>
            </w:tcBorders>
            <w:shd w:val="clear" w:color="auto" w:fill="auto"/>
            <w:vAlign w:val="center"/>
          </w:tcPr>
          <w:p w14:paraId="4B04BAB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2956" w:type="dxa"/>
            <w:gridSpan w:val="2"/>
            <w:tcBorders>
              <w:top w:val="nil"/>
              <w:left w:val="nil"/>
              <w:bottom w:val="single" w:color="000000" w:sz="8" w:space="0"/>
              <w:right w:val="single" w:color="000000" w:sz="8" w:space="0"/>
            </w:tcBorders>
            <w:shd w:val="clear" w:color="auto" w:fill="auto"/>
            <w:vAlign w:val="center"/>
          </w:tcPr>
          <w:p w14:paraId="536CF05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≥25次/h</w:t>
            </w:r>
          </w:p>
        </w:tc>
        <w:tc>
          <w:tcPr>
            <w:tcW w:w="3142" w:type="dxa"/>
            <w:gridSpan w:val="2"/>
            <w:tcBorders>
              <w:top w:val="nil"/>
              <w:left w:val="nil"/>
              <w:bottom w:val="single" w:color="000000" w:sz="8" w:space="0"/>
              <w:right w:val="single" w:color="000000" w:sz="8" w:space="0"/>
            </w:tcBorders>
            <w:shd w:val="clear" w:color="auto" w:fill="auto"/>
            <w:vAlign w:val="center"/>
          </w:tcPr>
          <w:p w14:paraId="5F9B035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≥15次/h</w:t>
            </w:r>
          </w:p>
        </w:tc>
      </w:tr>
      <w:tr w14:paraId="4C7A0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trPr>
        <w:tc>
          <w:tcPr>
            <w:tcW w:w="1116" w:type="dxa"/>
            <w:vMerge w:val="restart"/>
            <w:tcBorders>
              <w:top w:val="nil"/>
              <w:left w:val="single" w:color="000000" w:sz="8" w:space="0"/>
              <w:bottom w:val="single" w:color="000000" w:sz="8" w:space="0"/>
              <w:right w:val="single" w:color="000000" w:sz="8" w:space="0"/>
            </w:tcBorders>
            <w:shd w:val="clear" w:color="auto" w:fill="auto"/>
            <w:vAlign w:val="center"/>
          </w:tcPr>
          <w:p w14:paraId="07DAD963">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静压差</w:t>
            </w:r>
          </w:p>
        </w:tc>
        <w:tc>
          <w:tcPr>
            <w:tcW w:w="7920" w:type="dxa"/>
            <w:gridSpan w:val="6"/>
            <w:tcBorders>
              <w:top w:val="nil"/>
              <w:left w:val="nil"/>
              <w:bottom w:val="nil"/>
              <w:right w:val="single" w:color="000000" w:sz="8" w:space="0"/>
            </w:tcBorders>
            <w:shd w:val="clear" w:color="auto" w:fill="auto"/>
            <w:vAlign w:val="center"/>
          </w:tcPr>
          <w:p w14:paraId="4C43334D">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非洁净控制区＜一次更衣室＜二次更衣室＜电解质类等普通输液和肠外营养液调配操作间</w:t>
            </w:r>
          </w:p>
        </w:tc>
      </w:tr>
      <w:tr w14:paraId="63686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trPr>
        <w:tc>
          <w:tcPr>
            <w:tcW w:w="1116" w:type="dxa"/>
            <w:vMerge w:val="continue"/>
            <w:tcBorders>
              <w:top w:val="nil"/>
              <w:left w:val="single" w:color="000000" w:sz="8" w:space="0"/>
              <w:bottom w:val="single" w:color="000000" w:sz="8" w:space="0"/>
              <w:right w:val="single" w:color="000000" w:sz="8" w:space="0"/>
            </w:tcBorders>
            <w:shd w:val="clear" w:color="auto" w:fill="auto"/>
            <w:vAlign w:val="center"/>
          </w:tcPr>
          <w:p w14:paraId="7343C8C9">
            <w:pPr>
              <w:jc w:val="center"/>
              <w:rPr>
                <w:rFonts w:hint="eastAsia" w:ascii="仿宋" w:hAnsi="仿宋" w:eastAsia="仿宋" w:cs="仿宋"/>
                <w:b/>
                <w:bCs/>
                <w:i w:val="0"/>
                <w:iCs w:val="0"/>
                <w:color w:val="000000"/>
                <w:sz w:val="24"/>
                <w:szCs w:val="24"/>
                <w:u w:val="none"/>
              </w:rPr>
            </w:pPr>
          </w:p>
        </w:tc>
        <w:tc>
          <w:tcPr>
            <w:tcW w:w="7920" w:type="dxa"/>
            <w:gridSpan w:val="6"/>
            <w:tcBorders>
              <w:top w:val="nil"/>
              <w:left w:val="nil"/>
              <w:bottom w:val="nil"/>
              <w:right w:val="single" w:color="000000" w:sz="8" w:space="0"/>
            </w:tcBorders>
            <w:shd w:val="clear" w:color="auto" w:fill="auto"/>
            <w:vAlign w:val="center"/>
          </w:tcPr>
          <w:p w14:paraId="6375001A">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非洁净控制区＜一次更衣室＜二次更衣室＞抗生素和危害药品调配操作间</w:t>
            </w:r>
          </w:p>
        </w:tc>
      </w:tr>
      <w:tr w14:paraId="4AEE7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1116" w:type="dxa"/>
            <w:vMerge w:val="continue"/>
            <w:tcBorders>
              <w:top w:val="nil"/>
              <w:left w:val="single" w:color="000000" w:sz="8" w:space="0"/>
              <w:bottom w:val="single" w:color="000000" w:sz="8" w:space="0"/>
              <w:right w:val="single" w:color="000000" w:sz="8" w:space="0"/>
            </w:tcBorders>
            <w:shd w:val="clear" w:color="auto" w:fill="auto"/>
            <w:vAlign w:val="center"/>
          </w:tcPr>
          <w:p w14:paraId="7C33A176">
            <w:pPr>
              <w:jc w:val="center"/>
              <w:rPr>
                <w:rFonts w:hint="eastAsia" w:ascii="仿宋" w:hAnsi="仿宋" w:eastAsia="仿宋" w:cs="仿宋"/>
                <w:b/>
                <w:bCs/>
                <w:i w:val="0"/>
                <w:iCs w:val="0"/>
                <w:color w:val="000000"/>
                <w:sz w:val="24"/>
                <w:szCs w:val="24"/>
                <w:u w:val="none"/>
              </w:rPr>
            </w:pPr>
          </w:p>
        </w:tc>
        <w:tc>
          <w:tcPr>
            <w:tcW w:w="7920" w:type="dxa"/>
            <w:gridSpan w:val="6"/>
            <w:tcBorders>
              <w:top w:val="nil"/>
              <w:left w:val="nil"/>
              <w:bottom w:val="single" w:color="000000" w:sz="8" w:space="0"/>
              <w:right w:val="single" w:color="000000" w:sz="8" w:space="0"/>
            </w:tcBorders>
            <w:shd w:val="clear" w:color="auto" w:fill="auto"/>
            <w:vAlign w:val="center"/>
          </w:tcPr>
          <w:p w14:paraId="2BB95BA7">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（洁净区相邻区域压差5Pa～10Pa，一次更衣室与非洁净控制区之间压差≥10Pa）</w:t>
            </w:r>
          </w:p>
        </w:tc>
      </w:tr>
      <w:tr w14:paraId="1D63C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trPr>
        <w:tc>
          <w:tcPr>
            <w:tcW w:w="1116" w:type="dxa"/>
            <w:tcBorders>
              <w:top w:val="nil"/>
              <w:left w:val="single" w:color="000000" w:sz="8" w:space="0"/>
              <w:bottom w:val="single" w:color="000000" w:sz="8" w:space="0"/>
              <w:right w:val="single" w:color="000000" w:sz="8" w:space="0"/>
            </w:tcBorders>
            <w:shd w:val="clear" w:color="auto" w:fill="auto"/>
            <w:vAlign w:val="center"/>
          </w:tcPr>
          <w:p w14:paraId="5DFEBCF2">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温度</w:t>
            </w:r>
          </w:p>
        </w:tc>
        <w:tc>
          <w:tcPr>
            <w:tcW w:w="7920" w:type="dxa"/>
            <w:gridSpan w:val="6"/>
            <w:tcBorders>
              <w:top w:val="nil"/>
              <w:left w:val="nil"/>
              <w:bottom w:val="single" w:color="000000" w:sz="8" w:space="0"/>
              <w:right w:val="single" w:color="000000" w:sz="8" w:space="0"/>
            </w:tcBorders>
            <w:shd w:val="clear" w:color="auto" w:fill="auto"/>
            <w:vAlign w:val="center"/>
          </w:tcPr>
          <w:p w14:paraId="079D3F8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18℃～26℃</w:t>
            </w:r>
          </w:p>
        </w:tc>
      </w:tr>
      <w:tr w14:paraId="0A935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1116" w:type="dxa"/>
            <w:tcBorders>
              <w:top w:val="nil"/>
              <w:left w:val="single" w:color="000000" w:sz="8" w:space="0"/>
              <w:bottom w:val="single" w:color="000000" w:sz="8" w:space="0"/>
              <w:right w:val="single" w:color="000000" w:sz="8" w:space="0"/>
            </w:tcBorders>
            <w:shd w:val="clear" w:color="auto" w:fill="auto"/>
            <w:vAlign w:val="center"/>
          </w:tcPr>
          <w:p w14:paraId="1BFF2DE3">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相对湿度</w:t>
            </w:r>
          </w:p>
        </w:tc>
        <w:tc>
          <w:tcPr>
            <w:tcW w:w="7920" w:type="dxa"/>
            <w:gridSpan w:val="6"/>
            <w:tcBorders>
              <w:top w:val="nil"/>
              <w:left w:val="nil"/>
              <w:bottom w:val="single" w:color="000000" w:sz="8" w:space="0"/>
              <w:right w:val="single" w:color="000000" w:sz="8" w:space="0"/>
            </w:tcBorders>
            <w:shd w:val="clear" w:color="auto" w:fill="auto"/>
            <w:vAlign w:val="center"/>
          </w:tcPr>
          <w:p w14:paraId="24F6099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35％～75％</w:t>
            </w:r>
          </w:p>
        </w:tc>
      </w:tr>
      <w:tr w14:paraId="1E5AE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1116" w:type="dxa"/>
            <w:tcBorders>
              <w:top w:val="nil"/>
              <w:left w:val="single" w:color="000000" w:sz="8" w:space="0"/>
              <w:bottom w:val="single" w:color="000000" w:sz="8" w:space="0"/>
              <w:right w:val="single" w:color="000000" w:sz="8" w:space="0"/>
            </w:tcBorders>
            <w:shd w:val="clear" w:color="auto" w:fill="auto"/>
            <w:vAlign w:val="center"/>
          </w:tcPr>
          <w:p w14:paraId="5389A4B0">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环境噪音</w:t>
            </w:r>
          </w:p>
        </w:tc>
        <w:tc>
          <w:tcPr>
            <w:tcW w:w="7920" w:type="dxa"/>
            <w:gridSpan w:val="6"/>
            <w:tcBorders>
              <w:top w:val="nil"/>
              <w:left w:val="nil"/>
              <w:bottom w:val="single" w:color="000000" w:sz="8" w:space="0"/>
              <w:right w:val="single" w:color="000000" w:sz="8" w:space="0"/>
            </w:tcBorders>
            <w:shd w:val="clear" w:color="auto" w:fill="auto"/>
            <w:vAlign w:val="center"/>
          </w:tcPr>
          <w:p w14:paraId="7077E83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≤60dB</w:t>
            </w:r>
          </w:p>
        </w:tc>
      </w:tr>
    </w:tbl>
    <w:p w14:paraId="4695C39F">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p>
    <w:p w14:paraId="13BCBBB7">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r>
        <w:rPr>
          <w:rFonts w:hint="eastAsia" w:ascii="仿宋" w:hAnsi="仿宋" w:eastAsia="仿宋" w:cs="仿宋"/>
          <w:b/>
          <w:bCs/>
          <w:i w:val="0"/>
          <w:iCs w:val="0"/>
          <w:caps w:val="0"/>
          <w:color w:val="000000"/>
          <w:spacing w:val="0"/>
          <w:sz w:val="24"/>
          <w:szCs w:val="24"/>
          <w:vertAlign w:val="baseline"/>
          <w:lang w:val="en-US" w:eastAsia="zh-CN"/>
        </w:rPr>
        <w:t>附表14 洁净环境空气悬浮粒子监测内容与最小采样量</w:t>
      </w:r>
    </w:p>
    <w:tbl>
      <w:tblPr>
        <w:tblStyle w:val="3"/>
        <w:tblW w:w="904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89"/>
        <w:gridCol w:w="2694"/>
        <w:gridCol w:w="1026"/>
        <w:gridCol w:w="1440"/>
        <w:gridCol w:w="2498"/>
      </w:tblGrid>
      <w:tr w14:paraId="1300C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A56E1">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项目</w:t>
            </w:r>
          </w:p>
        </w:tc>
        <w:tc>
          <w:tcPr>
            <w:tcW w:w="3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4662D5">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要求</w:t>
            </w:r>
          </w:p>
        </w:tc>
        <w:tc>
          <w:tcPr>
            <w:tcW w:w="39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0ED938">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注意事项</w:t>
            </w:r>
          </w:p>
        </w:tc>
      </w:tr>
      <w:tr w14:paraId="0D00E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3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E228E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监测方法</w:t>
            </w:r>
          </w:p>
        </w:tc>
        <w:tc>
          <w:tcPr>
            <w:tcW w:w="37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5AC87D">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计数浓度法：通过测定洁净区内单位体积空气中含大于或等于某粒径的悬浮粒子数，以评定洁净区的洁净度</w:t>
            </w:r>
          </w:p>
        </w:tc>
        <w:tc>
          <w:tcPr>
            <w:tcW w:w="39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BAA940">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①在确认洁净间送风和压差达到要求后，方可进行采样。</w:t>
            </w:r>
          </w:p>
        </w:tc>
      </w:tr>
      <w:tr w14:paraId="42AC1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3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5B99A7">
            <w:pPr>
              <w:jc w:val="center"/>
              <w:rPr>
                <w:rFonts w:hint="eastAsia" w:ascii="仿宋" w:hAnsi="仿宋" w:eastAsia="仿宋" w:cs="仿宋"/>
                <w:i w:val="0"/>
                <w:iCs w:val="0"/>
                <w:color w:val="000000"/>
                <w:sz w:val="24"/>
                <w:szCs w:val="24"/>
                <w:u w:val="none"/>
              </w:rPr>
            </w:pPr>
          </w:p>
        </w:tc>
        <w:tc>
          <w:tcPr>
            <w:tcW w:w="37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C2BBD8">
            <w:pPr>
              <w:jc w:val="left"/>
              <w:rPr>
                <w:rFonts w:hint="eastAsia" w:ascii="仿宋" w:hAnsi="仿宋" w:eastAsia="仿宋" w:cs="仿宋"/>
                <w:i w:val="0"/>
                <w:iCs w:val="0"/>
                <w:color w:val="000000"/>
                <w:sz w:val="24"/>
                <w:szCs w:val="24"/>
                <w:u w:val="none"/>
              </w:rPr>
            </w:pPr>
          </w:p>
        </w:tc>
        <w:tc>
          <w:tcPr>
            <w:tcW w:w="39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A06643">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②对于单向流洁净室，粒子计数器采样管口应正对气流方向；对于非单向流洁净室，粒子计数器采样管口宜向上。</w:t>
            </w:r>
          </w:p>
        </w:tc>
      </w:tr>
      <w:tr w14:paraId="1B366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3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03EFF9">
            <w:pPr>
              <w:jc w:val="center"/>
              <w:rPr>
                <w:rFonts w:hint="eastAsia" w:ascii="仿宋" w:hAnsi="仿宋" w:eastAsia="仿宋" w:cs="仿宋"/>
                <w:i w:val="0"/>
                <w:iCs w:val="0"/>
                <w:color w:val="000000"/>
                <w:sz w:val="24"/>
                <w:szCs w:val="24"/>
                <w:u w:val="none"/>
              </w:rPr>
            </w:pPr>
          </w:p>
        </w:tc>
        <w:tc>
          <w:tcPr>
            <w:tcW w:w="37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B88D8D">
            <w:pPr>
              <w:jc w:val="left"/>
              <w:rPr>
                <w:rFonts w:hint="eastAsia" w:ascii="仿宋" w:hAnsi="仿宋" w:eastAsia="仿宋" w:cs="仿宋"/>
                <w:i w:val="0"/>
                <w:iCs w:val="0"/>
                <w:color w:val="000000"/>
                <w:sz w:val="24"/>
                <w:szCs w:val="24"/>
                <w:u w:val="none"/>
              </w:rPr>
            </w:pPr>
          </w:p>
        </w:tc>
        <w:tc>
          <w:tcPr>
            <w:tcW w:w="39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B7004A">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③布置采样点时，应避开回风口。</w:t>
            </w:r>
          </w:p>
        </w:tc>
      </w:tr>
      <w:tr w14:paraId="5800E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3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F3D1B6">
            <w:pPr>
              <w:jc w:val="center"/>
              <w:rPr>
                <w:rFonts w:hint="eastAsia" w:ascii="仿宋" w:hAnsi="仿宋" w:eastAsia="仿宋" w:cs="仿宋"/>
                <w:i w:val="0"/>
                <w:iCs w:val="0"/>
                <w:color w:val="000000"/>
                <w:sz w:val="24"/>
                <w:szCs w:val="24"/>
                <w:u w:val="none"/>
              </w:rPr>
            </w:pPr>
          </w:p>
        </w:tc>
        <w:tc>
          <w:tcPr>
            <w:tcW w:w="37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76D78E">
            <w:pPr>
              <w:jc w:val="left"/>
              <w:rPr>
                <w:rFonts w:hint="eastAsia" w:ascii="仿宋" w:hAnsi="仿宋" w:eastAsia="仿宋" w:cs="仿宋"/>
                <w:i w:val="0"/>
                <w:iCs w:val="0"/>
                <w:color w:val="000000"/>
                <w:sz w:val="24"/>
                <w:szCs w:val="24"/>
                <w:u w:val="none"/>
              </w:rPr>
            </w:pPr>
          </w:p>
        </w:tc>
        <w:tc>
          <w:tcPr>
            <w:tcW w:w="39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4CB221">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④采样时，测试人员应在采样口的下风侧，并尽量减少活动。</w:t>
            </w:r>
          </w:p>
        </w:tc>
      </w:tr>
      <w:tr w14:paraId="795B0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DB0D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仪器</w:t>
            </w:r>
          </w:p>
        </w:tc>
        <w:tc>
          <w:tcPr>
            <w:tcW w:w="3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3DFA15">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激光尘埃粒子计数器</w:t>
            </w:r>
          </w:p>
        </w:tc>
        <w:tc>
          <w:tcPr>
            <w:tcW w:w="39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AFC316">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⑤采样完毕后，应对粒子计数器进行清洁。</w:t>
            </w:r>
          </w:p>
        </w:tc>
      </w:tr>
      <w:tr w14:paraId="4D19E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4" w:hRule="atLeast"/>
        </w:trPr>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E025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采样点位置</w:t>
            </w:r>
          </w:p>
        </w:tc>
        <w:tc>
          <w:tcPr>
            <w:tcW w:w="3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920B95">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采样点一般在离地面0.8m高度的水平面上均匀布置；采样点多于5个时，也可以在离地面0.8m～1.5m高度的区域内分层布置，但每层不少于5个点</w:t>
            </w:r>
          </w:p>
        </w:tc>
        <w:tc>
          <w:tcPr>
            <w:tcW w:w="39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0E83A4">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⑥仪器开机、预热至稳定后，方可按测试仪器说明书的规定对仪器进行校正、检查采样流量和等动力采样头。</w:t>
            </w:r>
          </w:p>
        </w:tc>
      </w:tr>
      <w:tr w14:paraId="3ACDE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7C37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采样次数</w:t>
            </w:r>
          </w:p>
        </w:tc>
        <w:tc>
          <w:tcPr>
            <w:tcW w:w="3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4263D1">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对于任何小的洁净间或局部空气洁净区域，总采样次数不得少于5次，每个采样点采样次数可以多于1次，且不同采样点的采样次数可以不同</w:t>
            </w:r>
          </w:p>
        </w:tc>
        <w:tc>
          <w:tcPr>
            <w:tcW w:w="39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694EC7">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⑦采样管口置于采样点采样时，在计数趋于稳定后，开始连续读数。</w:t>
            </w:r>
          </w:p>
        </w:tc>
      </w:tr>
      <w:tr w14:paraId="14B37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32F0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采样时间</w:t>
            </w:r>
          </w:p>
        </w:tc>
        <w:tc>
          <w:tcPr>
            <w:tcW w:w="3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240E92">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应在操作全部结束，操作人员离开现场，开启净化系统至少30min后，开始采样</w:t>
            </w:r>
          </w:p>
        </w:tc>
        <w:tc>
          <w:tcPr>
            <w:tcW w:w="39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F0D9D9">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⑧采样管应干净，防止渗漏。</w:t>
            </w:r>
          </w:p>
        </w:tc>
      </w:tr>
      <w:tr w14:paraId="28606C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3F63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操作程序</w:t>
            </w:r>
          </w:p>
        </w:tc>
        <w:tc>
          <w:tcPr>
            <w:tcW w:w="3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546A1A">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使用测试仪器时，应严格按照说明书操作，并记录结果</w:t>
            </w:r>
          </w:p>
        </w:tc>
        <w:tc>
          <w:tcPr>
            <w:tcW w:w="39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AF9104">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⑨应按照仪器的检定周期，定期对监测仪器进行检查校正，以保证测试数据的可靠性</w:t>
            </w:r>
          </w:p>
        </w:tc>
      </w:tr>
      <w:tr w14:paraId="3E759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7" w:hRule="atLeast"/>
        </w:trPr>
        <w:tc>
          <w:tcPr>
            <w:tcW w:w="9047" w:type="dxa"/>
            <w:gridSpan w:val="5"/>
            <w:tcBorders>
              <w:top w:val="nil"/>
              <w:left w:val="nil"/>
              <w:bottom w:val="nil"/>
              <w:right w:val="nil"/>
            </w:tcBorders>
            <w:shd w:val="clear" w:color="auto" w:fill="auto"/>
            <w:noWrap/>
            <w:vAlign w:val="center"/>
          </w:tcPr>
          <w:p w14:paraId="6B084E06">
            <w:pPr>
              <w:jc w:val="both"/>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洁净区空气悬浮粒子最小采样量（</w:t>
            </w:r>
            <w:r>
              <w:rPr>
                <w:rFonts w:hint="eastAsia" w:ascii="仿宋" w:hAnsi="仿宋" w:eastAsia="仿宋" w:cs="仿宋"/>
                <w:b/>
                <w:bCs/>
                <w:i w:val="0"/>
                <w:iCs w:val="0"/>
                <w:color w:val="000000"/>
                <w:kern w:val="0"/>
                <w:sz w:val="24"/>
                <w:szCs w:val="24"/>
                <w:u w:val="none"/>
                <w:lang w:val="en-US" w:eastAsia="zh-CN" w:bidi="ar"/>
              </w:rPr>
              <w:t>L/次）</w:t>
            </w:r>
          </w:p>
        </w:tc>
      </w:tr>
      <w:tr w14:paraId="40C94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3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9636F3">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粒径</w:t>
            </w:r>
          </w:p>
        </w:tc>
        <w:tc>
          <w:tcPr>
            <w:tcW w:w="765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DCB792F">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洁净级别</w:t>
            </w:r>
          </w:p>
        </w:tc>
      </w:tr>
      <w:tr w14:paraId="749C5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3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CB73BF">
            <w:pPr>
              <w:jc w:val="center"/>
              <w:rPr>
                <w:rFonts w:hint="eastAsia" w:ascii="仿宋" w:hAnsi="仿宋" w:eastAsia="仿宋" w:cs="仿宋"/>
                <w:b/>
                <w:bCs/>
                <w:i w:val="0"/>
                <w:iCs w:val="0"/>
                <w:color w:val="000000"/>
                <w:sz w:val="24"/>
                <w:szCs w:val="24"/>
                <w:u w:val="none"/>
              </w:rPr>
            </w:pP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2C445">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A（100）级</w:t>
            </w:r>
          </w:p>
        </w:tc>
        <w:tc>
          <w:tcPr>
            <w:tcW w:w="24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488D6F">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C（10000）级</w:t>
            </w:r>
          </w:p>
        </w:tc>
        <w:tc>
          <w:tcPr>
            <w:tcW w:w="2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2D4B0">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D（100000）级</w:t>
            </w:r>
          </w:p>
        </w:tc>
      </w:tr>
      <w:tr w14:paraId="6ABD7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CD5CB">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≥0.5μm</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8C1A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5.66 L</w:t>
            </w:r>
          </w:p>
        </w:tc>
        <w:tc>
          <w:tcPr>
            <w:tcW w:w="24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017A1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2.83 L</w:t>
            </w:r>
          </w:p>
        </w:tc>
        <w:tc>
          <w:tcPr>
            <w:tcW w:w="2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4F05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2.83 L</w:t>
            </w:r>
          </w:p>
        </w:tc>
      </w:tr>
      <w:tr w14:paraId="76B20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6ED5F">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≥5μm</w:t>
            </w:r>
          </w:p>
        </w:tc>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F11A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8.5 L</w:t>
            </w:r>
          </w:p>
        </w:tc>
        <w:tc>
          <w:tcPr>
            <w:tcW w:w="24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B2E3F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8.5 L</w:t>
            </w:r>
          </w:p>
        </w:tc>
        <w:tc>
          <w:tcPr>
            <w:tcW w:w="2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BAD2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8.5 L</w:t>
            </w:r>
          </w:p>
        </w:tc>
      </w:tr>
    </w:tbl>
    <w:p w14:paraId="7533F677">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p>
    <w:p w14:paraId="32707190">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r>
        <w:rPr>
          <w:rFonts w:hint="eastAsia" w:ascii="仿宋" w:hAnsi="仿宋" w:eastAsia="仿宋" w:cs="仿宋"/>
          <w:b/>
          <w:bCs/>
          <w:i w:val="0"/>
          <w:iCs w:val="0"/>
          <w:caps w:val="0"/>
          <w:color w:val="000000"/>
          <w:spacing w:val="0"/>
          <w:sz w:val="24"/>
          <w:szCs w:val="24"/>
          <w:vertAlign w:val="baseline"/>
          <w:lang w:val="en-US" w:eastAsia="zh-CN"/>
        </w:rPr>
        <w:t>附表15 洁净区空气悬浮粒子最少采购点数目和最小采样量</w:t>
      </w:r>
    </w:p>
    <w:tbl>
      <w:tblPr>
        <w:tblStyle w:val="3"/>
        <w:tblW w:w="9058"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45"/>
        <w:gridCol w:w="2618"/>
        <w:gridCol w:w="2335"/>
        <w:gridCol w:w="2160"/>
      </w:tblGrid>
      <w:tr w14:paraId="3D12E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trPr>
        <w:tc>
          <w:tcPr>
            <w:tcW w:w="9058" w:type="dxa"/>
            <w:gridSpan w:val="4"/>
            <w:tcBorders>
              <w:top w:val="nil"/>
              <w:left w:val="nil"/>
              <w:bottom w:val="nil"/>
              <w:right w:val="nil"/>
            </w:tcBorders>
            <w:shd w:val="clear" w:color="auto" w:fill="auto"/>
            <w:noWrap/>
            <w:vAlign w:val="center"/>
          </w:tcPr>
          <w:p w14:paraId="62C71995">
            <w:pPr>
              <w:jc w:val="both"/>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最少采样点数目标准</w:t>
            </w:r>
          </w:p>
        </w:tc>
      </w:tr>
      <w:tr w14:paraId="03148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trPr>
        <w:tc>
          <w:tcPr>
            <w:tcW w:w="194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3D16BF7">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面积 m</w:t>
            </w:r>
            <w:r>
              <w:rPr>
                <w:rFonts w:hint="eastAsia" w:ascii="仿宋" w:hAnsi="仿宋" w:eastAsia="仿宋" w:cs="仿宋"/>
                <w:b/>
                <w:bCs/>
                <w:i w:val="0"/>
                <w:iCs w:val="0"/>
                <w:color w:val="000000"/>
                <w:kern w:val="0"/>
                <w:sz w:val="24"/>
                <w:szCs w:val="24"/>
                <w:u w:val="none"/>
                <w:vertAlign w:val="superscript"/>
                <w:lang w:val="en-US" w:eastAsia="zh-CN" w:bidi="ar"/>
              </w:rPr>
              <w:t>2</w:t>
            </w:r>
            <w:r>
              <w:rPr>
                <w:rFonts w:hint="eastAsia" w:ascii="仿宋" w:hAnsi="仿宋" w:eastAsia="仿宋" w:cs="仿宋"/>
                <w:b/>
                <w:bCs/>
                <w:i w:val="0"/>
                <w:iCs w:val="0"/>
                <w:color w:val="000000"/>
                <w:kern w:val="0"/>
                <w:sz w:val="24"/>
                <w:szCs w:val="24"/>
                <w:u w:val="none"/>
                <w:lang w:val="en-US" w:eastAsia="zh-CN" w:bidi="ar"/>
              </w:rPr>
              <w:t xml:space="preserve"> </w:t>
            </w:r>
          </w:p>
        </w:tc>
        <w:tc>
          <w:tcPr>
            <w:tcW w:w="7113" w:type="dxa"/>
            <w:gridSpan w:val="3"/>
            <w:tcBorders>
              <w:top w:val="single" w:color="000000" w:sz="8" w:space="0"/>
              <w:left w:val="nil"/>
              <w:bottom w:val="single" w:color="000000" w:sz="8" w:space="0"/>
              <w:right w:val="single" w:color="000000" w:sz="8" w:space="0"/>
            </w:tcBorders>
            <w:shd w:val="clear" w:color="auto" w:fill="auto"/>
            <w:vAlign w:val="center"/>
          </w:tcPr>
          <w:p w14:paraId="30C5816C">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洁净度级别/采样点数目</w:t>
            </w:r>
            <w:r>
              <w:rPr>
                <w:rFonts w:hint="eastAsia" w:ascii="仿宋" w:hAnsi="仿宋" w:eastAsia="仿宋" w:cs="仿宋"/>
                <w:b/>
                <w:bCs/>
                <w:i w:val="0"/>
                <w:iCs w:val="0"/>
                <w:color w:val="000000"/>
                <w:kern w:val="0"/>
                <w:sz w:val="24"/>
                <w:szCs w:val="24"/>
                <w:u w:val="none"/>
                <w:vertAlign w:val="superscript"/>
                <w:lang w:val="en-US" w:eastAsia="zh-CN" w:bidi="ar"/>
              </w:rPr>
              <w:t>a</w:t>
            </w:r>
          </w:p>
        </w:tc>
      </w:tr>
      <w:tr w14:paraId="72004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3" w:hRule="atLeast"/>
        </w:trPr>
        <w:tc>
          <w:tcPr>
            <w:tcW w:w="1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77FBC0B">
            <w:pPr>
              <w:jc w:val="center"/>
              <w:rPr>
                <w:rFonts w:hint="eastAsia" w:ascii="仿宋" w:hAnsi="仿宋" w:eastAsia="仿宋" w:cs="仿宋"/>
                <w:b/>
                <w:bCs/>
                <w:i w:val="0"/>
                <w:iCs w:val="0"/>
                <w:color w:val="000000"/>
                <w:sz w:val="24"/>
                <w:szCs w:val="24"/>
                <w:u w:val="none"/>
              </w:rPr>
            </w:pPr>
          </w:p>
        </w:tc>
        <w:tc>
          <w:tcPr>
            <w:tcW w:w="2618" w:type="dxa"/>
            <w:tcBorders>
              <w:top w:val="nil"/>
              <w:left w:val="nil"/>
              <w:bottom w:val="single" w:color="000000" w:sz="8" w:space="0"/>
              <w:right w:val="single" w:color="000000" w:sz="8" w:space="0"/>
            </w:tcBorders>
            <w:shd w:val="clear" w:color="auto" w:fill="auto"/>
            <w:vAlign w:val="center"/>
          </w:tcPr>
          <w:p w14:paraId="5D0A6116">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A(100)级</w:t>
            </w:r>
          </w:p>
        </w:tc>
        <w:tc>
          <w:tcPr>
            <w:tcW w:w="2335" w:type="dxa"/>
            <w:tcBorders>
              <w:top w:val="single" w:color="000000" w:sz="8" w:space="0"/>
              <w:left w:val="nil"/>
              <w:bottom w:val="single" w:color="000000" w:sz="8" w:space="0"/>
              <w:right w:val="single" w:color="000000" w:sz="8" w:space="0"/>
            </w:tcBorders>
            <w:shd w:val="clear" w:color="auto" w:fill="auto"/>
            <w:vAlign w:val="center"/>
          </w:tcPr>
          <w:p w14:paraId="0D4D9FCE">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C(10000)级</w:t>
            </w:r>
          </w:p>
        </w:tc>
        <w:tc>
          <w:tcPr>
            <w:tcW w:w="2160" w:type="dxa"/>
            <w:tcBorders>
              <w:top w:val="single" w:color="000000" w:sz="8" w:space="0"/>
              <w:left w:val="nil"/>
              <w:bottom w:val="single" w:color="000000" w:sz="8" w:space="0"/>
              <w:right w:val="single" w:color="000000" w:sz="8" w:space="0"/>
            </w:tcBorders>
            <w:shd w:val="clear" w:color="auto" w:fill="auto"/>
            <w:vAlign w:val="center"/>
          </w:tcPr>
          <w:p w14:paraId="7723864B">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D(100000)级</w:t>
            </w:r>
          </w:p>
        </w:tc>
      </w:tr>
      <w:tr w14:paraId="348837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945" w:type="dxa"/>
            <w:tcBorders>
              <w:top w:val="nil"/>
              <w:left w:val="single" w:color="000000" w:sz="8" w:space="0"/>
              <w:bottom w:val="single" w:color="000000" w:sz="8" w:space="0"/>
              <w:right w:val="single" w:color="000000" w:sz="8" w:space="0"/>
            </w:tcBorders>
            <w:shd w:val="clear" w:color="auto" w:fill="auto"/>
            <w:vAlign w:val="center"/>
          </w:tcPr>
          <w:p w14:paraId="69C3232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&lt;10</w:t>
            </w:r>
          </w:p>
        </w:tc>
        <w:tc>
          <w:tcPr>
            <w:tcW w:w="2618" w:type="dxa"/>
            <w:tcBorders>
              <w:top w:val="nil"/>
              <w:left w:val="nil"/>
              <w:bottom w:val="single" w:color="000000" w:sz="8" w:space="0"/>
              <w:right w:val="single" w:color="000000" w:sz="8" w:space="0"/>
            </w:tcBorders>
            <w:shd w:val="clear" w:color="auto" w:fill="auto"/>
            <w:vAlign w:val="center"/>
          </w:tcPr>
          <w:p w14:paraId="5CD2BEB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2～3</w:t>
            </w:r>
          </w:p>
        </w:tc>
        <w:tc>
          <w:tcPr>
            <w:tcW w:w="2335" w:type="dxa"/>
            <w:tcBorders>
              <w:top w:val="nil"/>
              <w:left w:val="nil"/>
              <w:bottom w:val="single" w:color="000000" w:sz="8" w:space="0"/>
              <w:right w:val="single" w:color="000000" w:sz="8" w:space="0"/>
            </w:tcBorders>
            <w:shd w:val="clear" w:color="auto" w:fill="auto"/>
            <w:vAlign w:val="center"/>
          </w:tcPr>
          <w:p w14:paraId="50EFC4C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2160" w:type="dxa"/>
            <w:tcBorders>
              <w:top w:val="nil"/>
              <w:left w:val="nil"/>
              <w:bottom w:val="single" w:color="000000" w:sz="8" w:space="0"/>
              <w:right w:val="single" w:color="000000" w:sz="8" w:space="0"/>
            </w:tcBorders>
            <w:shd w:val="clear" w:color="auto" w:fill="auto"/>
            <w:vAlign w:val="center"/>
          </w:tcPr>
          <w:p w14:paraId="3ADA6E3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2AB544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trPr>
        <w:tc>
          <w:tcPr>
            <w:tcW w:w="1945" w:type="dxa"/>
            <w:tcBorders>
              <w:top w:val="nil"/>
              <w:left w:val="single" w:color="000000" w:sz="8" w:space="0"/>
              <w:bottom w:val="single" w:color="000000" w:sz="8" w:space="0"/>
              <w:right w:val="single" w:color="000000" w:sz="8" w:space="0"/>
            </w:tcBorders>
            <w:shd w:val="clear" w:color="auto" w:fill="auto"/>
            <w:vAlign w:val="center"/>
          </w:tcPr>
          <w:p w14:paraId="4172205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≥10～&lt;20</w:t>
            </w:r>
          </w:p>
        </w:tc>
        <w:tc>
          <w:tcPr>
            <w:tcW w:w="2618" w:type="dxa"/>
            <w:tcBorders>
              <w:top w:val="nil"/>
              <w:left w:val="nil"/>
              <w:bottom w:val="single" w:color="000000" w:sz="8" w:space="0"/>
              <w:right w:val="single" w:color="000000" w:sz="8" w:space="0"/>
            </w:tcBorders>
            <w:shd w:val="clear" w:color="auto" w:fill="auto"/>
            <w:vAlign w:val="center"/>
          </w:tcPr>
          <w:p w14:paraId="3C80213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2335" w:type="dxa"/>
            <w:tcBorders>
              <w:top w:val="nil"/>
              <w:left w:val="nil"/>
              <w:bottom w:val="single" w:color="000000" w:sz="8" w:space="0"/>
              <w:right w:val="single" w:color="000000" w:sz="8" w:space="0"/>
            </w:tcBorders>
            <w:shd w:val="clear" w:color="auto" w:fill="auto"/>
            <w:vAlign w:val="center"/>
          </w:tcPr>
          <w:p w14:paraId="0EC63D6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2160" w:type="dxa"/>
            <w:tcBorders>
              <w:top w:val="nil"/>
              <w:left w:val="nil"/>
              <w:bottom w:val="single" w:color="000000" w:sz="8" w:space="0"/>
              <w:right w:val="single" w:color="000000" w:sz="8" w:space="0"/>
            </w:tcBorders>
            <w:shd w:val="clear" w:color="auto" w:fill="auto"/>
            <w:vAlign w:val="center"/>
          </w:tcPr>
          <w:p w14:paraId="183E2A0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47C6E4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trPr>
        <w:tc>
          <w:tcPr>
            <w:tcW w:w="1945" w:type="dxa"/>
            <w:tcBorders>
              <w:top w:val="nil"/>
              <w:left w:val="single" w:color="000000" w:sz="8" w:space="0"/>
              <w:bottom w:val="single" w:color="000000" w:sz="8" w:space="0"/>
              <w:right w:val="single" w:color="000000" w:sz="8" w:space="0"/>
            </w:tcBorders>
            <w:shd w:val="clear" w:color="auto" w:fill="auto"/>
            <w:vAlign w:val="center"/>
          </w:tcPr>
          <w:p w14:paraId="5467CBB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≥20～&lt;40</w:t>
            </w:r>
          </w:p>
        </w:tc>
        <w:tc>
          <w:tcPr>
            <w:tcW w:w="2618" w:type="dxa"/>
            <w:tcBorders>
              <w:top w:val="nil"/>
              <w:left w:val="nil"/>
              <w:bottom w:val="single" w:color="000000" w:sz="8" w:space="0"/>
              <w:right w:val="single" w:color="000000" w:sz="8" w:space="0"/>
            </w:tcBorders>
            <w:shd w:val="clear" w:color="auto" w:fill="auto"/>
            <w:vAlign w:val="center"/>
          </w:tcPr>
          <w:p w14:paraId="79759AB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2335" w:type="dxa"/>
            <w:tcBorders>
              <w:top w:val="nil"/>
              <w:left w:val="nil"/>
              <w:bottom w:val="single" w:color="000000" w:sz="8" w:space="0"/>
              <w:right w:val="single" w:color="000000" w:sz="8" w:space="0"/>
            </w:tcBorders>
            <w:shd w:val="clear" w:color="auto" w:fill="auto"/>
            <w:vAlign w:val="center"/>
          </w:tcPr>
          <w:p w14:paraId="1403342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2160" w:type="dxa"/>
            <w:tcBorders>
              <w:top w:val="nil"/>
              <w:left w:val="nil"/>
              <w:bottom w:val="single" w:color="000000" w:sz="8" w:space="0"/>
              <w:right w:val="single" w:color="000000" w:sz="8" w:space="0"/>
            </w:tcBorders>
            <w:shd w:val="clear" w:color="auto" w:fill="auto"/>
            <w:vAlign w:val="center"/>
          </w:tcPr>
          <w:p w14:paraId="0321F50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5F2AE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3" w:hRule="atLeast"/>
        </w:trPr>
        <w:tc>
          <w:tcPr>
            <w:tcW w:w="1945" w:type="dxa"/>
            <w:tcBorders>
              <w:top w:val="nil"/>
              <w:left w:val="single" w:color="000000" w:sz="8" w:space="0"/>
              <w:bottom w:val="single" w:color="000000" w:sz="8" w:space="0"/>
              <w:right w:val="single" w:color="000000" w:sz="8" w:space="0"/>
            </w:tcBorders>
            <w:shd w:val="clear" w:color="auto" w:fill="auto"/>
            <w:vAlign w:val="center"/>
          </w:tcPr>
          <w:p w14:paraId="5BB809F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≥40～&lt;100</w:t>
            </w:r>
          </w:p>
        </w:tc>
        <w:tc>
          <w:tcPr>
            <w:tcW w:w="2618" w:type="dxa"/>
            <w:tcBorders>
              <w:top w:val="nil"/>
              <w:left w:val="nil"/>
              <w:bottom w:val="single" w:color="000000" w:sz="8" w:space="0"/>
              <w:right w:val="single" w:color="000000" w:sz="8" w:space="0"/>
            </w:tcBorders>
            <w:shd w:val="clear" w:color="auto" w:fill="auto"/>
            <w:vAlign w:val="center"/>
          </w:tcPr>
          <w:p w14:paraId="2678BBF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c>
          <w:tcPr>
            <w:tcW w:w="2335" w:type="dxa"/>
            <w:tcBorders>
              <w:top w:val="nil"/>
              <w:left w:val="nil"/>
              <w:bottom w:val="single" w:color="000000" w:sz="8" w:space="0"/>
              <w:right w:val="single" w:color="000000" w:sz="8" w:space="0"/>
            </w:tcBorders>
            <w:shd w:val="clear" w:color="auto" w:fill="auto"/>
            <w:vAlign w:val="center"/>
          </w:tcPr>
          <w:p w14:paraId="17CA575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2160" w:type="dxa"/>
            <w:tcBorders>
              <w:top w:val="nil"/>
              <w:left w:val="nil"/>
              <w:bottom w:val="single" w:color="000000" w:sz="8" w:space="0"/>
              <w:right w:val="single" w:color="000000" w:sz="8" w:space="0"/>
            </w:tcBorders>
            <w:shd w:val="clear" w:color="auto" w:fill="auto"/>
            <w:vAlign w:val="center"/>
          </w:tcPr>
          <w:p w14:paraId="63F05EF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093BC6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3" w:hRule="atLeast"/>
        </w:trPr>
        <w:tc>
          <w:tcPr>
            <w:tcW w:w="1945" w:type="dxa"/>
            <w:tcBorders>
              <w:top w:val="nil"/>
              <w:left w:val="single" w:color="000000" w:sz="8" w:space="0"/>
              <w:bottom w:val="single" w:color="000000" w:sz="8" w:space="0"/>
              <w:right w:val="single" w:color="000000" w:sz="8" w:space="0"/>
            </w:tcBorders>
            <w:shd w:val="clear" w:color="auto" w:fill="auto"/>
            <w:vAlign w:val="center"/>
          </w:tcPr>
          <w:p w14:paraId="57DA9FB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≥100～&lt;200</w:t>
            </w:r>
          </w:p>
        </w:tc>
        <w:tc>
          <w:tcPr>
            <w:tcW w:w="2618" w:type="dxa"/>
            <w:tcBorders>
              <w:top w:val="nil"/>
              <w:left w:val="nil"/>
              <w:bottom w:val="single" w:color="000000" w:sz="8" w:space="0"/>
              <w:right w:val="single" w:color="000000" w:sz="8" w:space="0"/>
            </w:tcBorders>
            <w:shd w:val="clear" w:color="auto" w:fill="auto"/>
            <w:vAlign w:val="center"/>
          </w:tcPr>
          <w:p w14:paraId="076F304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40</w:t>
            </w:r>
          </w:p>
        </w:tc>
        <w:tc>
          <w:tcPr>
            <w:tcW w:w="2335" w:type="dxa"/>
            <w:tcBorders>
              <w:top w:val="nil"/>
              <w:left w:val="nil"/>
              <w:bottom w:val="single" w:color="000000" w:sz="8" w:space="0"/>
              <w:right w:val="single" w:color="000000" w:sz="8" w:space="0"/>
            </w:tcBorders>
            <w:shd w:val="clear" w:color="auto" w:fill="auto"/>
            <w:vAlign w:val="center"/>
          </w:tcPr>
          <w:p w14:paraId="25DBEB5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2160" w:type="dxa"/>
            <w:tcBorders>
              <w:top w:val="nil"/>
              <w:left w:val="nil"/>
              <w:bottom w:val="single" w:color="000000" w:sz="8" w:space="0"/>
              <w:right w:val="single" w:color="000000" w:sz="8" w:space="0"/>
            </w:tcBorders>
            <w:shd w:val="clear" w:color="auto" w:fill="auto"/>
            <w:vAlign w:val="center"/>
          </w:tcPr>
          <w:p w14:paraId="567483C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r>
      <w:tr w14:paraId="24A45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5" w:hRule="atLeast"/>
        </w:trPr>
        <w:tc>
          <w:tcPr>
            <w:tcW w:w="9058" w:type="dxa"/>
            <w:gridSpan w:val="4"/>
            <w:tcBorders>
              <w:top w:val="nil"/>
              <w:left w:val="single" w:color="000000" w:sz="8" w:space="0"/>
              <w:bottom w:val="single" w:color="000000" w:sz="8" w:space="0"/>
              <w:right w:val="single" w:color="000000" w:sz="8" w:space="0"/>
            </w:tcBorders>
            <w:shd w:val="clear" w:color="auto" w:fill="auto"/>
            <w:vAlign w:val="center"/>
          </w:tcPr>
          <w:p w14:paraId="17182518">
            <w:pPr>
              <w:keepNext w:val="0"/>
              <w:keepLines w:val="0"/>
              <w:widowControl/>
              <w:suppressLineNumbers w:val="0"/>
              <w:jc w:val="left"/>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a：</w:t>
            </w:r>
            <w:r>
              <w:rPr>
                <w:rFonts w:hint="eastAsia" w:ascii="仿宋" w:hAnsi="仿宋" w:eastAsia="仿宋" w:cs="仿宋"/>
                <w:i w:val="0"/>
                <w:iCs w:val="0"/>
                <w:color w:val="000000"/>
                <w:kern w:val="0"/>
                <w:sz w:val="24"/>
                <w:szCs w:val="24"/>
                <w:u w:val="none"/>
                <w:lang w:val="en-US" w:eastAsia="zh-CN" w:bidi="ar"/>
              </w:rPr>
              <w:t>对于A(100)级的单向流洁净室/区，包括A(100)级洁净工作台，其面积指的是送风覆盖面积；对于C(10000)级以上的非单向流洁净间/区，其面积指的是房间面积；C(10000)级为调配操作间和二次更衣室</w:t>
            </w:r>
          </w:p>
        </w:tc>
      </w:tr>
      <w:tr w14:paraId="12693A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945" w:type="dxa"/>
            <w:tcBorders>
              <w:top w:val="nil"/>
              <w:left w:val="nil"/>
              <w:bottom w:val="nil"/>
              <w:right w:val="nil"/>
            </w:tcBorders>
            <w:shd w:val="clear" w:color="auto" w:fill="auto"/>
            <w:noWrap/>
            <w:vAlign w:val="center"/>
          </w:tcPr>
          <w:p w14:paraId="0E96B5A6">
            <w:pPr>
              <w:rPr>
                <w:rFonts w:hint="eastAsia" w:ascii="仿宋" w:hAnsi="仿宋" w:eastAsia="仿宋" w:cs="仿宋"/>
                <w:i w:val="0"/>
                <w:iCs w:val="0"/>
                <w:color w:val="000000"/>
                <w:sz w:val="24"/>
                <w:szCs w:val="24"/>
                <w:u w:val="none"/>
              </w:rPr>
            </w:pPr>
          </w:p>
        </w:tc>
        <w:tc>
          <w:tcPr>
            <w:tcW w:w="2618" w:type="dxa"/>
            <w:tcBorders>
              <w:top w:val="nil"/>
              <w:left w:val="nil"/>
              <w:bottom w:val="nil"/>
              <w:right w:val="nil"/>
            </w:tcBorders>
            <w:shd w:val="clear" w:color="auto" w:fill="auto"/>
            <w:noWrap/>
            <w:vAlign w:val="center"/>
          </w:tcPr>
          <w:p w14:paraId="0D90E0E3">
            <w:pPr>
              <w:rPr>
                <w:rFonts w:hint="eastAsia" w:ascii="仿宋" w:hAnsi="仿宋" w:eastAsia="仿宋" w:cs="仿宋"/>
                <w:i w:val="0"/>
                <w:iCs w:val="0"/>
                <w:color w:val="000000"/>
                <w:sz w:val="24"/>
                <w:szCs w:val="24"/>
                <w:u w:val="none"/>
              </w:rPr>
            </w:pPr>
          </w:p>
        </w:tc>
        <w:tc>
          <w:tcPr>
            <w:tcW w:w="2335" w:type="dxa"/>
            <w:tcBorders>
              <w:top w:val="nil"/>
              <w:left w:val="nil"/>
              <w:bottom w:val="nil"/>
              <w:right w:val="nil"/>
            </w:tcBorders>
            <w:shd w:val="clear" w:color="auto" w:fill="auto"/>
            <w:noWrap/>
            <w:vAlign w:val="center"/>
          </w:tcPr>
          <w:p w14:paraId="1CD34879">
            <w:pPr>
              <w:rPr>
                <w:rFonts w:hint="eastAsia" w:ascii="仿宋" w:hAnsi="仿宋" w:eastAsia="仿宋" w:cs="仿宋"/>
                <w:i w:val="0"/>
                <w:iCs w:val="0"/>
                <w:color w:val="000000"/>
                <w:sz w:val="24"/>
                <w:szCs w:val="24"/>
                <w:u w:val="none"/>
              </w:rPr>
            </w:pPr>
          </w:p>
        </w:tc>
        <w:tc>
          <w:tcPr>
            <w:tcW w:w="2160" w:type="dxa"/>
            <w:tcBorders>
              <w:top w:val="nil"/>
              <w:left w:val="nil"/>
              <w:bottom w:val="nil"/>
              <w:right w:val="nil"/>
            </w:tcBorders>
            <w:shd w:val="clear" w:color="auto" w:fill="auto"/>
            <w:noWrap/>
            <w:vAlign w:val="center"/>
          </w:tcPr>
          <w:p w14:paraId="05CBCE4F">
            <w:pPr>
              <w:rPr>
                <w:rFonts w:hint="eastAsia" w:ascii="仿宋" w:hAnsi="仿宋" w:eastAsia="仿宋" w:cs="仿宋"/>
                <w:i w:val="0"/>
                <w:iCs w:val="0"/>
                <w:color w:val="000000"/>
                <w:sz w:val="24"/>
                <w:szCs w:val="24"/>
                <w:u w:val="none"/>
              </w:rPr>
            </w:pPr>
          </w:p>
        </w:tc>
      </w:tr>
      <w:tr w14:paraId="1E1F73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3" w:hRule="atLeast"/>
        </w:trPr>
        <w:tc>
          <w:tcPr>
            <w:tcW w:w="9058" w:type="dxa"/>
            <w:gridSpan w:val="4"/>
            <w:tcBorders>
              <w:top w:val="nil"/>
              <w:left w:val="nil"/>
              <w:bottom w:val="nil"/>
              <w:right w:val="nil"/>
            </w:tcBorders>
            <w:shd w:val="clear" w:color="auto" w:fill="auto"/>
            <w:noWrap/>
            <w:vAlign w:val="center"/>
          </w:tcPr>
          <w:p w14:paraId="13624095">
            <w:pPr>
              <w:jc w:val="both"/>
              <w:rPr>
                <w:rFonts w:hint="eastAsia" w:ascii="仿宋" w:hAnsi="仿宋" w:eastAsia="仿宋" w:cs="仿宋"/>
                <w:i w:val="0"/>
                <w:iCs w:val="0"/>
                <w:color w:val="000000"/>
                <w:sz w:val="24"/>
                <w:szCs w:val="24"/>
                <w:u w:val="none"/>
              </w:rPr>
            </w:pPr>
            <w:r>
              <w:rPr>
                <w:rStyle w:val="10"/>
                <w:rFonts w:hint="eastAsia" w:ascii="仿宋" w:hAnsi="仿宋" w:eastAsia="仿宋" w:cs="仿宋"/>
                <w:sz w:val="24"/>
                <w:szCs w:val="24"/>
                <w:lang w:val="en-US" w:eastAsia="zh-CN" w:bidi="ar"/>
              </w:rPr>
              <w:t>洁净区空气悬浮粒子最小采样量（</w:t>
            </w:r>
            <w:r>
              <w:rPr>
                <w:rStyle w:val="11"/>
                <w:rFonts w:hint="eastAsia" w:ascii="仿宋" w:hAnsi="仿宋" w:eastAsia="仿宋" w:cs="仿宋"/>
                <w:sz w:val="24"/>
                <w:szCs w:val="24"/>
                <w:lang w:val="en-US" w:eastAsia="zh-CN" w:bidi="ar"/>
              </w:rPr>
              <w:t>L/次）</w:t>
            </w:r>
          </w:p>
        </w:tc>
      </w:tr>
      <w:tr w14:paraId="60DB8A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trPr>
        <w:tc>
          <w:tcPr>
            <w:tcW w:w="194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BE8B873">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粒径</w:t>
            </w:r>
          </w:p>
        </w:tc>
        <w:tc>
          <w:tcPr>
            <w:tcW w:w="7113" w:type="dxa"/>
            <w:gridSpan w:val="3"/>
            <w:tcBorders>
              <w:top w:val="single" w:color="000000" w:sz="8" w:space="0"/>
              <w:left w:val="nil"/>
              <w:bottom w:val="single" w:color="000000" w:sz="8" w:space="0"/>
              <w:right w:val="single" w:color="000000" w:sz="8" w:space="0"/>
            </w:tcBorders>
            <w:shd w:val="clear" w:color="auto" w:fill="auto"/>
            <w:vAlign w:val="center"/>
          </w:tcPr>
          <w:p w14:paraId="73249141">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洁净级别</w:t>
            </w:r>
          </w:p>
        </w:tc>
      </w:tr>
      <w:tr w14:paraId="7E869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194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715AA63">
            <w:pPr>
              <w:jc w:val="center"/>
              <w:rPr>
                <w:rFonts w:hint="eastAsia" w:ascii="仿宋" w:hAnsi="仿宋" w:eastAsia="仿宋" w:cs="仿宋"/>
                <w:b/>
                <w:bCs/>
                <w:i w:val="0"/>
                <w:iCs w:val="0"/>
                <w:color w:val="000000"/>
                <w:sz w:val="24"/>
                <w:szCs w:val="24"/>
                <w:u w:val="none"/>
              </w:rPr>
            </w:pPr>
          </w:p>
        </w:tc>
        <w:tc>
          <w:tcPr>
            <w:tcW w:w="2618" w:type="dxa"/>
            <w:tcBorders>
              <w:top w:val="nil"/>
              <w:left w:val="nil"/>
              <w:bottom w:val="single" w:color="000000" w:sz="8" w:space="0"/>
              <w:right w:val="single" w:color="000000" w:sz="8" w:space="0"/>
            </w:tcBorders>
            <w:shd w:val="clear" w:color="auto" w:fill="auto"/>
            <w:vAlign w:val="center"/>
          </w:tcPr>
          <w:p w14:paraId="22008792">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A（100）级</w:t>
            </w:r>
          </w:p>
        </w:tc>
        <w:tc>
          <w:tcPr>
            <w:tcW w:w="2335" w:type="dxa"/>
            <w:tcBorders>
              <w:top w:val="single" w:color="000000" w:sz="8" w:space="0"/>
              <w:left w:val="nil"/>
              <w:bottom w:val="single" w:color="000000" w:sz="8" w:space="0"/>
              <w:right w:val="single" w:color="000000" w:sz="8" w:space="0"/>
            </w:tcBorders>
            <w:shd w:val="clear" w:color="auto" w:fill="auto"/>
            <w:vAlign w:val="center"/>
          </w:tcPr>
          <w:p w14:paraId="1672B0DA">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C（10000）级</w:t>
            </w:r>
          </w:p>
        </w:tc>
        <w:tc>
          <w:tcPr>
            <w:tcW w:w="2160" w:type="dxa"/>
            <w:tcBorders>
              <w:top w:val="single" w:color="000000" w:sz="8" w:space="0"/>
              <w:left w:val="nil"/>
              <w:bottom w:val="single" w:color="000000" w:sz="8" w:space="0"/>
              <w:right w:val="single" w:color="000000" w:sz="8" w:space="0"/>
            </w:tcBorders>
            <w:shd w:val="clear" w:color="auto" w:fill="auto"/>
            <w:vAlign w:val="center"/>
          </w:tcPr>
          <w:p w14:paraId="09BA9E75">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D（100000）级</w:t>
            </w:r>
          </w:p>
        </w:tc>
      </w:tr>
      <w:tr w14:paraId="5BB95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1945" w:type="dxa"/>
            <w:tcBorders>
              <w:top w:val="nil"/>
              <w:left w:val="single" w:color="000000" w:sz="8" w:space="0"/>
              <w:bottom w:val="single" w:color="000000" w:sz="8" w:space="0"/>
              <w:right w:val="single" w:color="000000" w:sz="8" w:space="0"/>
            </w:tcBorders>
            <w:shd w:val="clear" w:color="auto" w:fill="auto"/>
            <w:vAlign w:val="center"/>
          </w:tcPr>
          <w:p w14:paraId="5051EF57">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≥0.5μm</w:t>
            </w:r>
          </w:p>
        </w:tc>
        <w:tc>
          <w:tcPr>
            <w:tcW w:w="2618" w:type="dxa"/>
            <w:tcBorders>
              <w:top w:val="nil"/>
              <w:left w:val="nil"/>
              <w:bottom w:val="single" w:color="000000" w:sz="8" w:space="0"/>
              <w:right w:val="single" w:color="000000" w:sz="8" w:space="0"/>
            </w:tcBorders>
            <w:shd w:val="clear" w:color="auto" w:fill="auto"/>
            <w:vAlign w:val="center"/>
          </w:tcPr>
          <w:p w14:paraId="2A092B0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5.66 L</w:t>
            </w:r>
          </w:p>
        </w:tc>
        <w:tc>
          <w:tcPr>
            <w:tcW w:w="2335" w:type="dxa"/>
            <w:tcBorders>
              <w:top w:val="nil"/>
              <w:left w:val="nil"/>
              <w:bottom w:val="single" w:color="000000" w:sz="8" w:space="0"/>
              <w:right w:val="single" w:color="000000" w:sz="8" w:space="0"/>
            </w:tcBorders>
            <w:shd w:val="clear" w:color="auto" w:fill="auto"/>
            <w:vAlign w:val="center"/>
          </w:tcPr>
          <w:p w14:paraId="5F51AF4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2.83 L</w:t>
            </w:r>
          </w:p>
        </w:tc>
        <w:tc>
          <w:tcPr>
            <w:tcW w:w="2160" w:type="dxa"/>
            <w:tcBorders>
              <w:top w:val="nil"/>
              <w:left w:val="nil"/>
              <w:bottom w:val="single" w:color="000000" w:sz="8" w:space="0"/>
              <w:right w:val="single" w:color="000000" w:sz="8" w:space="0"/>
            </w:tcBorders>
            <w:shd w:val="clear" w:color="auto" w:fill="auto"/>
            <w:vAlign w:val="center"/>
          </w:tcPr>
          <w:p w14:paraId="4AEA62F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2.83 L</w:t>
            </w:r>
          </w:p>
        </w:tc>
      </w:tr>
      <w:tr w14:paraId="07397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6" w:hRule="atLeast"/>
        </w:trPr>
        <w:tc>
          <w:tcPr>
            <w:tcW w:w="1945" w:type="dxa"/>
            <w:tcBorders>
              <w:top w:val="nil"/>
              <w:left w:val="single" w:color="000000" w:sz="8" w:space="0"/>
              <w:bottom w:val="single" w:color="000000" w:sz="8" w:space="0"/>
              <w:right w:val="single" w:color="000000" w:sz="8" w:space="0"/>
            </w:tcBorders>
            <w:shd w:val="clear" w:color="auto" w:fill="auto"/>
            <w:vAlign w:val="center"/>
          </w:tcPr>
          <w:p w14:paraId="434035BC">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≥5μm</w:t>
            </w:r>
          </w:p>
        </w:tc>
        <w:tc>
          <w:tcPr>
            <w:tcW w:w="2618" w:type="dxa"/>
            <w:tcBorders>
              <w:top w:val="nil"/>
              <w:left w:val="nil"/>
              <w:bottom w:val="single" w:color="000000" w:sz="8" w:space="0"/>
              <w:right w:val="single" w:color="000000" w:sz="8" w:space="0"/>
            </w:tcBorders>
            <w:shd w:val="clear" w:color="auto" w:fill="auto"/>
            <w:vAlign w:val="center"/>
          </w:tcPr>
          <w:p w14:paraId="2BD240D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8.5 L</w:t>
            </w:r>
          </w:p>
        </w:tc>
        <w:tc>
          <w:tcPr>
            <w:tcW w:w="2335" w:type="dxa"/>
            <w:tcBorders>
              <w:top w:val="nil"/>
              <w:left w:val="nil"/>
              <w:bottom w:val="single" w:color="000000" w:sz="8" w:space="0"/>
              <w:right w:val="single" w:color="000000" w:sz="8" w:space="0"/>
            </w:tcBorders>
            <w:shd w:val="clear" w:color="auto" w:fill="auto"/>
            <w:vAlign w:val="center"/>
          </w:tcPr>
          <w:p w14:paraId="22FA285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8.5 L</w:t>
            </w:r>
          </w:p>
        </w:tc>
        <w:tc>
          <w:tcPr>
            <w:tcW w:w="2160" w:type="dxa"/>
            <w:tcBorders>
              <w:top w:val="nil"/>
              <w:left w:val="nil"/>
              <w:bottom w:val="single" w:color="000000" w:sz="8" w:space="0"/>
              <w:right w:val="single" w:color="000000" w:sz="8" w:space="0"/>
            </w:tcBorders>
            <w:shd w:val="clear" w:color="auto" w:fill="auto"/>
            <w:vAlign w:val="center"/>
          </w:tcPr>
          <w:p w14:paraId="0019426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8.5 L</w:t>
            </w:r>
          </w:p>
        </w:tc>
      </w:tr>
    </w:tbl>
    <w:p w14:paraId="1B36B153">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p>
    <w:p w14:paraId="394752D9">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r>
        <w:rPr>
          <w:rFonts w:hint="eastAsia" w:ascii="仿宋" w:hAnsi="仿宋" w:eastAsia="仿宋" w:cs="仿宋"/>
          <w:b/>
          <w:bCs/>
          <w:i w:val="0"/>
          <w:iCs w:val="0"/>
          <w:caps w:val="0"/>
          <w:color w:val="000000"/>
          <w:spacing w:val="0"/>
          <w:sz w:val="24"/>
          <w:szCs w:val="24"/>
          <w:vertAlign w:val="baseline"/>
          <w:lang w:val="en-US" w:eastAsia="zh-CN"/>
        </w:rPr>
        <w:t>附表16 洁净环境物体表面不同监测方法与注意事项</w:t>
      </w:r>
    </w:p>
    <w:tbl>
      <w:tblPr>
        <w:tblStyle w:val="3"/>
        <w:tblW w:w="910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16"/>
        <w:gridCol w:w="2052"/>
        <w:gridCol w:w="3146"/>
        <w:gridCol w:w="2488"/>
      </w:tblGrid>
      <w:tr w14:paraId="497EB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trPr>
        <w:tc>
          <w:tcPr>
            <w:tcW w:w="1416" w:type="dxa"/>
            <w:tcBorders>
              <w:top w:val="single" w:color="auto" w:sz="4" w:space="0"/>
              <w:left w:val="single" w:color="auto" w:sz="4" w:space="0"/>
              <w:bottom w:val="single" w:color="auto" w:sz="4" w:space="0"/>
              <w:right w:val="single" w:color="auto" w:sz="4" w:space="0"/>
            </w:tcBorders>
            <w:shd w:val="clear" w:color="auto" w:fill="auto"/>
            <w:vAlign w:val="top"/>
          </w:tcPr>
          <w:p w14:paraId="05057E39">
            <w:pPr>
              <w:keepNext w:val="0"/>
              <w:keepLines w:val="0"/>
              <w:widowControl/>
              <w:suppressLineNumbers w:val="0"/>
              <w:jc w:val="center"/>
              <w:textAlignment w:val="top"/>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方法</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top"/>
          </w:tcPr>
          <w:p w14:paraId="2EAC1315">
            <w:pPr>
              <w:keepNext w:val="0"/>
              <w:keepLines w:val="0"/>
              <w:widowControl/>
              <w:suppressLineNumbers w:val="0"/>
              <w:jc w:val="center"/>
              <w:textAlignment w:val="top"/>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适用范围</w:t>
            </w:r>
          </w:p>
        </w:tc>
        <w:tc>
          <w:tcPr>
            <w:tcW w:w="3146" w:type="dxa"/>
            <w:tcBorders>
              <w:top w:val="single" w:color="auto" w:sz="4" w:space="0"/>
              <w:left w:val="single" w:color="auto" w:sz="4" w:space="0"/>
              <w:bottom w:val="single" w:color="auto" w:sz="4" w:space="0"/>
              <w:right w:val="single" w:color="auto" w:sz="4" w:space="0"/>
            </w:tcBorders>
            <w:shd w:val="clear" w:color="auto" w:fill="auto"/>
            <w:vAlign w:val="top"/>
          </w:tcPr>
          <w:p w14:paraId="224BFFFC">
            <w:pPr>
              <w:keepNext w:val="0"/>
              <w:keepLines w:val="0"/>
              <w:widowControl/>
              <w:suppressLineNumbers w:val="0"/>
              <w:jc w:val="center"/>
              <w:textAlignment w:val="top"/>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要求</w:t>
            </w:r>
          </w:p>
        </w:tc>
        <w:tc>
          <w:tcPr>
            <w:tcW w:w="2488" w:type="dxa"/>
            <w:tcBorders>
              <w:top w:val="single" w:color="auto" w:sz="4" w:space="0"/>
              <w:left w:val="single" w:color="auto" w:sz="4" w:space="0"/>
              <w:bottom w:val="single" w:color="auto" w:sz="4" w:space="0"/>
              <w:right w:val="single" w:color="auto" w:sz="4" w:space="0"/>
            </w:tcBorders>
            <w:shd w:val="clear" w:color="auto" w:fill="auto"/>
            <w:vAlign w:val="top"/>
          </w:tcPr>
          <w:p w14:paraId="6F0EC161">
            <w:pPr>
              <w:keepNext w:val="0"/>
              <w:keepLines w:val="0"/>
              <w:widowControl/>
              <w:suppressLineNumbers w:val="0"/>
              <w:jc w:val="center"/>
              <w:textAlignment w:val="top"/>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注意事项</w:t>
            </w:r>
          </w:p>
        </w:tc>
      </w:tr>
      <w:tr w14:paraId="2FBB5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0" w:hRule="atLeast"/>
        </w:trPr>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14:paraId="395AF59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擦拭采样法</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481B76B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用于平整规则的物体表面</w:t>
            </w:r>
          </w:p>
        </w:tc>
        <w:tc>
          <w:tcPr>
            <w:tcW w:w="3146" w:type="dxa"/>
            <w:tcBorders>
              <w:top w:val="single" w:color="auto" w:sz="4" w:space="0"/>
              <w:left w:val="single" w:color="auto" w:sz="4" w:space="0"/>
              <w:bottom w:val="single" w:color="auto" w:sz="4" w:space="0"/>
              <w:right w:val="single" w:color="auto" w:sz="4" w:space="0"/>
            </w:tcBorders>
            <w:shd w:val="clear" w:color="auto" w:fill="auto"/>
            <w:vAlign w:val="center"/>
          </w:tcPr>
          <w:p w14:paraId="25A512B4">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洁净工作台采样可用5cm×5cm的标准灭菌规格模具板，放置于被检测物体表面，每一洁净工作台台面设置5个采样点</w:t>
            </w:r>
          </w:p>
        </w:tc>
        <w:tc>
          <w:tcPr>
            <w:tcW w:w="2488" w:type="dxa"/>
            <w:tcBorders>
              <w:top w:val="single" w:color="auto" w:sz="4" w:space="0"/>
              <w:left w:val="single" w:color="auto" w:sz="4" w:space="0"/>
              <w:bottom w:val="single" w:color="auto" w:sz="4" w:space="0"/>
              <w:right w:val="single" w:color="auto" w:sz="4" w:space="0"/>
            </w:tcBorders>
            <w:shd w:val="clear" w:color="auto" w:fill="auto"/>
            <w:vAlign w:val="center"/>
          </w:tcPr>
          <w:p w14:paraId="7C959BC9">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①采集样本应有足够的数量，且具有代表性。如洁净区可选择操作台、门把手等具有代表性的采样点</w:t>
            </w:r>
          </w:p>
        </w:tc>
      </w:tr>
      <w:tr w14:paraId="0A6611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0" w:hRule="atLeast"/>
        </w:trPr>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14:paraId="2A5BE35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拭子采样法</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12DC17F5">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用于不规则物体表面，如门把手等</w:t>
            </w:r>
          </w:p>
        </w:tc>
        <w:tc>
          <w:tcPr>
            <w:tcW w:w="3146" w:type="dxa"/>
            <w:tcBorders>
              <w:top w:val="single" w:color="auto" w:sz="4" w:space="0"/>
              <w:left w:val="single" w:color="auto" w:sz="4" w:space="0"/>
              <w:bottom w:val="single" w:color="auto" w:sz="4" w:space="0"/>
              <w:right w:val="single" w:color="auto" w:sz="4" w:space="0"/>
            </w:tcBorders>
            <w:shd w:val="clear" w:color="auto" w:fill="auto"/>
            <w:vAlign w:val="center"/>
          </w:tcPr>
          <w:p w14:paraId="61739CD5">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采用棉拭子直接涂擦采样，采样面积≥100cm</w:t>
            </w:r>
            <w:r>
              <w:rPr>
                <w:rFonts w:hint="eastAsia" w:ascii="仿宋" w:hAnsi="仿宋" w:eastAsia="仿宋" w:cs="仿宋"/>
                <w:i w:val="0"/>
                <w:iCs w:val="0"/>
                <w:color w:val="000000"/>
                <w:kern w:val="0"/>
                <w:sz w:val="24"/>
                <w:szCs w:val="24"/>
                <w:u w:val="none"/>
                <w:vertAlign w:val="superscript"/>
                <w:lang w:val="en-US" w:eastAsia="zh-CN" w:bidi="ar"/>
              </w:rPr>
              <w:t>2</w:t>
            </w:r>
            <w:r>
              <w:rPr>
                <w:rFonts w:hint="eastAsia" w:ascii="仿宋" w:hAnsi="仿宋" w:eastAsia="仿宋" w:cs="仿宋"/>
                <w:i w:val="0"/>
                <w:iCs w:val="0"/>
                <w:color w:val="000000"/>
                <w:kern w:val="0"/>
                <w:sz w:val="24"/>
                <w:szCs w:val="24"/>
                <w:u w:val="none"/>
                <w:lang w:val="en-US" w:eastAsia="zh-CN" w:bidi="ar"/>
              </w:rPr>
              <w:t>，设置4个采样点，用一支浸有无菌洗脱液的棉拭子，在规格板内横竖往返均匀涂擦各5次，并随之旋转棉拭子，剪去手接触部位后，将棉拭子投入10ml含无菌洗脱液试管内，立即送检</w:t>
            </w:r>
          </w:p>
        </w:tc>
        <w:tc>
          <w:tcPr>
            <w:tcW w:w="2488" w:type="dxa"/>
            <w:tcBorders>
              <w:top w:val="single" w:color="auto" w:sz="4" w:space="0"/>
              <w:left w:val="single" w:color="auto" w:sz="4" w:space="0"/>
              <w:bottom w:val="single" w:color="auto" w:sz="4" w:space="0"/>
              <w:right w:val="single" w:color="auto" w:sz="4" w:space="0"/>
            </w:tcBorders>
            <w:shd w:val="clear" w:color="auto" w:fill="auto"/>
            <w:vAlign w:val="center"/>
          </w:tcPr>
          <w:p w14:paraId="105CAE82">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②采样时，棉拭子应处于湿润饱和状态，多余的采样液可在采样管壁上挤压去除，禁止使用干棉拭子采样</w:t>
            </w:r>
          </w:p>
        </w:tc>
      </w:tr>
      <w:tr w14:paraId="4B78E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0" w:hRule="atLeast"/>
        </w:trPr>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14:paraId="5D1CA97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压印采样法</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39115242">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用于平整规则的物体表面采样，如生物安全柜、水平层流洁净台、推车、墙面等表面以及地面、橡胶手套和洁净服表面等</w:t>
            </w:r>
          </w:p>
        </w:tc>
        <w:tc>
          <w:tcPr>
            <w:tcW w:w="3146" w:type="dxa"/>
            <w:tcBorders>
              <w:top w:val="single" w:color="auto" w:sz="4" w:space="0"/>
              <w:left w:val="single" w:color="auto" w:sz="4" w:space="0"/>
              <w:bottom w:val="single" w:color="auto" w:sz="4" w:space="0"/>
              <w:right w:val="single" w:color="auto" w:sz="4" w:space="0"/>
            </w:tcBorders>
            <w:shd w:val="clear" w:color="auto" w:fill="auto"/>
            <w:vAlign w:val="center"/>
          </w:tcPr>
          <w:p w14:paraId="379DE227">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采样时打开平皿盖，使培养基表面与采样面直接接触，并均匀按压接触平皿底板，确保其均匀充分接触，接触约5s，再盖上平皿盖，立即送检</w:t>
            </w:r>
          </w:p>
        </w:tc>
        <w:tc>
          <w:tcPr>
            <w:tcW w:w="2488" w:type="dxa"/>
            <w:tcBorders>
              <w:top w:val="single" w:color="auto" w:sz="4" w:space="0"/>
              <w:left w:val="single" w:color="auto" w:sz="4" w:space="0"/>
              <w:bottom w:val="single" w:color="auto" w:sz="4" w:space="0"/>
              <w:right w:val="single" w:color="auto" w:sz="4" w:space="0"/>
            </w:tcBorders>
            <w:shd w:val="clear" w:color="auto" w:fill="auto"/>
            <w:vAlign w:val="center"/>
          </w:tcPr>
          <w:p w14:paraId="73F66D64">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③接触碟法采样后，应立即用75%乙醇擦拭被采样表面，以除去残留琼脂</w:t>
            </w:r>
          </w:p>
        </w:tc>
      </w:tr>
    </w:tbl>
    <w:p w14:paraId="5AF5A8E6">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p>
    <w:p w14:paraId="052DD74F">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r>
        <w:rPr>
          <w:rFonts w:hint="eastAsia" w:ascii="仿宋" w:hAnsi="仿宋" w:eastAsia="仿宋" w:cs="仿宋"/>
          <w:b/>
          <w:bCs/>
          <w:i w:val="0"/>
          <w:iCs w:val="0"/>
          <w:caps w:val="0"/>
          <w:color w:val="000000"/>
          <w:spacing w:val="0"/>
          <w:sz w:val="24"/>
          <w:szCs w:val="24"/>
          <w:vertAlign w:val="baseline"/>
          <w:lang w:val="en-US" w:eastAsia="zh-CN"/>
        </w:rPr>
        <w:t>附表17 洁净环境物体表面菌落数限定值（静态）</w:t>
      </w:r>
    </w:p>
    <w:tbl>
      <w:tblPr>
        <w:tblStyle w:val="3"/>
        <w:tblW w:w="911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12"/>
        <w:gridCol w:w="1536"/>
        <w:gridCol w:w="2017"/>
        <w:gridCol w:w="1593"/>
        <w:gridCol w:w="2454"/>
      </w:tblGrid>
      <w:tr w14:paraId="6473C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12"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4B8467A">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洁净度级别</w:t>
            </w:r>
          </w:p>
        </w:tc>
        <w:tc>
          <w:tcPr>
            <w:tcW w:w="7600" w:type="dxa"/>
            <w:gridSpan w:val="4"/>
            <w:tcBorders>
              <w:top w:val="single" w:color="000000" w:sz="8" w:space="0"/>
              <w:left w:val="single" w:color="000000" w:sz="8" w:space="0"/>
              <w:bottom w:val="single" w:color="000000" w:sz="8" w:space="0"/>
              <w:right w:val="single" w:color="000000" w:sz="8" w:space="0"/>
            </w:tcBorders>
            <w:shd w:val="clear" w:color="auto" w:fill="auto"/>
            <w:vAlign w:val="center"/>
          </w:tcPr>
          <w:p w14:paraId="38052067">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菌落数(cfu</w:t>
            </w:r>
            <w:r>
              <w:rPr>
                <w:rFonts w:hint="eastAsia" w:ascii="仿宋" w:hAnsi="仿宋" w:eastAsia="仿宋" w:cs="仿宋"/>
                <w:b/>
                <w:bCs/>
                <w:i w:val="0"/>
                <w:iCs w:val="0"/>
                <w:color w:val="000000"/>
                <w:kern w:val="0"/>
                <w:sz w:val="24"/>
                <w:szCs w:val="24"/>
                <w:u w:val="none"/>
                <w:vertAlign w:val="superscript"/>
                <w:lang w:val="en-US" w:eastAsia="zh-CN" w:bidi="ar"/>
              </w:rPr>
              <w:t>a</w:t>
            </w:r>
            <w:r>
              <w:rPr>
                <w:rFonts w:hint="eastAsia" w:ascii="仿宋" w:hAnsi="仿宋" w:eastAsia="仿宋" w:cs="仿宋"/>
                <w:b/>
                <w:bCs/>
                <w:i w:val="0"/>
                <w:iCs w:val="0"/>
                <w:color w:val="000000"/>
                <w:kern w:val="0"/>
                <w:sz w:val="24"/>
                <w:szCs w:val="24"/>
                <w:u w:val="none"/>
                <w:lang w:val="en-US" w:eastAsia="zh-CN" w:bidi="ar"/>
              </w:rPr>
              <w:t>/碟)</w:t>
            </w:r>
          </w:p>
        </w:tc>
      </w:tr>
      <w:tr w14:paraId="0A913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12"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33EB1A5">
            <w:pPr>
              <w:jc w:val="center"/>
              <w:rPr>
                <w:rFonts w:hint="eastAsia" w:ascii="仿宋" w:hAnsi="仿宋" w:eastAsia="仿宋" w:cs="仿宋"/>
                <w:b/>
                <w:bCs/>
                <w:i w:val="0"/>
                <w:iCs w:val="0"/>
                <w:color w:val="000000"/>
                <w:sz w:val="24"/>
                <w:szCs w:val="24"/>
                <w:u w:val="none"/>
              </w:rPr>
            </w:pPr>
          </w:p>
        </w:tc>
        <w:tc>
          <w:tcPr>
            <w:tcW w:w="1536" w:type="dxa"/>
            <w:tcBorders>
              <w:top w:val="nil"/>
              <w:left w:val="single" w:color="000000" w:sz="8" w:space="0"/>
              <w:bottom w:val="single" w:color="000000" w:sz="8" w:space="0"/>
              <w:right w:val="single" w:color="000000" w:sz="8" w:space="0"/>
            </w:tcBorders>
            <w:shd w:val="clear" w:color="auto" w:fill="auto"/>
            <w:vAlign w:val="center"/>
          </w:tcPr>
          <w:p w14:paraId="097A5337">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设施表面</w:t>
            </w:r>
          </w:p>
        </w:tc>
        <w:tc>
          <w:tcPr>
            <w:tcW w:w="201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DA1788C">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地面</w:t>
            </w:r>
          </w:p>
        </w:tc>
        <w:tc>
          <w:tcPr>
            <w:tcW w:w="159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21730BD">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手套表面</w:t>
            </w:r>
          </w:p>
        </w:tc>
        <w:tc>
          <w:tcPr>
            <w:tcW w:w="245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4C3A423">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洁净服表面</w:t>
            </w:r>
          </w:p>
        </w:tc>
      </w:tr>
      <w:tr w14:paraId="5689B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12" w:type="dxa"/>
            <w:tcBorders>
              <w:top w:val="nil"/>
              <w:left w:val="single" w:color="000000" w:sz="8" w:space="0"/>
              <w:bottom w:val="single" w:color="000000" w:sz="8" w:space="0"/>
              <w:right w:val="single" w:color="000000" w:sz="8" w:space="0"/>
            </w:tcBorders>
            <w:shd w:val="clear" w:color="auto" w:fill="auto"/>
            <w:vAlign w:val="center"/>
          </w:tcPr>
          <w:p w14:paraId="71D807B7">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A(100)级</w:t>
            </w:r>
          </w:p>
        </w:tc>
        <w:tc>
          <w:tcPr>
            <w:tcW w:w="1536" w:type="dxa"/>
            <w:tcBorders>
              <w:top w:val="nil"/>
              <w:left w:val="single" w:color="000000" w:sz="8" w:space="0"/>
              <w:bottom w:val="single" w:color="000000" w:sz="8" w:space="0"/>
              <w:right w:val="single" w:color="000000" w:sz="8" w:space="0"/>
            </w:tcBorders>
            <w:shd w:val="clear" w:color="auto" w:fill="auto"/>
            <w:vAlign w:val="center"/>
          </w:tcPr>
          <w:p w14:paraId="37CAB02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2017" w:type="dxa"/>
            <w:tcBorders>
              <w:top w:val="nil"/>
              <w:left w:val="single" w:color="000000" w:sz="8" w:space="0"/>
              <w:bottom w:val="single" w:color="000000" w:sz="8" w:space="0"/>
              <w:right w:val="single" w:color="000000" w:sz="8" w:space="0"/>
            </w:tcBorders>
            <w:shd w:val="clear" w:color="auto" w:fill="auto"/>
            <w:vAlign w:val="center"/>
          </w:tcPr>
          <w:p w14:paraId="0729D78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593" w:type="dxa"/>
            <w:tcBorders>
              <w:top w:val="nil"/>
              <w:left w:val="single" w:color="000000" w:sz="8" w:space="0"/>
              <w:bottom w:val="single" w:color="000000" w:sz="8" w:space="0"/>
              <w:right w:val="single" w:color="000000" w:sz="8" w:space="0"/>
            </w:tcBorders>
            <w:shd w:val="clear" w:color="auto" w:fill="auto"/>
            <w:vAlign w:val="center"/>
          </w:tcPr>
          <w:p w14:paraId="1FF862D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2454" w:type="dxa"/>
            <w:tcBorders>
              <w:top w:val="nil"/>
              <w:left w:val="single" w:color="000000" w:sz="8" w:space="0"/>
              <w:bottom w:val="single" w:color="000000" w:sz="8" w:space="0"/>
              <w:right w:val="single" w:color="000000" w:sz="8" w:space="0"/>
            </w:tcBorders>
            <w:shd w:val="clear" w:color="auto" w:fill="auto"/>
            <w:vAlign w:val="center"/>
          </w:tcPr>
          <w:p w14:paraId="5939B37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r>
      <w:tr w14:paraId="2FB0C2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12" w:type="dxa"/>
            <w:tcBorders>
              <w:top w:val="nil"/>
              <w:left w:val="single" w:color="000000" w:sz="8" w:space="0"/>
              <w:bottom w:val="single" w:color="000000" w:sz="8" w:space="0"/>
              <w:right w:val="single" w:color="000000" w:sz="8" w:space="0"/>
            </w:tcBorders>
            <w:shd w:val="clear" w:color="auto" w:fill="auto"/>
            <w:vAlign w:val="center"/>
          </w:tcPr>
          <w:p w14:paraId="41B12225">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C(10000)级</w:t>
            </w:r>
          </w:p>
        </w:tc>
        <w:tc>
          <w:tcPr>
            <w:tcW w:w="1536" w:type="dxa"/>
            <w:tcBorders>
              <w:top w:val="nil"/>
              <w:left w:val="single" w:color="000000" w:sz="8" w:space="0"/>
              <w:bottom w:val="single" w:color="000000" w:sz="8" w:space="0"/>
              <w:right w:val="single" w:color="000000" w:sz="8" w:space="0"/>
            </w:tcBorders>
            <w:shd w:val="clear" w:color="auto" w:fill="auto"/>
            <w:vAlign w:val="center"/>
          </w:tcPr>
          <w:p w14:paraId="7CE7345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2017" w:type="dxa"/>
            <w:tcBorders>
              <w:top w:val="nil"/>
              <w:left w:val="single" w:color="000000" w:sz="8" w:space="0"/>
              <w:bottom w:val="single" w:color="000000" w:sz="8" w:space="0"/>
              <w:right w:val="single" w:color="000000" w:sz="8" w:space="0"/>
            </w:tcBorders>
            <w:shd w:val="clear" w:color="auto" w:fill="auto"/>
            <w:vAlign w:val="center"/>
          </w:tcPr>
          <w:p w14:paraId="48AB44E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1593" w:type="dxa"/>
            <w:tcBorders>
              <w:top w:val="nil"/>
              <w:left w:val="single" w:color="000000" w:sz="8" w:space="0"/>
              <w:bottom w:val="single" w:color="000000" w:sz="8" w:space="0"/>
              <w:right w:val="single" w:color="000000" w:sz="8" w:space="0"/>
            </w:tcBorders>
            <w:shd w:val="clear" w:color="auto" w:fill="auto"/>
            <w:vAlign w:val="center"/>
          </w:tcPr>
          <w:p w14:paraId="15A1030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2454" w:type="dxa"/>
            <w:tcBorders>
              <w:top w:val="nil"/>
              <w:left w:val="single" w:color="000000" w:sz="8" w:space="0"/>
              <w:bottom w:val="single" w:color="000000" w:sz="8" w:space="0"/>
              <w:right w:val="single" w:color="000000" w:sz="8" w:space="0"/>
            </w:tcBorders>
            <w:shd w:val="clear" w:color="auto" w:fill="auto"/>
            <w:vAlign w:val="center"/>
          </w:tcPr>
          <w:p w14:paraId="0F1D52D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r>
      <w:tr w14:paraId="04401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112" w:type="dxa"/>
            <w:gridSpan w:val="5"/>
            <w:tcBorders>
              <w:top w:val="nil"/>
              <w:left w:val="single" w:color="000000" w:sz="8" w:space="0"/>
              <w:bottom w:val="single" w:color="000000" w:sz="8" w:space="0"/>
              <w:right w:val="single" w:color="000000" w:sz="8" w:space="0"/>
            </w:tcBorders>
            <w:shd w:val="clear" w:color="auto" w:fill="auto"/>
            <w:vAlign w:val="center"/>
          </w:tcPr>
          <w:p w14:paraId="17DF2C12">
            <w:pPr>
              <w:keepNext w:val="0"/>
              <w:keepLines w:val="0"/>
              <w:widowControl/>
              <w:suppressLineNumbers w:val="0"/>
              <w:jc w:val="left"/>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a：</w:t>
            </w:r>
            <w:r>
              <w:rPr>
                <w:rFonts w:hint="eastAsia" w:ascii="仿宋" w:hAnsi="仿宋" w:eastAsia="仿宋" w:cs="仿宋"/>
                <w:i w:val="0"/>
                <w:iCs w:val="0"/>
                <w:color w:val="000000"/>
                <w:kern w:val="0"/>
                <w:sz w:val="24"/>
                <w:szCs w:val="24"/>
                <w:u w:val="none"/>
                <w:lang w:val="en-US" w:eastAsia="zh-CN" w:bidi="ar"/>
              </w:rPr>
              <w:t>cfu是菌落形成单位（Colony Forming Units）,指单位体积中的细菌群落总数。在活菌培养计数时，由单个菌体或聚集成团的多个菌体在固体培养基上生成繁殖所形成的菌落。</w:t>
            </w:r>
          </w:p>
        </w:tc>
      </w:tr>
    </w:tbl>
    <w:p w14:paraId="66B254B0">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p>
    <w:p w14:paraId="26D11D5F">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r>
        <w:rPr>
          <w:rFonts w:hint="eastAsia" w:ascii="仿宋" w:hAnsi="仿宋" w:eastAsia="仿宋" w:cs="仿宋"/>
          <w:b/>
          <w:bCs/>
          <w:i w:val="0"/>
          <w:iCs w:val="0"/>
          <w:caps w:val="0"/>
          <w:color w:val="000000"/>
          <w:spacing w:val="0"/>
          <w:sz w:val="24"/>
          <w:szCs w:val="24"/>
          <w:vertAlign w:val="baseline"/>
          <w:lang w:val="en-US" w:eastAsia="zh-CN"/>
        </w:rPr>
        <w:t>附表18 危害药品溢出处置操作规程</w:t>
      </w:r>
    </w:p>
    <w:tbl>
      <w:tblPr>
        <w:tblStyle w:val="3"/>
        <w:tblW w:w="922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5"/>
        <w:gridCol w:w="873"/>
        <w:gridCol w:w="1451"/>
        <w:gridCol w:w="5673"/>
      </w:tblGrid>
      <w:tr w14:paraId="65564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54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90A1F9">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步骤</w:t>
            </w:r>
          </w:p>
        </w:tc>
        <w:tc>
          <w:tcPr>
            <w:tcW w:w="5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70A76">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内容或操作</w:t>
            </w:r>
          </w:p>
        </w:tc>
      </w:tr>
      <w:tr w14:paraId="210E7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2"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8E2A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第一步</w:t>
            </w:r>
          </w:p>
        </w:tc>
        <w:tc>
          <w:tcPr>
            <w:tcW w:w="23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FF848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取出溢出包</w:t>
            </w:r>
          </w:p>
        </w:tc>
        <w:tc>
          <w:tcPr>
            <w:tcW w:w="5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2AEC9">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溢出包物品：警示牌、纱布、无纺布、吸水纸巾、海绵、一次性防护服、工作鞋、手套、一次性口罩、护目镜、利器盒、专用垃圾袋、小铲子、镊子、剪刀、75％乙醇、含氯消毒液等</w:t>
            </w:r>
          </w:p>
        </w:tc>
      </w:tr>
      <w:tr w14:paraId="25B856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6DE8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第二步</w:t>
            </w:r>
          </w:p>
        </w:tc>
        <w:tc>
          <w:tcPr>
            <w:tcW w:w="23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C7A7D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评估溢出的污染程度和范围</w:t>
            </w:r>
          </w:p>
        </w:tc>
        <w:tc>
          <w:tcPr>
            <w:tcW w:w="5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56A3C">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包括人员、场地、设施设备。溢出严重的应张贴警示标识，限制他人接近泄露区域</w:t>
            </w:r>
          </w:p>
        </w:tc>
      </w:tr>
      <w:tr w14:paraId="7341D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04" w:hRule="atLeast"/>
        </w:trPr>
        <w:tc>
          <w:tcPr>
            <w:tcW w:w="12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5C3ED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第三步</w:t>
            </w:r>
          </w:p>
        </w:tc>
        <w:tc>
          <w:tcPr>
            <w:tcW w:w="8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F21F3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溢出物处置</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F2B5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溢出物对人员污染</w:t>
            </w:r>
          </w:p>
        </w:tc>
        <w:tc>
          <w:tcPr>
            <w:tcW w:w="5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61167">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①脱去被污染的防护服，置于危害药品垃圾桶内；</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②被污染的皮肤区域，应用肥皂和清水彻底冲洗，如有皮肤被划破，除冲洗外应控制出血，并及时接受治疗处理；</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③如药液喷溅到眼睛，应先用0.9％氯化钠溶液或清水冲洗，并及时接受治疗处理；</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④清理溢出物时，应防止皮肤划破；</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⑤事后应做好记录及上报工作</w:t>
            </w:r>
          </w:p>
        </w:tc>
      </w:tr>
      <w:tr w14:paraId="10F8C8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2" w:hRule="atLeast"/>
        </w:trPr>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56C6DF">
            <w:pPr>
              <w:jc w:val="center"/>
              <w:rPr>
                <w:rFonts w:hint="eastAsia" w:ascii="仿宋" w:hAnsi="仿宋" w:eastAsia="仿宋" w:cs="仿宋"/>
                <w:i w:val="0"/>
                <w:iCs w:val="0"/>
                <w:color w:val="000000"/>
                <w:sz w:val="24"/>
                <w:szCs w:val="24"/>
                <w:u w:val="none"/>
              </w:rPr>
            </w:pPr>
          </w:p>
        </w:tc>
        <w:tc>
          <w:tcPr>
            <w:tcW w:w="8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59D060">
            <w:pPr>
              <w:jc w:val="center"/>
              <w:rPr>
                <w:rFonts w:hint="eastAsia" w:ascii="仿宋" w:hAnsi="仿宋" w:eastAsia="仿宋" w:cs="仿宋"/>
                <w:i w:val="0"/>
                <w:iCs w:val="0"/>
                <w:color w:val="000000"/>
                <w:sz w:val="24"/>
                <w:szCs w:val="24"/>
                <w:u w:val="none"/>
              </w:rPr>
            </w:pP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60EF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溢出物处理</w:t>
            </w:r>
          </w:p>
        </w:tc>
        <w:tc>
          <w:tcPr>
            <w:tcW w:w="5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8C238">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①药液危害药品溢出，依据溢出量，采用相应的物品吸附与控制溢出液；粉末状危害药品应用湿布覆盖，用小铲收集，再用纱布轻轻擦拭；</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②用小铲或镊子将玻璃碎片收集后放入利器盒中</w:t>
            </w:r>
          </w:p>
        </w:tc>
      </w:tr>
      <w:tr w14:paraId="202AE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A953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第四步</w:t>
            </w:r>
          </w:p>
        </w:tc>
        <w:tc>
          <w:tcPr>
            <w:tcW w:w="23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64A62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清洁消毒</w:t>
            </w:r>
          </w:p>
        </w:tc>
        <w:tc>
          <w:tcPr>
            <w:tcW w:w="5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FC7EF">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①用一次性纱布/吸水介质依次用含氯消毒液溶液、清水和乙醇由外向内擦拭溢出处至少5次，并将废弃的纱布/吸水介质封于自封袋袋中；</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②如果是吸附性较强的危害药品，应选用适宜的溶剂再次擦拭消毒处理</w:t>
            </w:r>
          </w:p>
        </w:tc>
      </w:tr>
      <w:tr w14:paraId="12F14C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1752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第五步</w:t>
            </w:r>
          </w:p>
        </w:tc>
        <w:tc>
          <w:tcPr>
            <w:tcW w:w="23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5F13D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被污染物的处理</w:t>
            </w:r>
          </w:p>
        </w:tc>
        <w:tc>
          <w:tcPr>
            <w:tcW w:w="5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16584">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①反复使用的物品用清洁剂擦拭，再用水清洗并消毒；</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②处理溢出物的一次性耗材与物品，应放置于黄色医疗废物包装袋中，并标注警示标记，交由医院统一处理</w:t>
            </w:r>
          </w:p>
        </w:tc>
      </w:tr>
      <w:tr w14:paraId="566B7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064D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第六步</w:t>
            </w:r>
          </w:p>
        </w:tc>
        <w:tc>
          <w:tcPr>
            <w:tcW w:w="23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A0B8F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记录归档</w:t>
            </w:r>
          </w:p>
        </w:tc>
        <w:tc>
          <w:tcPr>
            <w:tcW w:w="5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06840">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对危害药品溢出的药品名称、溢出量、处理过程、原因分析，溢出物对操作人员与环境的影响程度等</w:t>
            </w:r>
          </w:p>
        </w:tc>
      </w:tr>
    </w:tbl>
    <w:p w14:paraId="2FDE5E45">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p>
    <w:p w14:paraId="3D6C6C53">
      <w:pPr>
        <w:pStyle w:val="2"/>
        <w:keepNext w:val="0"/>
        <w:keepLines w:val="0"/>
        <w:widowControl/>
        <w:suppressLineNumbers w:val="0"/>
        <w:spacing w:before="0" w:beforeAutospacing="0" w:after="0" w:afterAutospacing="0"/>
        <w:ind w:left="0" w:right="0"/>
        <w:jc w:val="both"/>
        <w:rPr>
          <w:rFonts w:hint="eastAsia" w:ascii="仿宋" w:hAnsi="仿宋" w:eastAsia="仿宋" w:cs="仿宋"/>
          <w:b/>
          <w:bCs/>
          <w:i w:val="0"/>
          <w:iCs w:val="0"/>
          <w:caps w:val="0"/>
          <w:color w:val="000000"/>
          <w:spacing w:val="0"/>
          <w:sz w:val="24"/>
          <w:szCs w:val="24"/>
          <w:vertAlign w:val="baseli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hMDcwOWNlY2ZlOGY3ZDNkMWYwYmFkZWNkYjQ1YzgifQ=="/>
  </w:docVars>
  <w:rsids>
    <w:rsidRoot w:val="24D316FD"/>
    <w:rsid w:val="24D316FD"/>
    <w:rsid w:val="279A2A09"/>
    <w:rsid w:val="2E8033E3"/>
    <w:rsid w:val="3A5B44FA"/>
    <w:rsid w:val="474112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 w:type="character" w:customStyle="1" w:styleId="5">
    <w:name w:val="font31"/>
    <w:basedOn w:val="4"/>
    <w:qFormat/>
    <w:uiPriority w:val="0"/>
    <w:rPr>
      <w:rFonts w:hint="eastAsia" w:ascii="黑体" w:hAnsi="宋体" w:eastAsia="黑体" w:cs="黑体"/>
      <w:color w:val="000000"/>
      <w:sz w:val="28"/>
      <w:szCs w:val="28"/>
      <w:u w:val="none"/>
    </w:rPr>
  </w:style>
  <w:style w:type="character" w:customStyle="1" w:styleId="6">
    <w:name w:val="font21"/>
    <w:basedOn w:val="4"/>
    <w:qFormat/>
    <w:uiPriority w:val="0"/>
    <w:rPr>
      <w:rFonts w:hint="eastAsia" w:ascii="宋体" w:hAnsi="宋体" w:eastAsia="宋体" w:cs="宋体"/>
      <w:color w:val="000000"/>
      <w:sz w:val="28"/>
      <w:szCs w:val="28"/>
      <w:u w:val="none"/>
    </w:rPr>
  </w:style>
  <w:style w:type="character" w:customStyle="1" w:styleId="7">
    <w:name w:val="font41"/>
    <w:basedOn w:val="4"/>
    <w:qFormat/>
    <w:uiPriority w:val="0"/>
    <w:rPr>
      <w:rFonts w:hint="eastAsia" w:ascii="宋体" w:hAnsi="宋体" w:eastAsia="宋体" w:cs="宋体"/>
      <w:color w:val="000000"/>
      <w:sz w:val="18"/>
      <w:szCs w:val="18"/>
      <w:u w:val="none"/>
    </w:rPr>
  </w:style>
  <w:style w:type="character" w:customStyle="1" w:styleId="8">
    <w:name w:val="font51"/>
    <w:basedOn w:val="4"/>
    <w:qFormat/>
    <w:uiPriority w:val="0"/>
    <w:rPr>
      <w:rFonts w:hint="eastAsia" w:ascii="宋体" w:hAnsi="宋体" w:eastAsia="宋体" w:cs="宋体"/>
      <w:b/>
      <w:bCs/>
      <w:color w:val="000000"/>
      <w:sz w:val="21"/>
      <w:szCs w:val="21"/>
      <w:u w:val="none"/>
      <w:vertAlign w:val="superscript"/>
    </w:rPr>
  </w:style>
  <w:style w:type="character" w:customStyle="1" w:styleId="9">
    <w:name w:val="font61"/>
    <w:basedOn w:val="4"/>
    <w:qFormat/>
    <w:uiPriority w:val="0"/>
    <w:rPr>
      <w:rFonts w:hint="eastAsia" w:ascii="宋体" w:hAnsi="宋体" w:eastAsia="宋体" w:cs="宋体"/>
      <w:color w:val="000000"/>
      <w:sz w:val="18"/>
      <w:szCs w:val="18"/>
      <w:u w:val="none"/>
    </w:rPr>
  </w:style>
  <w:style w:type="character" w:customStyle="1" w:styleId="10">
    <w:name w:val="font11"/>
    <w:basedOn w:val="4"/>
    <w:qFormat/>
    <w:uiPriority w:val="0"/>
    <w:rPr>
      <w:rFonts w:hint="eastAsia" w:ascii="黑体" w:hAnsi="宋体" w:eastAsia="黑体" w:cs="黑体"/>
      <w:color w:val="000000"/>
      <w:sz w:val="21"/>
      <w:szCs w:val="21"/>
      <w:u w:val="none"/>
    </w:rPr>
  </w:style>
  <w:style w:type="character" w:customStyle="1" w:styleId="11">
    <w:name w:val="font71"/>
    <w:basedOn w:val="4"/>
    <w:qFormat/>
    <w:uiPriority w:val="0"/>
    <w:rPr>
      <w:rFonts w:hint="eastAsia" w:ascii="黑体" w:hAnsi="宋体" w:eastAsia="黑体" w:cs="黑体"/>
      <w:b/>
      <w:bCs/>
      <w:color w:val="000000"/>
      <w:sz w:val="21"/>
      <w:szCs w:val="21"/>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3042</Words>
  <Characters>3175</Characters>
  <Lines>0</Lines>
  <Paragraphs>0</Paragraphs>
  <TotalTime>10</TotalTime>
  <ScaleCrop>false</ScaleCrop>
  <LinksUpToDate>false</LinksUpToDate>
  <CharactersWithSpaces>3217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2024-11-04T00:03:00Z</dcterms:created>
  <dc:creator>yw</dc:creator>
  <cp:lastModifiedBy>彭shuhui</cp:lastModifiedBy>
  <dcterms:modified xsi:type="dcterms:W3CDTF">2024-11-11T09:22:58Z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75C45F7CD40A462DA10F67410D6CE5C1_11</vt:lpwstr>
  </property>
</Properties>
</file>